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rPr>
          <w:rFonts w:hint="eastAsia"/>
        </w:rPr>
      </w:pPr>
      <w:bookmarkStart w:id="44" w:name="_GoBack"/>
      <w:bookmarkEnd w:id="44"/>
    </w:p>
    <w:p>
      <w:pPr>
        <w:spacing w:before="153" w:line="226" w:lineRule="auto"/>
        <w:jc w:val="right"/>
        <w:rPr>
          <w:rFonts w:hint="eastAsia" w:ascii="黑体" w:hAnsi="黑体" w:eastAsia="黑体" w:cs="黑体"/>
          <w:sz w:val="47"/>
          <w:szCs w:val="47"/>
          <w14:textOutline w14:w="8712" w14:cap="sq" w14:cmpd="sng" w14:algn="ctr">
            <w14:solidFill>
              <w14:srgbClr w14:val="000000"/>
            </w14:solidFill>
            <w14:prstDash w14:val="solid"/>
            <w14:bevel/>
          </w14:textOutline>
        </w:rPr>
      </w:pPr>
    </w:p>
    <w:p>
      <w:pPr>
        <w:pStyle w:val="9"/>
        <w:spacing w:line="269" w:lineRule="auto"/>
        <w:jc w:val="cente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pPr>
      <w:r>
        <w:rPr>
          <w:rFonts w:hint="eastAsia" w:ascii="黑体" w:hAnsi="黑体" w:eastAsia="黑体" w:cs="黑体"/>
          <w:sz w:val="52"/>
          <w:szCs w:val="52"/>
          <w:lang w:val="en-US" w:eastAsia="zh-CN"/>
          <w14:textOutline w14:w="8712" w14:cap="sq" w14:cmpd="sng" w14:algn="ctr">
            <w14:solidFill>
              <w14:srgbClr w14:val="000000"/>
            </w14:solidFill>
            <w14:prstDash w14:val="solid"/>
            <w14:bevel/>
          </w14:textOutline>
        </w:rPr>
        <w:t>衡阳县西渡镇</w:t>
      </w: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国土空间规划</w:t>
      </w:r>
    </w:p>
    <w:p>
      <w:pPr>
        <w:pStyle w:val="9"/>
        <w:spacing w:line="269" w:lineRule="auto"/>
        <w:jc w:val="cente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pP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w:t>
      </w:r>
      <w:r>
        <w:rPr>
          <w:rFonts w:hint="eastAsia" w:ascii="Times New Roman" w:hAnsi="Times New Roman" w:eastAsia="仿宋_GB2312" w:cs="Arial"/>
          <w:b/>
          <w:bCs/>
          <w:snapToGrid w:val="0"/>
          <w:color w:val="000000"/>
          <w:sz w:val="52"/>
          <w:szCs w:val="32"/>
          <w:lang w:val="en-US" w:eastAsia="zh-CN" w:bidi="ar-SA"/>
        </w:rPr>
        <w:t>2021-2035</w:t>
      </w: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年）</w:t>
      </w:r>
    </w:p>
    <w:p>
      <w:pPr>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pStyle w:val="9"/>
        <w:spacing w:line="241" w:lineRule="auto"/>
        <w:rPr>
          <w:lang w:eastAsia="zh-CN"/>
        </w:rPr>
      </w:pPr>
    </w:p>
    <w:p>
      <w:pPr>
        <w:spacing w:line="640" w:lineRule="exact"/>
        <w:jc w:val="cente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pPr>
      <w:bookmarkStart w:id="0" w:name="_Hlk164265382"/>
      <w: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衡阳县</w:t>
      </w:r>
      <w:r>
        <w:rPr>
          <w:rFonts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人民政府</w:t>
      </w:r>
    </w:p>
    <w:p>
      <w:pPr>
        <w:spacing w:line="640" w:lineRule="exact"/>
        <w:jc w:val="center"/>
        <w:rPr>
          <w:rFonts w:hint="eastAsia"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sectPr>
          <w:headerReference r:id="rId5" w:type="default"/>
          <w:footerReference r:id="rId7" w:type="default"/>
          <w:headerReference r:id="rId6" w:type="even"/>
          <w:footerReference r:id="rId8" w:type="even"/>
          <w:pgSz w:w="11906" w:h="16838"/>
          <w:pgMar w:top="1440" w:right="1800" w:bottom="1440" w:left="1800" w:header="851" w:footer="992" w:gutter="0"/>
          <w:pgNumType w:fmt="decimal" w:start="1"/>
          <w:cols w:space="425" w:num="1"/>
          <w:titlePg/>
          <w:docGrid w:type="lines" w:linePitch="326" w:charSpace="0"/>
        </w:sectPr>
      </w:pPr>
      <w: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202</w:t>
      </w:r>
      <w:r>
        <w:rPr>
          <w:rFonts w:hint="eastAsia" w:ascii="楷体" w:hAnsi="楷体" w:eastAsia="楷体" w:cs="楷体"/>
          <w:snapToGrid/>
          <w:spacing w:val="7"/>
          <w:position w:val="24"/>
          <w:sz w:val="31"/>
          <w:szCs w:val="31"/>
          <w:lang w:val="en-US" w:eastAsia="zh-CN"/>
          <w14:textOutline w14:w="5791" w14:cap="sq" w14:cmpd="sng" w14:algn="ctr">
            <w14:solidFill>
              <w14:srgbClr w14:val="000000"/>
            </w14:solidFill>
            <w14:prstDash w14:val="solid"/>
            <w14:bevel/>
          </w14:textOutline>
        </w:rPr>
        <w:t>5</w:t>
      </w:r>
      <w:r>
        <w:rPr>
          <w:rFonts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t>年</w:t>
      </w:r>
      <w:r>
        <w:rPr>
          <w:rFonts w:hint="eastAsia" w:ascii="楷体" w:hAnsi="楷体" w:eastAsia="楷体" w:cs="楷体"/>
          <w:snapToGrid/>
          <w:spacing w:val="7"/>
          <w:position w:val="24"/>
          <w:sz w:val="31"/>
          <w:szCs w:val="31"/>
          <w:lang w:val="en-US" w:eastAsia="zh-CN"/>
          <w14:textOutline w14:w="5791" w14:cap="sq" w14:cmpd="sng" w14:algn="ctr">
            <w14:solidFill>
              <w14:srgbClr w14:val="000000"/>
            </w14:solidFill>
            <w14:prstDash w14:val="solid"/>
            <w14:bevel/>
          </w14:textOutline>
        </w:rPr>
        <w:t>9</w:t>
      </w:r>
      <w:r>
        <w:rPr>
          <w:rFonts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t>月</w:t>
      </w:r>
    </w:p>
    <w:p>
      <w:pPr>
        <w:rPr>
          <w:rFonts w:eastAsia="宋体"/>
          <w:lang w:eastAsia="zh-CN"/>
        </w:rPr>
      </w:pPr>
      <w:r>
        <w:rPr>
          <w:rFonts w:hint="eastAsia" w:eastAsia="宋体"/>
          <w:lang w:eastAsia="zh-CN"/>
        </w:rPr>
        <w:drawing>
          <wp:inline distT="0" distB="0" distL="114300" distR="114300">
            <wp:extent cx="5262245" cy="3721100"/>
            <wp:effectExtent l="0" t="0" r="14605" b="12700"/>
            <wp:docPr id="4" name="图片 4" descr="乙级规划资质证书（延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乙级规划资质证书（延续）"/>
                    <pic:cNvPicPr>
                      <a:picLocks noChangeAspect="1"/>
                    </pic:cNvPicPr>
                  </pic:nvPicPr>
                  <pic:blipFill>
                    <a:blip r:embed="rId24"/>
                    <a:stretch>
                      <a:fillRect/>
                    </a:stretch>
                  </pic:blipFill>
                  <pic:spPr>
                    <a:xfrm>
                      <a:off x="0" y="0"/>
                      <a:ext cx="5262245" cy="3721100"/>
                    </a:xfrm>
                    <a:prstGeom prst="rect">
                      <a:avLst/>
                    </a:prstGeom>
                  </pic:spPr>
                </pic:pic>
              </a:graphicData>
            </a:graphic>
          </wp:inline>
        </w:drawing>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项目名称：衡阳县西渡镇国土空间规划（2021-2035年）</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委托单位：衡阳县自然资源局</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编制单位：湖南省国土空间调查监测所</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资质证书编号：湘自资规乙字 22001004 号</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法定代表人，所长：李剑雄</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编制部门：国土空间规划院</w:t>
      </w:r>
    </w:p>
    <w:p>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主管院长：王小云</w:t>
      </w:r>
    </w:p>
    <w:p>
      <w:pPr>
        <w:rPr>
          <w:rFonts w:hint="eastAsia"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w:t>
      </w:r>
      <w:r>
        <w:rPr>
          <w:rFonts w:hint="eastAsia" w:ascii="仿宋_GB2312" w:hAnsi="宋体" w:eastAsia="仿宋_GB2312" w:cs="宋体"/>
          <w:sz w:val="28"/>
          <w:szCs w:val="28"/>
          <w:lang w:val="en-US" w:eastAsia="zh-CN"/>
        </w:rPr>
        <w:t>负责人</w:t>
      </w:r>
      <w:r>
        <w:rPr>
          <w:rFonts w:hint="eastAsia" w:ascii="仿宋_GB2312" w:hAnsi="宋体" w:eastAsia="仿宋_GB2312" w:cs="宋体"/>
          <w:sz w:val="28"/>
          <w:szCs w:val="28"/>
          <w:lang w:eastAsia="zh-CN"/>
        </w:rPr>
        <w:t>：</w:t>
      </w:r>
      <w:r>
        <w:rPr>
          <w:rFonts w:hint="eastAsia" w:ascii="仿宋_GB2312" w:hAnsi="宋体" w:eastAsia="仿宋_GB2312" w:cs="宋体"/>
          <w:sz w:val="28"/>
          <w:szCs w:val="28"/>
          <w:lang w:val="en-US" w:eastAsia="zh-CN"/>
        </w:rPr>
        <w:t>李昌盛</w:t>
      </w:r>
      <w:r>
        <w:rPr>
          <w:rFonts w:hint="eastAsia" w:ascii="仿宋_GB2312" w:hAnsi="宋体" w:eastAsia="仿宋_GB2312" w:cs="宋体"/>
          <w:sz w:val="28"/>
          <w:szCs w:val="28"/>
          <w:lang w:eastAsia="zh-CN"/>
        </w:rPr>
        <w:t xml:space="preserve">  注册城乡规划师</w:t>
      </w:r>
      <w:r>
        <w:rPr>
          <w:rFonts w:hint="eastAsia" w:ascii="仿宋_GB2312" w:hAnsi="宋体" w:eastAsia="仿宋_GB2312" w:cs="宋体"/>
          <w:sz w:val="28"/>
          <w:szCs w:val="28"/>
          <w:lang w:val="en-US" w:eastAsia="zh-CN"/>
        </w:rPr>
        <w:t xml:space="preserve"> 中级国土空间规划师</w:t>
      </w:r>
    </w:p>
    <w:p>
      <w:pPr>
        <w:rPr>
          <w:rFonts w:hint="default"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w:t>
      </w:r>
      <w:r>
        <w:rPr>
          <w:rFonts w:hint="eastAsia" w:ascii="仿宋_GB2312" w:hAnsi="宋体" w:eastAsia="仿宋_GB2312" w:cs="宋体"/>
          <w:sz w:val="28"/>
          <w:szCs w:val="28"/>
          <w:lang w:val="en-US" w:eastAsia="zh-CN"/>
        </w:rPr>
        <w:t>技术负责人</w:t>
      </w:r>
      <w:r>
        <w:rPr>
          <w:rFonts w:hint="eastAsia" w:ascii="仿宋_GB2312" w:hAnsi="宋体" w:eastAsia="仿宋_GB2312" w:cs="宋体"/>
          <w:sz w:val="28"/>
          <w:szCs w:val="28"/>
          <w:lang w:eastAsia="zh-CN"/>
        </w:rPr>
        <w:t>：</w:t>
      </w:r>
      <w:r>
        <w:rPr>
          <w:rFonts w:hint="eastAsia" w:ascii="仿宋_GB2312" w:hAnsi="宋体" w:eastAsia="仿宋_GB2312" w:cs="宋体"/>
          <w:sz w:val="28"/>
          <w:szCs w:val="28"/>
          <w:lang w:val="en-US" w:eastAsia="zh-CN"/>
        </w:rPr>
        <w:t>汤静</w:t>
      </w:r>
      <w:r>
        <w:rPr>
          <w:rFonts w:hint="eastAsia" w:ascii="仿宋_GB2312" w:hAnsi="宋体" w:eastAsia="仿宋_GB2312" w:cs="宋体"/>
          <w:sz w:val="28"/>
          <w:szCs w:val="28"/>
          <w:lang w:eastAsia="zh-CN"/>
        </w:rPr>
        <w:t xml:space="preserve">  注册城乡规划师</w:t>
      </w:r>
      <w:r>
        <w:rPr>
          <w:rFonts w:hint="eastAsia" w:ascii="仿宋_GB2312" w:hAnsi="宋体" w:eastAsia="仿宋_GB2312" w:cs="宋体"/>
          <w:sz w:val="28"/>
          <w:szCs w:val="28"/>
          <w:lang w:val="en-US" w:eastAsia="zh-CN"/>
        </w:rPr>
        <w:t xml:space="preserve"> 高级国土空间规划师</w:t>
      </w:r>
    </w:p>
    <w:p>
      <w:pPr>
        <w:rPr>
          <w:rFonts w:hint="eastAsia"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项目组成员：</w:t>
      </w:r>
      <w:r>
        <w:rPr>
          <w:rFonts w:hint="eastAsia" w:ascii="仿宋_GB2312" w:hAnsi="宋体" w:eastAsia="仿宋_GB2312" w:cs="宋体"/>
          <w:sz w:val="28"/>
          <w:szCs w:val="28"/>
          <w:lang w:val="en-US" w:eastAsia="zh-CN"/>
        </w:rPr>
        <w:t>曾红 工程师</w:t>
      </w:r>
    </w:p>
    <w:p>
      <w:pPr>
        <w:pStyle w:val="9"/>
        <w:rPr>
          <w:rFonts w:hint="default"/>
          <w:lang w:val="en-US" w:eastAsia="zh-CN"/>
        </w:rPr>
      </w:pPr>
      <w:r>
        <w:rPr>
          <w:rFonts w:hint="eastAsia" w:ascii="仿宋_GB2312" w:hAnsi="宋体" w:eastAsia="仿宋_GB2312" w:cs="宋体"/>
          <w:sz w:val="28"/>
          <w:szCs w:val="28"/>
          <w:lang w:val="en-US" w:eastAsia="zh-CN"/>
        </w:rPr>
        <w:t xml:space="preserve">            张慧琳 助理工程师</w:t>
      </w:r>
    </w:p>
    <w:p>
      <w:pPr>
        <w:pStyle w:val="9"/>
        <w:rPr>
          <w:rFonts w:hint="eastAsia" w:ascii="仿宋_GB2312" w:hAnsi="宋体" w:eastAsia="仿宋_GB2312" w:cs="宋体"/>
          <w:sz w:val="28"/>
          <w:szCs w:val="28"/>
          <w:lang w:val="en-US" w:eastAsia="zh-CN"/>
        </w:rPr>
      </w:pPr>
    </w:p>
    <w:p>
      <w:pPr>
        <w:rPr>
          <w:rFonts w:hint="default"/>
          <w:lang w:val="en-US" w:eastAsia="zh-CN"/>
        </w:rPr>
        <w:sectPr>
          <w:pgSz w:w="11906" w:h="16838"/>
          <w:pgMar w:top="1440" w:right="1800" w:bottom="1440" w:left="1800" w:header="851" w:footer="992" w:gutter="0"/>
          <w:pgNumType w:fmt="decimal" w:start="1"/>
          <w:cols w:space="425" w:num="1"/>
          <w:titlePg/>
          <w:docGrid w:type="lines" w:linePitch="326" w:charSpace="0"/>
        </w:sectPr>
      </w:pPr>
      <w:r>
        <w:rPr>
          <w:rFonts w:hint="eastAsia" w:ascii="仿宋_GB2312" w:hAnsi="宋体" w:eastAsia="仿宋_GB2312" w:cs="宋体"/>
          <w:sz w:val="28"/>
          <w:szCs w:val="28"/>
          <w:lang w:val="en-US" w:eastAsia="zh-CN"/>
        </w:rPr>
        <w:t xml:space="preserve">    </w:t>
      </w:r>
    </w:p>
    <w:bookmarkEnd w:id="0"/>
    <w:p>
      <w:pPr>
        <w:kinsoku/>
        <w:autoSpaceDE/>
        <w:autoSpaceDN/>
        <w:adjustRightInd/>
        <w:snapToGrid/>
        <w:spacing w:line="240" w:lineRule="auto"/>
        <w:jc w:val="center"/>
        <w:textAlignment w:val="auto"/>
        <w:rPr>
          <w:b/>
        </w:rPr>
      </w:pPr>
      <w:r>
        <w:rPr>
          <w:rFonts w:hint="eastAsia"/>
          <w:b/>
          <w:sz w:val="36"/>
        </w:rPr>
        <w:t>目</w:t>
      </w:r>
      <w:r>
        <w:rPr>
          <w:rFonts w:hint="eastAsia"/>
          <w:sz w:val="36"/>
        </w:rPr>
        <w:t xml:space="preserve"> </w:t>
      </w:r>
      <w:r>
        <w:rPr>
          <w:rFonts w:hint="eastAsia"/>
          <w:b/>
          <w:sz w:val="36"/>
        </w:rPr>
        <w:t>录</w:t>
      </w:r>
    </w:p>
    <w:p>
      <w:pPr>
        <w:pStyle w:val="18"/>
        <w:tabs>
          <w:tab w:val="right" w:leader="dot" w:pos="9746"/>
          <w:tab w:val="clear" w:pos="8296"/>
        </w:tabs>
      </w:pP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instrText xml:space="preserve"> TOC \o "1-2" \h \z \u </w:instrText>
      </w: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fldChar w:fldCharType="separate"/>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14:textOutline w14:w="5791" w14:cap="sq" w14:cmpd="sng" w14:algn="ctr">
            <w14:solidFill>
              <w14:srgbClr w14:val="000000"/>
            </w14:solidFill>
            <w14:prstDash w14:val="solid"/>
            <w14:bevel/>
          </w14:textOutline>
        </w:rPr>
        <w:instrText xml:space="preserve"> HYPERLINK \l _Toc7188 </w:instrText>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separate"/>
      </w:r>
      <w:r>
        <w:rPr>
          <w:rFonts w:hint="eastAsia" w:ascii="黑体" w:hAnsi="黑体" w:eastAsia="黑体" w:cs="黑体"/>
          <w:lang w:eastAsia="zh-CN"/>
        </w:rPr>
        <w:t>第一章 现状基础和风险问题挑战</w:t>
      </w:r>
      <w:r>
        <w:tab/>
      </w:r>
      <w:r>
        <w:fldChar w:fldCharType="begin"/>
      </w:r>
      <w:r>
        <w:instrText xml:space="preserve"> PAGEREF _Toc7188 \h </w:instrText>
      </w:r>
      <w:r>
        <w:fldChar w:fldCharType="separate"/>
      </w:r>
      <w:r>
        <w:t>1</w:t>
      </w:r>
      <w:r>
        <w:fldChar w:fldCharType="end"/>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_Toc23326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现状特征</w:t>
      </w:r>
      <w:r>
        <w:tab/>
      </w:r>
      <w:r>
        <w:fldChar w:fldCharType="begin"/>
      </w:r>
      <w:r>
        <w:instrText xml:space="preserve"> PAGEREF _Toc23326 \h </w:instrText>
      </w:r>
      <w:r>
        <w:fldChar w:fldCharType="separate"/>
      </w:r>
      <w:r>
        <w:t>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_Toc12384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问题与风险</w:t>
      </w:r>
      <w:r>
        <w:tab/>
      </w:r>
      <w:r>
        <w:fldChar w:fldCharType="begin"/>
      </w:r>
      <w:r>
        <w:instrText xml:space="preserve"> PAGEREF _Toc12384 \h </w:instrText>
      </w:r>
      <w:r>
        <w:fldChar w:fldCharType="separate"/>
      </w:r>
      <w:r>
        <w:t>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_Toc8363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w:t>
      </w:r>
      <w:r>
        <w:rPr>
          <w:rFonts w:hint="eastAsia"/>
          <w:lang w:val="en-US" w:eastAsia="zh-CN"/>
        </w:rPr>
        <w:t>三</w:t>
      </w:r>
      <w:r>
        <w:rPr>
          <w:rFonts w:hint="eastAsia"/>
          <w:lang w:eastAsia="zh-CN"/>
        </w:rPr>
        <w:t>节 机遇与挑战</w:t>
      </w:r>
      <w:r>
        <w:tab/>
      </w:r>
      <w:r>
        <w:fldChar w:fldCharType="begin"/>
      </w:r>
      <w:r>
        <w:instrText xml:space="preserve"> PAGEREF _Toc8363 \h </w:instrText>
      </w:r>
      <w:r>
        <w:fldChar w:fldCharType="separate"/>
      </w:r>
      <w:r>
        <w:t>10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_Toc18954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二</w:t>
      </w:r>
      <w:r>
        <w:rPr>
          <w:lang w:eastAsia="zh-CN"/>
        </w:rPr>
        <w:t xml:space="preserve">章 </w:t>
      </w:r>
      <w:r>
        <w:rPr>
          <w:rFonts w:hint="eastAsia"/>
          <w:lang w:eastAsia="zh-CN"/>
        </w:rPr>
        <w:t>发展定位目标</w:t>
      </w:r>
      <w:r>
        <w:tab/>
      </w:r>
      <w:r>
        <w:fldChar w:fldCharType="begin"/>
      </w:r>
      <w:r>
        <w:instrText xml:space="preserve"> PAGEREF _Toc18954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_Toc16346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指导思想</w:t>
      </w:r>
      <w:r>
        <w:tab/>
      </w:r>
      <w:r>
        <w:fldChar w:fldCharType="begin"/>
      </w:r>
      <w:r>
        <w:instrText xml:space="preserve"> PAGEREF _Toc16346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_Toc9872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highlight w:val="none"/>
        </w:rPr>
        <w:t>第</w:t>
      </w:r>
      <w:r>
        <w:rPr>
          <w:rFonts w:hint="eastAsia"/>
          <w:highlight w:val="none"/>
        </w:rPr>
        <w:t>二</w:t>
      </w:r>
      <w:r>
        <w:rPr>
          <w:highlight w:val="none"/>
        </w:rPr>
        <w:t xml:space="preserve">节 </w:t>
      </w:r>
      <w:r>
        <w:rPr>
          <w:rFonts w:hint="eastAsia"/>
          <w:highlight w:val="none"/>
        </w:rPr>
        <w:t>发展定位</w:t>
      </w:r>
      <w:r>
        <w:tab/>
      </w:r>
      <w:r>
        <w:fldChar w:fldCharType="begin"/>
      </w:r>
      <w:r>
        <w:instrText xml:space="preserve"> PAGEREF _Toc9872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_Toc50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三</w:t>
      </w:r>
      <w:r>
        <w:t xml:space="preserve">节 </w:t>
      </w:r>
      <w:r>
        <w:rPr>
          <w:rFonts w:hint="eastAsia"/>
        </w:rPr>
        <w:t>发展目标</w:t>
      </w:r>
      <w:r>
        <w:tab/>
      </w:r>
      <w:r>
        <w:fldChar w:fldCharType="begin"/>
      </w:r>
      <w:r>
        <w:instrText xml:space="preserve"> PAGEREF _Toc50 \h </w:instrText>
      </w:r>
      <w:r>
        <w:fldChar w:fldCharType="separate"/>
      </w:r>
      <w:r>
        <w:t>13</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_Toc22381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三</w:t>
      </w:r>
      <w:r>
        <w:rPr>
          <w:lang w:eastAsia="zh-CN"/>
        </w:rPr>
        <w:t xml:space="preserve">章 </w:t>
      </w:r>
      <w:r>
        <w:rPr>
          <w:rFonts w:hint="eastAsia"/>
          <w:lang w:eastAsia="zh-CN"/>
        </w:rPr>
        <w:t>国土空间格局</w:t>
      </w:r>
      <w:r>
        <w:tab/>
      </w:r>
      <w:r>
        <w:fldChar w:fldCharType="begin"/>
      </w:r>
      <w:r>
        <w:instrText xml:space="preserve"> PAGEREF _Toc22381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_Toc15622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一</w:t>
      </w:r>
      <w:r>
        <w:t xml:space="preserve">节 </w:t>
      </w:r>
      <w:r>
        <w:rPr>
          <w:rFonts w:hint="eastAsia"/>
        </w:rPr>
        <w:t>构建总体新格局</w:t>
      </w:r>
      <w:r>
        <w:tab/>
      </w:r>
      <w:r>
        <w:fldChar w:fldCharType="begin"/>
      </w:r>
      <w:r>
        <w:instrText xml:space="preserve"> PAGEREF _Toc15622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_Toc17231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w:t>
      </w:r>
      <w:r>
        <w:rPr>
          <w:rFonts w:hint="eastAsia"/>
          <w:lang w:val="en-US" w:eastAsia="zh-CN"/>
        </w:rPr>
        <w:t>三</w:t>
      </w:r>
      <w:r>
        <w:rPr>
          <w:rFonts w:hint="eastAsia"/>
        </w:rPr>
        <w:t>节 合理划定规划分区</w:t>
      </w:r>
      <w:r>
        <w:tab/>
      </w:r>
      <w:r>
        <w:fldChar w:fldCharType="begin"/>
      </w:r>
      <w:r>
        <w:instrText xml:space="preserve"> PAGEREF _Toc17231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_Toc24680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四</w:t>
      </w:r>
      <w:r>
        <w:rPr>
          <w:lang w:eastAsia="zh-CN"/>
        </w:rPr>
        <w:t xml:space="preserve">章 </w:t>
      </w:r>
      <w:r>
        <w:rPr>
          <w:rFonts w:hint="eastAsia"/>
          <w:lang w:eastAsia="zh-CN"/>
        </w:rPr>
        <w:t>国土空间保护</w:t>
      </w:r>
      <w:r>
        <w:tab/>
      </w:r>
      <w:r>
        <w:fldChar w:fldCharType="begin"/>
      </w:r>
      <w:r>
        <w:instrText xml:space="preserve"> PAGEREF _Toc24680 \h </w:instrText>
      </w:r>
      <w:r>
        <w:fldChar w:fldCharType="separate"/>
      </w:r>
      <w:r>
        <w:t>19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_Toc14765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生态环境保护</w:t>
      </w:r>
      <w:r>
        <w:tab/>
      </w:r>
      <w:r>
        <w:fldChar w:fldCharType="begin"/>
      </w:r>
      <w:r>
        <w:instrText xml:space="preserve"> PAGEREF _Toc14765 \h </w:instrText>
      </w:r>
      <w:r>
        <w:fldChar w:fldCharType="separate"/>
      </w:r>
      <w:r>
        <w:t>19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_Toc6880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历史文化遗产保护</w:t>
      </w:r>
      <w:r>
        <w:tab/>
      </w:r>
      <w:r>
        <w:fldChar w:fldCharType="begin"/>
      </w:r>
      <w:r>
        <w:instrText xml:space="preserve"> PAGEREF _Toc6880 \h </w:instrText>
      </w:r>
      <w:r>
        <w:fldChar w:fldCharType="separate"/>
      </w:r>
      <w:r>
        <w:t>22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_Toc29750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五</w:t>
      </w:r>
      <w:r>
        <w:rPr>
          <w:lang w:eastAsia="zh-CN"/>
        </w:rPr>
        <w:t xml:space="preserve">章 </w:t>
      </w:r>
      <w:r>
        <w:rPr>
          <w:rFonts w:hint="eastAsia"/>
          <w:lang w:eastAsia="zh-CN"/>
        </w:rPr>
        <w:t>国土空间开发</w:t>
      </w:r>
      <w:r>
        <w:tab/>
      </w:r>
      <w:r>
        <w:fldChar w:fldCharType="begin"/>
      </w:r>
      <w:r>
        <w:instrText xml:space="preserve"> PAGEREF _Toc29750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_Toc26005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 xml:space="preserve">第一节 </w:t>
      </w:r>
      <w:r>
        <w:rPr>
          <w:rFonts w:hint="eastAsia"/>
        </w:rPr>
        <w:t>镇村体系</w:t>
      </w:r>
      <w:r>
        <w:tab/>
      </w:r>
      <w:r>
        <w:fldChar w:fldCharType="begin"/>
      </w:r>
      <w:r>
        <w:instrText xml:space="preserve"> PAGEREF _Toc26005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_Toc31938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二</w:t>
      </w:r>
      <w:r>
        <w:t xml:space="preserve">节 </w:t>
      </w:r>
      <w:r>
        <w:rPr>
          <w:rFonts w:hint="eastAsia"/>
        </w:rPr>
        <w:t>建设用地布局</w:t>
      </w:r>
      <w:r>
        <w:tab/>
      </w:r>
      <w:r>
        <w:fldChar w:fldCharType="begin"/>
      </w:r>
      <w:r>
        <w:instrText xml:space="preserve"> PAGEREF _Toc31938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_Toc2831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三</w:t>
      </w:r>
      <w:r>
        <w:t xml:space="preserve">节 </w:t>
      </w:r>
      <w:r>
        <w:rPr>
          <w:rFonts w:hint="eastAsia"/>
        </w:rPr>
        <w:t>产业发展布局</w:t>
      </w:r>
      <w:r>
        <w:tab/>
      </w:r>
      <w:r>
        <w:fldChar w:fldCharType="begin"/>
      </w:r>
      <w:r>
        <w:instrText xml:space="preserve"> PAGEREF _Toc2831 \h </w:instrText>
      </w:r>
      <w:r>
        <w:fldChar w:fldCharType="separate"/>
      </w:r>
      <w:r>
        <w:t>27</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_Toc25502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四</w:t>
      </w:r>
      <w:r>
        <w:t xml:space="preserve">节 </w:t>
      </w:r>
      <w:r>
        <w:rPr>
          <w:rFonts w:hint="eastAsia"/>
        </w:rPr>
        <w:t>矿产资源利用</w:t>
      </w:r>
      <w:r>
        <w:tab/>
      </w:r>
      <w:r>
        <w:fldChar w:fldCharType="begin"/>
      </w:r>
      <w:r>
        <w:instrText xml:space="preserve"> PAGEREF _Toc25502 \h </w:instrText>
      </w:r>
      <w:r>
        <w:fldChar w:fldCharType="separate"/>
      </w:r>
      <w:r>
        <w:t>30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_Toc4797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五</w:t>
      </w:r>
      <w:r>
        <w:t xml:space="preserve">节 </w:t>
      </w:r>
      <w:r>
        <w:rPr>
          <w:rFonts w:hint="eastAsia"/>
        </w:rPr>
        <w:t>综合交通规划</w:t>
      </w:r>
      <w:r>
        <w:tab/>
      </w:r>
      <w:r>
        <w:fldChar w:fldCharType="begin"/>
      </w:r>
      <w:r>
        <w:instrText xml:space="preserve"> PAGEREF _Toc4797 \h </w:instrText>
      </w:r>
      <w:r>
        <w:fldChar w:fldCharType="separate"/>
      </w:r>
      <w:r>
        <w:t>32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_Toc20847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第六节 基础设施配套</w:t>
      </w:r>
      <w:r>
        <w:tab/>
      </w:r>
      <w:r>
        <w:fldChar w:fldCharType="begin"/>
      </w:r>
      <w:r>
        <w:instrText xml:space="preserve"> PAGEREF _Toc20847 \h </w:instrText>
      </w:r>
      <w:r>
        <w:fldChar w:fldCharType="separate"/>
      </w:r>
      <w:r>
        <w:t>38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_Toc3546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七</w:t>
      </w:r>
      <w:r>
        <w:t xml:space="preserve">节 </w:t>
      </w:r>
      <w:r>
        <w:rPr>
          <w:rFonts w:hint="eastAsia"/>
        </w:rPr>
        <w:t>公共服务设施配套</w:t>
      </w:r>
      <w:r>
        <w:tab/>
      </w:r>
      <w:r>
        <w:fldChar w:fldCharType="begin"/>
      </w:r>
      <w:r>
        <w:instrText xml:space="preserve"> PAGEREF _Toc3546 \h </w:instrText>
      </w:r>
      <w:r>
        <w:fldChar w:fldCharType="separate"/>
      </w:r>
      <w:r>
        <w:t>42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_Toc6405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八</w:t>
      </w:r>
      <w:r>
        <w:t xml:space="preserve">节 </w:t>
      </w:r>
      <w:r>
        <w:rPr>
          <w:rFonts w:hint="eastAsia"/>
        </w:rPr>
        <w:t>公共安全设施配套</w:t>
      </w:r>
      <w:r>
        <w:tab/>
      </w:r>
      <w:r>
        <w:fldChar w:fldCharType="begin"/>
      </w:r>
      <w:r>
        <w:instrText xml:space="preserve"> PAGEREF _Toc6405 \h </w:instrText>
      </w:r>
      <w:r>
        <w:fldChar w:fldCharType="separate"/>
      </w:r>
      <w:r>
        <w:t>44</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_Toc30836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九</w:t>
      </w:r>
      <w:r>
        <w:t xml:space="preserve">节 </w:t>
      </w:r>
      <w:r>
        <w:rPr>
          <w:rFonts w:hint="eastAsia"/>
        </w:rPr>
        <w:t>村庄规划指引</w:t>
      </w:r>
      <w:r>
        <w:tab/>
      </w:r>
      <w:r>
        <w:fldChar w:fldCharType="begin"/>
      </w:r>
      <w:r>
        <w:instrText xml:space="preserve"> PAGEREF _Toc30836 \h </w:instrText>
      </w:r>
      <w:r>
        <w:fldChar w:fldCharType="separate"/>
      </w:r>
      <w:r>
        <w:t>47</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_Toc20680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十</w:t>
      </w:r>
      <w:r>
        <w:t>节 全域详细规划编制单元</w:t>
      </w:r>
      <w:r>
        <w:tab/>
      </w:r>
      <w:r>
        <w:fldChar w:fldCharType="begin"/>
      </w:r>
      <w:r>
        <w:instrText xml:space="preserve"> PAGEREF _Toc20680 \h </w:instrText>
      </w:r>
      <w:r>
        <w:fldChar w:fldCharType="separate"/>
      </w:r>
      <w:r>
        <w:t>48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_Toc14232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七</w:t>
      </w:r>
      <w:r>
        <w:rPr>
          <w:lang w:eastAsia="zh-CN"/>
        </w:rPr>
        <w:t xml:space="preserve">章 </w:t>
      </w:r>
      <w:r>
        <w:rPr>
          <w:rFonts w:hint="eastAsia"/>
          <w:lang w:val="en-US" w:eastAsia="zh-CN"/>
        </w:rPr>
        <w:t>镇</w:t>
      </w:r>
      <w:r>
        <w:rPr>
          <w:rFonts w:hint="eastAsia"/>
          <w:lang w:eastAsia="zh-CN"/>
        </w:rPr>
        <w:t>政府驻地规划</w:t>
      </w:r>
      <w:r>
        <w:tab/>
      </w:r>
      <w:r>
        <w:fldChar w:fldCharType="begin"/>
      </w:r>
      <w:r>
        <w:instrText xml:space="preserve"> PAGEREF _Toc14232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_Toc30899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 xml:space="preserve">第一节 </w:t>
      </w:r>
      <w:r>
        <w:rPr>
          <w:rFonts w:hint="eastAsia"/>
          <w:lang w:val="en-US" w:eastAsia="zh-CN"/>
        </w:rPr>
        <w:t>镇</w:t>
      </w:r>
      <w:r>
        <w:rPr>
          <w:rFonts w:hint="eastAsia"/>
        </w:rPr>
        <w:t>政府驻地规划范围</w:t>
      </w:r>
      <w:r>
        <w:tab/>
      </w:r>
      <w:r>
        <w:fldChar w:fldCharType="begin"/>
      </w:r>
      <w:r>
        <w:instrText xml:space="preserve"> PAGEREF _Toc30899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_Toc17906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八</w:t>
      </w:r>
      <w:r>
        <w:rPr>
          <w:lang w:eastAsia="zh-CN"/>
        </w:rPr>
        <w:t xml:space="preserve">章 </w:t>
      </w:r>
      <w:r>
        <w:rPr>
          <w:rFonts w:hint="eastAsia"/>
          <w:lang w:eastAsia="zh-CN"/>
        </w:rPr>
        <w:t>乡镇风貌设计</w:t>
      </w:r>
      <w:r>
        <w:tab/>
      </w:r>
      <w:r>
        <w:fldChar w:fldCharType="begin"/>
      </w:r>
      <w:r>
        <w:instrText xml:space="preserve"> PAGEREF _Toc17906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_Toc6386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总体要求</w:t>
      </w:r>
      <w:r>
        <w:tab/>
      </w:r>
      <w:r>
        <w:fldChar w:fldCharType="begin"/>
      </w:r>
      <w:r>
        <w:instrText xml:space="preserve"> PAGEREF _Toc6386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_Toc27239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 xml:space="preserve">第二节 </w:t>
      </w:r>
      <w:r>
        <w:rPr>
          <w:rFonts w:hint="eastAsia"/>
          <w:lang w:val="en-US" w:eastAsia="zh-CN"/>
        </w:rPr>
        <w:t>镇</w:t>
      </w:r>
      <w:r>
        <w:rPr>
          <w:rFonts w:hint="eastAsia"/>
        </w:rPr>
        <w:t>政府驻地设计指引</w:t>
      </w:r>
      <w:r>
        <w:tab/>
      </w:r>
      <w:r>
        <w:fldChar w:fldCharType="begin"/>
      </w:r>
      <w:r>
        <w:instrText xml:space="preserve"> PAGEREF _Toc27239 \h </w:instrText>
      </w:r>
      <w:r>
        <w:fldChar w:fldCharType="separate"/>
      </w:r>
      <w:r>
        <w:t>61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_Toc26268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乡村设计指引</w:t>
      </w:r>
      <w:r>
        <w:tab/>
      </w:r>
      <w:r>
        <w:fldChar w:fldCharType="begin"/>
      </w:r>
      <w:r>
        <w:instrText xml:space="preserve"> PAGEREF _Toc26268 \h </w:instrText>
      </w:r>
      <w:r>
        <w:fldChar w:fldCharType="separate"/>
      </w:r>
      <w:r>
        <w:t>64</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_Toc28778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第九章 重点项目计划</w:t>
      </w:r>
      <w:r>
        <w:tab/>
      </w:r>
      <w:r>
        <w:fldChar w:fldCharType="begin"/>
      </w:r>
      <w:r>
        <w:instrText xml:space="preserve"> PAGEREF _Toc28778 \h </w:instrText>
      </w:r>
      <w:r>
        <w:fldChar w:fldCharType="separate"/>
      </w:r>
      <w:r>
        <w:t>68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_Toc10026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第十章 规划实施保障</w:t>
      </w:r>
      <w:r>
        <w:tab/>
      </w:r>
      <w:r>
        <w:fldChar w:fldCharType="begin"/>
      </w:r>
      <w:r>
        <w:instrText xml:space="preserve"> PAGEREF _Toc10026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_Toc22561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组织机制</w:t>
      </w:r>
      <w:r>
        <w:tab/>
      </w:r>
      <w:r>
        <w:fldChar w:fldCharType="begin"/>
      </w:r>
      <w:r>
        <w:instrText xml:space="preserve"> PAGEREF _Toc22561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_Toc4233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政策支持</w:t>
      </w:r>
      <w:r>
        <w:tab/>
      </w:r>
      <w:r>
        <w:fldChar w:fldCharType="begin"/>
      </w:r>
      <w:r>
        <w:instrText xml:space="preserve"> PAGEREF _Toc4233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_Toc25752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宣传引导</w:t>
      </w:r>
      <w:r>
        <w:tab/>
      </w:r>
      <w:r>
        <w:fldChar w:fldCharType="begin"/>
      </w:r>
      <w:r>
        <w:instrText xml:space="preserve"> PAGEREF _Toc25752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_Toc4872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第四节 监督实施</w:t>
      </w:r>
      <w:r>
        <w:tab/>
      </w:r>
      <w:r>
        <w:fldChar w:fldCharType="begin"/>
      </w:r>
      <w:r>
        <w:instrText xml:space="preserve"> PAGEREF _Toc4872 \h </w:instrText>
      </w:r>
      <w:r>
        <w:fldChar w:fldCharType="separate"/>
      </w:r>
      <w:r>
        <w:t>70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spacing w:line="640" w:lineRule="exact"/>
        <w:jc w:val="both"/>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pPr>
        <w:pStyle w:val="2"/>
        <w:rPr>
          <w:rFonts w:hint="eastAsia"/>
          <w:lang w:eastAsia="zh-CN"/>
        </w:rPr>
        <w:sectPr>
          <w:footerReference r:id="rId11" w:type="first"/>
          <w:headerReference r:id="rId9" w:type="default"/>
          <w:footerReference r:id="rId10" w:type="default"/>
          <w:pgSz w:w="11906" w:h="16838"/>
          <w:pgMar w:top="1440" w:right="1080" w:bottom="1440" w:left="1080" w:header="822" w:footer="907" w:gutter="0"/>
          <w:pgNumType w:fmt="decimal" w:start="1"/>
          <w:cols w:space="425" w:num="1"/>
          <w:docGrid w:type="lines" w:linePitch="326" w:charSpace="0"/>
        </w:sectPr>
      </w:pPr>
    </w:p>
    <w:p>
      <w:pPr>
        <w:rPr>
          <w:rFonts w:hint="eastAsia"/>
          <w:lang w:eastAsia="zh-CN"/>
        </w:rPr>
        <w:sectPr>
          <w:footerReference r:id="rId12" w:type="default"/>
          <w:type w:val="continuous"/>
          <w:pgSz w:w="11906" w:h="16838"/>
          <w:pgMar w:top="1440" w:right="1080" w:bottom="1440" w:left="1080" w:header="822" w:footer="907" w:gutter="0"/>
          <w:pgNumType w:fmt="decimal" w:start="1"/>
          <w:cols w:space="425" w:num="1"/>
          <w:docGrid w:type="lines" w:linePitch="326" w:charSpace="0"/>
        </w:sectPr>
      </w:pPr>
    </w:p>
    <w:p>
      <w:pPr>
        <w:pStyle w:val="5"/>
        <w:bidi w:val="0"/>
        <w:jc w:val="center"/>
        <w:rPr>
          <w:rFonts w:hint="eastAsia"/>
          <w:lang w:eastAsia="zh-CN"/>
        </w:rPr>
      </w:pPr>
      <w:r>
        <w:rPr>
          <w:rFonts w:hint="eastAsia"/>
          <w:lang w:eastAsia="zh-CN"/>
        </w:rPr>
        <w:t>前言</w:t>
      </w:r>
    </w:p>
    <w:p>
      <w:pPr>
        <w:pStyle w:val="32"/>
        <w:ind w:firstLine="720"/>
        <w:rPr>
          <w:rFonts w:hint="default"/>
          <w:lang w:eastAsia="zh-CN"/>
        </w:rPr>
      </w:pPr>
      <w:bookmarkStart w:id="1" w:name="_Toc171694870"/>
      <w:r>
        <w:rPr>
          <w:rFonts w:hint="eastAsia"/>
          <w:lang w:val="en-US" w:eastAsia="zh-CN"/>
        </w:rPr>
        <w:t>西渡镇为衡阳县城关镇</w:t>
      </w:r>
      <w:r>
        <w:rPr>
          <w:rFonts w:hint="eastAsia"/>
          <w:lang w:eastAsia="zh-CN"/>
        </w:rPr>
        <w:t>，地处湘南地区，隶属于衡阳市。东与樟树乡、杉桥镇相接，南邻衡南县，西</w:t>
      </w:r>
      <w:r>
        <w:rPr>
          <w:rFonts w:hint="eastAsia"/>
          <w:lang w:val="en-US" w:eastAsia="zh-CN"/>
        </w:rPr>
        <w:t>临</w:t>
      </w:r>
      <w:r>
        <w:rPr>
          <w:rFonts w:hint="eastAsia"/>
          <w:lang w:eastAsia="zh-CN"/>
        </w:rPr>
        <w:t>演陂镇与岘山镇，北与台源镇为界。镇内蒸水河流经</w:t>
      </w:r>
      <w:r>
        <w:rPr>
          <w:rFonts w:hint="eastAsia"/>
          <w:lang w:val="en-US" w:eastAsia="zh-CN"/>
        </w:rPr>
        <w:t>23.6</w:t>
      </w:r>
      <w:r>
        <w:rPr>
          <w:rFonts w:hint="eastAsia"/>
          <w:lang w:eastAsia="zh-CN"/>
        </w:rPr>
        <w:t>千米，水系丰富，生态优美。得天独厚的地理位置使西渡成为衡阳都市</w:t>
      </w:r>
      <w:r>
        <w:rPr>
          <w:rFonts w:hint="eastAsia"/>
          <w:lang w:val="en-US" w:eastAsia="zh-CN"/>
        </w:rPr>
        <w:t>圈</w:t>
      </w:r>
      <w:r>
        <w:rPr>
          <w:rFonts w:hint="eastAsia"/>
          <w:lang w:eastAsia="zh-CN"/>
        </w:rPr>
        <w:t>的副中心，并通过多条高速公路及铁路与衡阳市区紧密连接，交通优势突出</w:t>
      </w:r>
      <w:r>
        <w:rPr>
          <w:lang w:eastAsia="zh-CN"/>
        </w:rPr>
        <w:t>。</w:t>
      </w:r>
    </w:p>
    <w:p>
      <w:pPr>
        <w:pStyle w:val="32"/>
        <w:ind w:firstLine="720"/>
        <w:rPr>
          <w:rFonts w:hint="default"/>
          <w:lang w:eastAsia="zh-CN"/>
        </w:rPr>
      </w:pPr>
      <w:r>
        <w:rPr>
          <w:lang w:eastAsia="zh-CN"/>
        </w:rPr>
        <w:t>为加快建立和完善国土空间规划体系，以习近平新时代中国特色社会主义思想为指导，全面贯彻党的二十大精神，按照《中共中央 国务院关于建立国土空间规划体系并监督实施的若干意见》（中发〔2019〕18号）、《中共湖南省委湖南省人民政府印发&lt;关于建立全省国土空间规划体系并监督实施的意见&gt;的通知》（湘发〔2020〕9号）等文件要求，紧密结合</w:t>
      </w:r>
      <w:r>
        <w:rPr>
          <w:rFonts w:hint="eastAsia"/>
          <w:lang w:eastAsia="zh-CN"/>
        </w:rPr>
        <w:t>西渡镇</w:t>
      </w:r>
      <w:r>
        <w:rPr>
          <w:lang w:eastAsia="zh-CN"/>
        </w:rPr>
        <w:t>实际，衔接《</w:t>
      </w:r>
      <w:r>
        <w:rPr>
          <w:rFonts w:hint="eastAsia"/>
          <w:lang w:eastAsia="zh-CN"/>
        </w:rPr>
        <w:t>衡阳县</w:t>
      </w:r>
      <w:r>
        <w:rPr>
          <w:lang w:eastAsia="zh-CN"/>
        </w:rPr>
        <w:t>国土空间总体规划（2021-2035</w:t>
      </w:r>
      <w:r>
        <w:rPr>
          <w:rFonts w:hint="eastAsia"/>
          <w:lang w:val="en-US" w:eastAsia="zh-CN"/>
        </w:rPr>
        <w:t>年</w:t>
      </w:r>
      <w:r>
        <w:rPr>
          <w:lang w:eastAsia="zh-CN"/>
        </w:rPr>
        <w:t>）》新要求，编制《</w:t>
      </w:r>
      <w:r>
        <w:rPr>
          <w:rFonts w:hint="eastAsia"/>
          <w:lang w:eastAsia="zh-CN"/>
        </w:rPr>
        <w:t>衡阳县西渡镇</w:t>
      </w:r>
      <w:r>
        <w:rPr>
          <w:lang w:eastAsia="zh-CN"/>
        </w:rPr>
        <w:t>国土空间规划（2021-2035年）》（以下简称《规划》）。</w:t>
      </w:r>
    </w:p>
    <w:p>
      <w:pPr>
        <w:pStyle w:val="32"/>
        <w:ind w:firstLine="720"/>
        <w:rPr>
          <w:rFonts w:hint="default"/>
          <w:lang w:eastAsia="zh-CN"/>
        </w:rPr>
      </w:pPr>
      <w:r>
        <w:rPr>
          <w:lang w:eastAsia="zh-CN"/>
        </w:rPr>
        <w:t>《规划》是</w:t>
      </w:r>
      <w:r>
        <w:rPr>
          <w:rFonts w:hint="eastAsia"/>
          <w:lang w:eastAsia="zh-CN"/>
        </w:rPr>
        <w:t>西渡镇</w:t>
      </w:r>
      <w:r>
        <w:rPr>
          <w:lang w:eastAsia="zh-CN"/>
        </w:rPr>
        <w:t>实施国土空间用途管制</w:t>
      </w:r>
      <w:r>
        <w:rPr>
          <w:rFonts w:hint="eastAsia"/>
          <w:lang w:val="en-US" w:eastAsia="zh-CN"/>
        </w:rPr>
        <w:t>的</w:t>
      </w:r>
      <w:r>
        <w:rPr>
          <w:lang w:eastAsia="zh-CN"/>
        </w:rPr>
        <w:t>基本依据。</w:t>
      </w:r>
    </w:p>
    <w:p>
      <w:pPr>
        <w:pStyle w:val="32"/>
        <w:ind w:firstLine="720"/>
        <w:rPr>
          <w:rFonts w:hint="default"/>
          <w:lang w:eastAsia="zh-CN"/>
        </w:rPr>
      </w:pPr>
      <w:r>
        <w:rPr>
          <w:lang w:eastAsia="zh-CN"/>
        </w:rPr>
        <w:t>本规划包括乡镇行政辖区全域和乡镇政府驻地两个空间层次。</w:t>
      </w:r>
      <w:r>
        <w:rPr>
          <w:rFonts w:hint="eastAsia"/>
          <w:lang w:val="en-US" w:eastAsia="zh-CN"/>
        </w:rPr>
        <w:t>镇</w:t>
      </w:r>
      <w:r>
        <w:rPr>
          <w:lang w:eastAsia="zh-CN"/>
        </w:rPr>
        <w:t>域范围总面积为</w:t>
      </w:r>
      <w:r>
        <w:rPr>
          <w:rFonts w:hint="eastAsia"/>
          <w:lang w:val="en-US" w:eastAsia="zh-CN"/>
        </w:rPr>
        <w:t>152.95平方千米</w:t>
      </w:r>
      <w:r>
        <w:rPr>
          <w:highlight w:val="none"/>
          <w:lang w:eastAsia="zh-CN"/>
        </w:rPr>
        <w:t>。</w:t>
      </w:r>
      <w:r>
        <w:rPr>
          <w:rFonts w:hint="eastAsia"/>
          <w:highlight w:val="none"/>
          <w:lang w:eastAsia="zh-CN"/>
        </w:rPr>
        <w:t>西渡镇</w:t>
      </w:r>
      <w:r>
        <w:rPr>
          <w:rFonts w:hint="eastAsia" w:ascii="仿宋" w:hAnsi="仿宋"/>
          <w:szCs w:val="24"/>
          <w:highlight w:val="none"/>
          <w:lang w:eastAsia="zh-CN"/>
        </w:rPr>
        <w:t>下辖</w:t>
      </w:r>
      <w:r>
        <w:rPr>
          <w:rFonts w:hint="eastAsia" w:ascii="仿宋" w:hAnsi="仿宋"/>
          <w:szCs w:val="24"/>
          <w:highlight w:val="none"/>
          <w:lang w:val="en-US" w:eastAsia="zh-CN"/>
        </w:rPr>
        <w:t>13</w:t>
      </w:r>
      <w:r>
        <w:rPr>
          <w:rFonts w:hint="eastAsia" w:ascii="仿宋" w:hAnsi="仿宋"/>
          <w:szCs w:val="24"/>
          <w:highlight w:val="none"/>
          <w:lang w:eastAsia="zh-CN"/>
        </w:rPr>
        <w:t>个社区：</w:t>
      </w:r>
      <w:r>
        <w:rPr>
          <w:rFonts w:hint="eastAsia" w:ascii="Times New Roman" w:hAnsi="Times New Roman"/>
          <w:highlight w:val="none"/>
          <w:lang w:val="en-US" w:eastAsia="zh-CN"/>
        </w:rPr>
        <w:t>壕塘社区、春风社区、江口社区、明翰社区、蒸阳社区、滨江社区、米子社区、保安社区、槐花社区、三联社区、江山社区、英陂社区、阳古社区</w:t>
      </w:r>
      <w:r>
        <w:rPr>
          <w:rFonts w:hint="eastAsia" w:ascii="仿宋" w:hAnsi="仿宋"/>
          <w:szCs w:val="24"/>
          <w:highlight w:val="none"/>
          <w:lang w:eastAsia="zh-CN"/>
        </w:rPr>
        <w:t>，</w:t>
      </w:r>
      <w:r>
        <w:rPr>
          <w:rFonts w:hint="eastAsia" w:ascii="仿宋" w:hAnsi="仿宋"/>
          <w:szCs w:val="24"/>
          <w:lang w:val="en-US" w:eastAsia="zh-CN"/>
        </w:rPr>
        <w:t>七个独立单元：</w:t>
      </w:r>
      <w:r>
        <w:rPr>
          <w:rFonts w:hint="eastAsia" w:ascii="仿宋" w:hAnsi="仿宋"/>
          <w:szCs w:val="24"/>
          <w:lang w:eastAsia="zh-CN"/>
        </w:rPr>
        <w:t>县畜牧场、老英陂农场、园艺场、县合成药厂、县苗圃、黄陂塘水库、园艺场，2</w:t>
      </w:r>
      <w:r>
        <w:rPr>
          <w:rFonts w:hint="eastAsia" w:ascii="仿宋" w:hAnsi="仿宋"/>
          <w:szCs w:val="24"/>
          <w:lang w:val="en-US" w:eastAsia="zh-CN"/>
        </w:rPr>
        <w:t>2</w:t>
      </w:r>
      <w:r>
        <w:rPr>
          <w:rFonts w:hint="eastAsia" w:ascii="仿宋" w:hAnsi="仿宋"/>
          <w:szCs w:val="24"/>
          <w:lang w:eastAsia="zh-CN"/>
        </w:rPr>
        <w:t>个行政村：</w:t>
      </w:r>
      <w:r>
        <w:rPr>
          <w:rFonts w:hint="eastAsia" w:ascii="仿宋" w:hAnsi="仿宋"/>
          <w:szCs w:val="24"/>
          <w:highlight w:val="none"/>
          <w:lang w:eastAsia="zh-CN"/>
        </w:rPr>
        <w:t>西渡村、</w:t>
      </w:r>
      <w:r>
        <w:rPr>
          <w:rFonts w:hint="eastAsia" w:ascii="仿宋" w:hAnsi="仿宋"/>
          <w:szCs w:val="24"/>
          <w:highlight w:val="none"/>
          <w:lang w:val="en-US" w:eastAsia="zh-CN"/>
        </w:rPr>
        <w:t>小海村、</w:t>
      </w:r>
      <w:r>
        <w:rPr>
          <w:rFonts w:hint="eastAsia" w:ascii="仿宋" w:hAnsi="仿宋"/>
          <w:szCs w:val="24"/>
          <w:highlight w:val="none"/>
          <w:lang w:eastAsia="zh-CN"/>
        </w:rPr>
        <w:t>保安村、赤水村、桐桥村、咸水村、梅花村、陡岭村、英南村、天星村、青里村、豆陂村、新桥村、振兴村、盘龙村、秋塘村、清平村、福星村、咸中亭村、黄林村、梅竹村、清江村</w:t>
      </w:r>
      <w:r>
        <w:rPr>
          <w:rFonts w:hint="eastAsia" w:ascii="仿宋" w:hAnsi="仿宋"/>
          <w:szCs w:val="24"/>
          <w:highlight w:val="none"/>
          <w:lang w:val="en-US" w:eastAsia="zh-CN"/>
        </w:rPr>
        <w:t>,</w:t>
      </w:r>
      <w:r>
        <w:rPr>
          <w:highlight w:val="none"/>
          <w:lang w:eastAsia="zh-CN"/>
        </w:rPr>
        <w:t>采用单</w:t>
      </w:r>
      <w:r>
        <w:rPr>
          <w:rFonts w:hint="eastAsia" w:ascii="仿宋" w:hAnsi="仿宋"/>
          <w:szCs w:val="24"/>
          <w:highlight w:val="none"/>
          <w:lang w:eastAsia="zh-CN"/>
        </w:rPr>
        <w:t>独编制村</w:t>
      </w:r>
      <w:r>
        <w:rPr>
          <w:highlight w:val="none"/>
          <w:lang w:eastAsia="zh-CN"/>
        </w:rPr>
        <w:t>庄规划</w:t>
      </w:r>
      <w:r>
        <w:rPr>
          <w:rFonts w:hint="eastAsia"/>
          <w:highlight w:val="none"/>
          <w:lang w:eastAsia="zh-CN"/>
        </w:rPr>
        <w:t>。</w:t>
      </w:r>
    </w:p>
    <w:p>
      <w:pPr>
        <w:pStyle w:val="32"/>
        <w:ind w:firstLine="720"/>
        <w:rPr>
          <w:rFonts w:hint="default"/>
          <w:lang w:val="en-US" w:eastAsia="zh-CN"/>
        </w:rPr>
      </w:pPr>
      <w:r>
        <w:rPr>
          <w:lang w:eastAsia="zh-CN"/>
        </w:rPr>
        <w:t>《规划》基期年为2020年，规划期限为2021年至2035年，近期至20</w:t>
      </w:r>
      <w:r>
        <w:rPr>
          <w:rFonts w:hint="eastAsia"/>
          <w:lang w:val="en-US" w:eastAsia="zh-CN"/>
        </w:rPr>
        <w:t>30</w:t>
      </w:r>
      <w:r>
        <w:rPr>
          <w:lang w:eastAsia="zh-CN"/>
        </w:rPr>
        <w:t>年，</w:t>
      </w:r>
      <w:r>
        <w:rPr>
          <w:rFonts w:hint="eastAsia"/>
          <w:lang w:val="en-US" w:eastAsia="zh-CN"/>
        </w:rPr>
        <w:t>远期</w:t>
      </w:r>
      <w:r>
        <w:rPr>
          <w:lang w:eastAsia="zh-CN"/>
        </w:rPr>
        <w:t>至2035年。</w:t>
      </w:r>
      <w:r>
        <w:rPr>
          <w:rFonts w:hint="eastAsia"/>
          <w:lang w:val="en-US" w:eastAsia="zh-CN"/>
        </w:rPr>
        <w:t>本规划基础矢量数据采用第三次国土调查数据，社会人口基础资料更新至2024年。</w:t>
      </w:r>
    </w:p>
    <w:p>
      <w:pPr>
        <w:pStyle w:val="32"/>
        <w:ind w:firstLine="720"/>
        <w:rPr>
          <w:lang w:eastAsia="zh-CN"/>
        </w:rPr>
        <w:sectPr>
          <w:headerReference r:id="rId13" w:type="default"/>
          <w:footerReference r:id="rId14" w:type="default"/>
          <w:pgSz w:w="11906" w:h="16838"/>
          <w:pgMar w:top="1440" w:right="1080" w:bottom="1440" w:left="1080" w:header="822" w:footer="907" w:gutter="0"/>
          <w:pgNumType w:fmt="decimal" w:start="1"/>
          <w:cols w:space="425" w:num="1"/>
          <w:docGrid w:type="lines" w:linePitch="326" w:charSpace="0"/>
        </w:sectPr>
      </w:pPr>
      <w:r>
        <w:rPr>
          <w:lang w:eastAsia="zh-CN"/>
        </w:rPr>
        <w:t>文中“</w:t>
      </w:r>
      <w:r>
        <w:rPr>
          <w:u w:val="single"/>
          <w:lang w:eastAsia="zh-CN"/>
        </w:rPr>
        <w:t>下划线</w:t>
      </w:r>
      <w:r>
        <w:rPr>
          <w:lang w:eastAsia="zh-CN"/>
        </w:rPr>
        <w:t>”部分为本规划的强制性内容。强制性内容是国土空间规划必须遵守的基本内容，也是对规划实施进行监督检查的基本依据。</w:t>
      </w:r>
      <w:bookmarkEnd w:id="1"/>
    </w:p>
    <w:p>
      <w:pPr>
        <w:pStyle w:val="2"/>
        <w:spacing w:before="326" w:after="326"/>
        <w:rPr>
          <w:rFonts w:hint="eastAsia" w:ascii="黑体" w:hAnsi="黑体" w:eastAsia="黑体" w:cs="黑体"/>
          <w:lang w:eastAsia="zh-CN"/>
        </w:rPr>
      </w:pPr>
      <w:bookmarkStart w:id="2" w:name="_Toc7188"/>
      <w:r>
        <w:rPr>
          <w:rFonts w:hint="eastAsia" w:ascii="黑体" w:hAnsi="黑体" w:eastAsia="黑体" w:cs="黑体"/>
          <w:lang w:eastAsia="zh-CN"/>
        </w:rPr>
        <w:t>第一章 现状基础和风险问题挑战</w:t>
      </w:r>
      <w:bookmarkEnd w:id="2"/>
    </w:p>
    <w:p>
      <w:pPr>
        <w:pStyle w:val="3"/>
      </w:pPr>
      <w:bookmarkStart w:id="3" w:name="_Toc23326"/>
      <w:r>
        <w:rPr>
          <w:rFonts w:hint="eastAsia"/>
        </w:rPr>
        <w:t>第一节 现状特征</w:t>
      </w:r>
      <w:bookmarkEnd w:id="3"/>
    </w:p>
    <w:p>
      <w:pPr>
        <w:pStyle w:val="4"/>
        <w:rPr>
          <w:rFonts w:cs="仿宋"/>
          <w:bCs/>
        </w:rPr>
      </w:pPr>
      <w:r>
        <w:t>自然地理条件</w:t>
      </w:r>
    </w:p>
    <w:p>
      <w:pPr>
        <w:pStyle w:val="5"/>
        <w:rPr>
          <w:rFonts w:hint="eastAsia"/>
          <w:lang w:eastAsia="zh-CN"/>
        </w:rPr>
      </w:pPr>
      <w:r>
        <w:rPr>
          <w:rFonts w:hint="eastAsia"/>
          <w:lang w:val="en-US" w:eastAsia="zh-CN"/>
        </w:rPr>
        <w:t>1、</w:t>
      </w:r>
      <w:r>
        <w:rPr>
          <w:rFonts w:hint="eastAsia"/>
          <w:lang w:eastAsia="zh-CN"/>
        </w:rPr>
        <w:t>地理区位</w:t>
      </w:r>
    </w:p>
    <w:p>
      <w:pPr>
        <w:pStyle w:val="32"/>
        <w:ind w:firstLine="720"/>
        <w:rPr>
          <w:rFonts w:hint="default"/>
          <w:lang w:eastAsia="zh-CN"/>
        </w:rPr>
      </w:pPr>
      <w:r>
        <w:rPr>
          <w:rFonts w:hint="eastAsia"/>
          <w:lang w:eastAsia="zh-CN"/>
        </w:rPr>
        <w:t>西渡镇</w:t>
      </w:r>
      <w:r>
        <w:rPr>
          <w:rFonts w:hint="eastAsia"/>
          <w:lang w:val="en-US" w:eastAsia="zh-CN"/>
        </w:rPr>
        <w:t>为衡阳县城关镇</w:t>
      </w:r>
      <w:r>
        <w:rPr>
          <w:rFonts w:hint="eastAsia"/>
          <w:lang w:eastAsia="zh-CN"/>
        </w:rPr>
        <w:t>，地处湘南地区，隶属于衡阳市。东与樟树乡、杉桥镇相接，南邻衡南县，西</w:t>
      </w:r>
      <w:r>
        <w:rPr>
          <w:rFonts w:hint="eastAsia"/>
          <w:lang w:val="en-US" w:eastAsia="zh-CN"/>
        </w:rPr>
        <w:t>临</w:t>
      </w:r>
      <w:r>
        <w:rPr>
          <w:rFonts w:hint="eastAsia"/>
          <w:lang w:eastAsia="zh-CN"/>
        </w:rPr>
        <w:t>演陂镇与岘山镇，北与台源镇为界。得天独厚的地理位置使西渡成为衡阳“西南云大”都市</w:t>
      </w:r>
      <w:r>
        <w:rPr>
          <w:rFonts w:hint="eastAsia"/>
          <w:lang w:val="en-US" w:eastAsia="zh-CN"/>
        </w:rPr>
        <w:t>圈</w:t>
      </w:r>
      <w:r>
        <w:rPr>
          <w:rFonts w:hint="eastAsia"/>
          <w:lang w:eastAsia="zh-CN"/>
        </w:rPr>
        <w:t>的副中心，并通过多条高速公路及铁路与衡阳市区紧密连接，交通优势突出。距衡阳市区25千米，车程</w:t>
      </w:r>
      <w:r>
        <w:rPr>
          <w:rFonts w:hint="eastAsia"/>
          <w:lang w:val="en-US" w:eastAsia="zh-CN"/>
        </w:rPr>
        <w:t>35</w:t>
      </w:r>
      <w:r>
        <w:rPr>
          <w:rFonts w:hint="eastAsia"/>
          <w:lang w:eastAsia="zh-CN"/>
        </w:rPr>
        <w:t>分钟；距衡阳东站（高铁站）仅47千米，车程58分钟。镇域面积15295.2763公顷（229429.14亩），下辖</w:t>
      </w:r>
      <w:r>
        <w:rPr>
          <w:rFonts w:hint="eastAsia"/>
          <w:lang w:val="en-US" w:eastAsia="zh-CN"/>
        </w:rPr>
        <w:t>13个社区</w:t>
      </w:r>
      <w:r>
        <w:rPr>
          <w:rFonts w:hint="eastAsia"/>
          <w:lang w:eastAsia="zh-CN"/>
        </w:rPr>
        <w:t>、22个行政村。</w:t>
      </w:r>
    </w:p>
    <w:p>
      <w:pPr>
        <w:pStyle w:val="5"/>
        <w:rPr>
          <w:rFonts w:hint="eastAsia"/>
          <w:lang w:val="en-US" w:eastAsia="zh-CN"/>
        </w:rPr>
      </w:pPr>
      <w:r>
        <w:rPr>
          <w:rFonts w:hint="eastAsia"/>
          <w:lang w:val="en-US" w:eastAsia="zh-CN"/>
        </w:rPr>
        <w:t>2、地形地貌</w:t>
      </w:r>
    </w:p>
    <w:p>
      <w:pPr>
        <w:pStyle w:val="32"/>
        <w:ind w:firstLine="720"/>
        <w:rPr>
          <w:rFonts w:hint="eastAsia"/>
          <w:lang w:val="en-US" w:eastAsia="zh-CN"/>
        </w:rPr>
      </w:pPr>
      <w:r>
        <w:rPr>
          <w:rFonts w:hint="eastAsia"/>
          <w:lang w:val="en-US" w:eastAsia="zh-CN"/>
        </w:rPr>
        <w:t>西渡镇地势平坦，丘陵与平原交替，典型的湘南丘陵地貌。地形地貌较为复杂，有丘陵、河谷平原等多种地貌类型；境内丘陵起伏，地势由北向南倾斜，最高点为北部边境山体，海拔142米，最低点为南侧边境蒸水河两旁洲地，海拔40余米。</w:t>
      </w:r>
    </w:p>
    <w:p>
      <w:pPr>
        <w:pStyle w:val="5"/>
        <w:rPr>
          <w:rFonts w:hint="default"/>
          <w:lang w:val="en-US" w:eastAsia="zh-CN"/>
        </w:rPr>
      </w:pPr>
      <w:r>
        <w:rPr>
          <w:rFonts w:hint="eastAsia"/>
          <w:lang w:val="en-US" w:eastAsia="zh-CN"/>
        </w:rPr>
        <w:t>3、</w:t>
      </w:r>
      <w:r>
        <w:rPr>
          <w:rFonts w:hint="default"/>
          <w:lang w:val="en-US" w:eastAsia="zh-CN"/>
        </w:rPr>
        <w:t>气候条件</w:t>
      </w:r>
    </w:p>
    <w:p>
      <w:pPr>
        <w:pStyle w:val="32"/>
        <w:ind w:firstLine="720"/>
        <w:rPr>
          <w:rFonts w:hint="default"/>
          <w:lang w:val="en-US" w:eastAsia="zh-CN"/>
        </w:rPr>
      </w:pPr>
      <w:r>
        <w:rPr>
          <w:rFonts w:hint="default"/>
          <w:lang w:val="en-US" w:eastAsia="zh-CN"/>
        </w:rPr>
        <w:t>西渡镇属于亚热带季风气候区，年均气温约17℃-18℃，年降水量约1200毫米，气候温和湿润，四季分明，适宜各类农作物生长。得益于充沛的降水和温暖的气候条件，西渡镇的农业生产条件优越，特别适合水稻、油菜等农作物的种植。</w:t>
      </w:r>
    </w:p>
    <w:p>
      <w:pPr>
        <w:pStyle w:val="5"/>
        <w:rPr>
          <w:rFonts w:hint="default"/>
          <w:lang w:val="en-US" w:eastAsia="zh-CN"/>
        </w:rPr>
      </w:pPr>
      <w:r>
        <w:rPr>
          <w:rFonts w:hint="eastAsia"/>
          <w:lang w:val="en-US" w:eastAsia="zh-CN"/>
        </w:rPr>
        <w:t>4、</w:t>
      </w:r>
      <w:r>
        <w:rPr>
          <w:rFonts w:hint="default"/>
          <w:lang w:val="en-US" w:eastAsia="zh-CN"/>
        </w:rPr>
        <w:t>水资源条件</w:t>
      </w:r>
    </w:p>
    <w:p>
      <w:pPr>
        <w:pStyle w:val="32"/>
        <w:ind w:firstLine="720"/>
        <w:rPr>
          <w:rFonts w:hint="default"/>
          <w:lang w:val="en-US" w:eastAsia="zh-CN"/>
        </w:rPr>
      </w:pPr>
      <w:r>
        <w:rPr>
          <w:rFonts w:hint="default"/>
          <w:lang w:val="en-US" w:eastAsia="zh-CN"/>
        </w:rPr>
        <w:t>西渡镇境内的蒸水河提供了丰富的水资源，是主要的水源供应线。河流流经</w:t>
      </w:r>
      <w:r>
        <w:rPr>
          <w:rFonts w:hint="eastAsia"/>
          <w:lang w:val="en-US" w:eastAsia="zh-CN"/>
        </w:rPr>
        <w:t>25千米</w:t>
      </w:r>
      <w:r>
        <w:rPr>
          <w:rFonts w:hint="default"/>
          <w:lang w:val="en-US" w:eastAsia="zh-CN"/>
        </w:rPr>
        <w:t>，水量充沛，适宜农业灌溉、渔业养殖及居民生活用水。良好的水文条件不仅支撑了镇内的农业发展，也为未来的水产养殖和生态旅游提供了可持续的基础。</w:t>
      </w:r>
    </w:p>
    <w:p>
      <w:pPr>
        <w:pStyle w:val="4"/>
      </w:pPr>
      <w:r>
        <w:rPr>
          <w:rFonts w:hint="eastAsia"/>
        </w:rPr>
        <w:t>社会经济状况</w:t>
      </w:r>
    </w:p>
    <w:p>
      <w:pPr>
        <w:pStyle w:val="5"/>
        <w:rPr>
          <w:lang w:eastAsia="zh-CN"/>
        </w:rPr>
      </w:pPr>
      <w:r>
        <w:rPr>
          <w:rFonts w:hint="eastAsia"/>
          <w:lang w:eastAsia="zh-CN"/>
        </w:rPr>
        <w:t>1、人口与劳动力资源状况</w:t>
      </w:r>
    </w:p>
    <w:p>
      <w:pPr>
        <w:pStyle w:val="32"/>
        <w:ind w:firstLine="720"/>
        <w:rPr>
          <w:rFonts w:hint="default"/>
          <w:highlight w:val="none"/>
          <w:lang w:eastAsia="zh-CN"/>
        </w:rPr>
      </w:pPr>
      <w:r>
        <w:rPr>
          <w:rFonts w:hint="eastAsia"/>
          <w:highlight w:val="none"/>
          <w:lang w:eastAsia="zh-CN"/>
        </w:rPr>
        <w:t>2022年，西渡镇常住人口208142</w:t>
      </w:r>
      <w:r>
        <w:rPr>
          <w:rFonts w:hint="eastAsia"/>
          <w:highlight w:val="none"/>
          <w:lang w:val="en-US" w:eastAsia="zh-CN"/>
        </w:rPr>
        <w:t>人</w:t>
      </w:r>
      <w:r>
        <w:rPr>
          <w:rFonts w:hint="eastAsia"/>
          <w:highlight w:val="none"/>
          <w:lang w:eastAsia="zh-CN"/>
        </w:rPr>
        <w:t>，户籍人口165442</w:t>
      </w:r>
      <w:r>
        <w:rPr>
          <w:rFonts w:hint="eastAsia"/>
          <w:highlight w:val="none"/>
          <w:lang w:val="en-US" w:eastAsia="zh-CN"/>
        </w:rPr>
        <w:t>人</w:t>
      </w:r>
      <w:r>
        <w:rPr>
          <w:rFonts w:hint="eastAsia"/>
          <w:highlight w:val="none"/>
          <w:lang w:eastAsia="zh-CN"/>
        </w:rPr>
        <w:t>。（</w:t>
      </w:r>
      <w:r>
        <w:rPr>
          <w:rFonts w:hint="eastAsia"/>
          <w:highlight w:val="none"/>
          <w:lang w:val="en-US" w:eastAsia="zh-CN"/>
        </w:rPr>
        <w:t>暂无2024年最新人口统计数据</w:t>
      </w:r>
      <w:r>
        <w:rPr>
          <w:rFonts w:hint="eastAsia"/>
          <w:highlight w:val="none"/>
          <w:lang w:eastAsia="zh-CN"/>
        </w:rPr>
        <w:t>）</w:t>
      </w:r>
    </w:p>
    <w:p>
      <w:pPr>
        <w:pStyle w:val="5"/>
        <w:rPr>
          <w:lang w:eastAsia="zh-CN"/>
        </w:rPr>
      </w:pPr>
      <w:r>
        <w:rPr>
          <w:rFonts w:hint="eastAsia"/>
          <w:lang w:eastAsia="zh-CN"/>
        </w:rPr>
        <w:t>2、</w:t>
      </w:r>
      <w:r>
        <w:rPr>
          <w:lang w:eastAsia="zh-CN"/>
        </w:rPr>
        <w:t>产业发展</w:t>
      </w:r>
    </w:p>
    <w:p>
      <w:pPr>
        <w:pStyle w:val="32"/>
        <w:ind w:firstLine="720"/>
        <w:rPr>
          <w:rFonts w:hint="default"/>
          <w:lang w:eastAsia="zh-CN"/>
        </w:rPr>
      </w:pPr>
      <w:r>
        <w:rPr>
          <w:rFonts w:hint="eastAsia"/>
          <w:lang w:eastAsia="zh-CN"/>
        </w:rPr>
        <w:t>西渡镇农业基础稳固，</w:t>
      </w:r>
      <w:r>
        <w:rPr>
          <w:lang w:eastAsia="zh-CN"/>
        </w:rPr>
        <w:t>第一产业</w:t>
      </w:r>
      <w:r>
        <w:rPr>
          <w:rFonts w:hint="eastAsia"/>
          <w:lang w:eastAsia="zh-CN"/>
        </w:rPr>
        <w:t>主要</w:t>
      </w:r>
      <w:r>
        <w:rPr>
          <w:rFonts w:hint="eastAsia"/>
          <w:lang w:val="en-US" w:eastAsia="zh-CN"/>
        </w:rPr>
        <w:t>以</w:t>
      </w:r>
      <w:r>
        <w:rPr>
          <w:rFonts w:hint="eastAsia"/>
          <w:lang w:eastAsia="zh-CN"/>
        </w:rPr>
        <w:t>优质稻谷、棉花、油菜及时鲜蔬菜等</w:t>
      </w:r>
      <w:r>
        <w:rPr>
          <w:rFonts w:hint="eastAsia"/>
          <w:lang w:val="en-US" w:eastAsia="zh-CN"/>
        </w:rPr>
        <w:t>种植为主</w:t>
      </w:r>
      <w:r>
        <w:rPr>
          <w:rFonts w:hint="eastAsia"/>
          <w:lang w:eastAsia="zh-CN"/>
        </w:rPr>
        <w:t>，年种植面积达13.5万亩。养殖业方面，牲猪、菜牛、三黄鸡、蛋鸭及特色养殖如泥鳅、娃娃鱼等形成了特色产业链。农业逐步向现代化、规模化、产业化转型</w:t>
      </w:r>
      <w:r>
        <w:rPr>
          <w:lang w:eastAsia="zh-CN"/>
        </w:rPr>
        <w:t>。</w:t>
      </w:r>
    </w:p>
    <w:p>
      <w:pPr>
        <w:pStyle w:val="32"/>
        <w:ind w:firstLine="720"/>
        <w:rPr>
          <w:rFonts w:hint="default"/>
          <w:lang w:eastAsia="zh-CN"/>
        </w:rPr>
      </w:pPr>
      <w:r>
        <w:rPr>
          <w:rFonts w:hint="eastAsia"/>
          <w:lang w:val="en-US" w:eastAsia="zh-CN"/>
        </w:rPr>
        <w:t>第二产业方面，</w:t>
      </w:r>
      <w:r>
        <w:rPr>
          <w:rFonts w:hint="eastAsia"/>
          <w:lang w:eastAsia="zh-CN"/>
        </w:rPr>
        <w:t>西渡镇的工业化进程不断加速，成为全县重要的工业重镇。多个重点项目落户，如唯品会、船山时间谷、清花湾片区等，涵盖电子商务、现代物流及轻工业制造等领域。工业集聚效应显现，推动了地方经济的转型升级</w:t>
      </w:r>
      <w:r>
        <w:rPr>
          <w:lang w:eastAsia="zh-CN"/>
        </w:rPr>
        <w:t>。</w:t>
      </w:r>
    </w:p>
    <w:p>
      <w:pPr>
        <w:pStyle w:val="32"/>
        <w:ind w:firstLine="720"/>
        <w:rPr>
          <w:rFonts w:hint="default"/>
          <w:highlight w:val="none"/>
          <w:lang w:eastAsia="zh-CN"/>
        </w:rPr>
      </w:pPr>
      <w:r>
        <w:rPr>
          <w:highlight w:val="none"/>
          <w:lang w:eastAsia="zh-CN"/>
        </w:rPr>
        <w:t>第三产业</w:t>
      </w:r>
      <w:r>
        <w:rPr>
          <w:rFonts w:hint="eastAsia"/>
          <w:highlight w:val="none"/>
          <w:lang w:val="en-US" w:eastAsia="zh-CN"/>
        </w:rPr>
        <w:t>方面，</w:t>
      </w:r>
      <w:r>
        <w:rPr>
          <w:rFonts w:hint="eastAsia"/>
          <w:highlight w:val="none"/>
          <w:lang w:eastAsia="zh-CN"/>
        </w:rPr>
        <w:t>西渡镇的服务业，特别是商贸、餐饮和旅游业，快速发展。新桥村和梅花村通过“特色农业+乡村休闲”模式打造田园综合体。梅花村“梅花乐园”，年接待游客72万人次，旅游收入5.72亿元；清花湾生态旅游区打造“一核三带”，2024年新增民宿20家，旅游综合收入突破3亿元</w:t>
      </w:r>
      <w:r>
        <w:rPr>
          <w:highlight w:val="none"/>
          <w:lang w:eastAsia="zh-CN"/>
        </w:rPr>
        <w:t>。</w:t>
      </w:r>
    </w:p>
    <w:p>
      <w:pPr>
        <w:pStyle w:val="5"/>
        <w:rPr>
          <w:lang w:eastAsia="zh-CN"/>
        </w:rPr>
      </w:pPr>
      <w:r>
        <w:rPr>
          <w:rFonts w:hint="eastAsia"/>
          <w:lang w:eastAsia="zh-CN"/>
        </w:rPr>
        <w:t>3、社会发展状况</w:t>
      </w:r>
    </w:p>
    <w:p>
      <w:pPr>
        <w:pStyle w:val="32"/>
        <w:ind w:firstLine="720"/>
        <w:rPr>
          <w:rFonts w:hint="default"/>
          <w:highlight w:val="none"/>
          <w:lang w:val="en-US" w:eastAsia="zh-CN"/>
        </w:rPr>
      </w:pPr>
      <w:r>
        <w:rPr>
          <w:rFonts w:hint="eastAsia"/>
          <w:highlight w:val="none"/>
          <w:lang w:val="en-US" w:eastAsia="zh-CN"/>
        </w:rPr>
        <w:t>公共服务设施概况：</w:t>
      </w:r>
    </w:p>
    <w:p>
      <w:pPr>
        <w:pStyle w:val="32"/>
        <w:ind w:firstLine="720"/>
        <w:rPr>
          <w:highlight w:val="none"/>
          <w:lang w:eastAsia="zh-CN"/>
        </w:rPr>
      </w:pPr>
      <w:r>
        <w:rPr>
          <w:rFonts w:hint="eastAsia"/>
          <w:highlight w:val="none"/>
          <w:lang w:val="en-US" w:eastAsia="zh-CN"/>
        </w:rPr>
        <w:t>（1）</w:t>
      </w:r>
      <w:r>
        <w:rPr>
          <w:rFonts w:hint="default"/>
          <w:highlight w:val="none"/>
          <w:lang w:val="en-US" w:eastAsia="zh-CN"/>
        </w:rPr>
        <w:t>教育</w:t>
      </w:r>
    </w:p>
    <w:p>
      <w:pPr>
        <w:pStyle w:val="32"/>
        <w:ind w:firstLine="720"/>
        <w:rPr>
          <w:highlight w:val="none"/>
          <w:lang w:eastAsia="zh-CN"/>
        </w:rPr>
      </w:pPr>
      <w:r>
        <w:rPr>
          <w:rFonts w:hint="default"/>
          <w:highlight w:val="none"/>
          <w:lang w:eastAsia="zh-CN"/>
        </w:rPr>
        <w:t>义务教育：小学23所、初中10所，在校学生超2.3万人，含新建衡阳县实验学校（九年一贯制，规划容纳5000人）。</w:t>
      </w:r>
    </w:p>
    <w:p>
      <w:pPr>
        <w:pStyle w:val="32"/>
        <w:ind w:firstLine="720"/>
        <w:rPr>
          <w:highlight w:val="none"/>
          <w:lang w:eastAsia="zh-CN"/>
        </w:rPr>
      </w:pPr>
      <w:r>
        <w:rPr>
          <w:rFonts w:hint="default"/>
          <w:highlight w:val="none"/>
          <w:lang w:eastAsia="zh-CN"/>
        </w:rPr>
        <w:t>学前教育：幼儿园46所，在园幼儿5760人。</w:t>
      </w:r>
    </w:p>
    <w:p>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医疗卫生</w:t>
      </w:r>
    </w:p>
    <w:p>
      <w:pPr>
        <w:pStyle w:val="32"/>
        <w:ind w:firstLine="720"/>
        <w:rPr>
          <w:rFonts w:hint="default"/>
          <w:highlight w:val="none"/>
          <w:lang w:eastAsia="zh-CN"/>
        </w:rPr>
      </w:pPr>
      <w:r>
        <w:rPr>
          <w:rFonts w:hint="default"/>
          <w:highlight w:val="none"/>
          <w:lang w:eastAsia="zh-CN"/>
        </w:rPr>
        <w:t>衡阳县人民医院：县域唯一二级甲等综合医院，编制床位990张，年门诊量21万人次，设省级重点专科（骨外科）及120急救中心。</w:t>
      </w:r>
    </w:p>
    <w:p>
      <w:pPr>
        <w:pStyle w:val="32"/>
        <w:ind w:firstLine="720"/>
        <w:rPr>
          <w:rFonts w:hint="default"/>
          <w:highlight w:val="none"/>
          <w:lang w:eastAsia="zh-CN"/>
        </w:rPr>
      </w:pPr>
      <w:r>
        <w:rPr>
          <w:rFonts w:hint="default"/>
          <w:highlight w:val="none"/>
          <w:lang w:eastAsia="zh-CN"/>
        </w:rPr>
        <w:t>衡阳县妇幼保健院：是一所集预防、保健、医疗、教学为一体的二级甲等妇幼保健机构，位于西渡镇中学北路3号。医院编制床位380张，现开设床位210张按规范建设要求设孕产、儿童、妇女保健和计生服务四大部。</w:t>
      </w:r>
    </w:p>
    <w:p>
      <w:pPr>
        <w:pStyle w:val="32"/>
        <w:ind w:firstLine="720"/>
        <w:rPr>
          <w:rFonts w:hint="default"/>
          <w:highlight w:val="none"/>
          <w:lang w:eastAsia="zh-CN"/>
        </w:rPr>
      </w:pPr>
      <w:r>
        <w:rPr>
          <w:rFonts w:hint="default"/>
          <w:highlight w:val="none"/>
          <w:lang w:eastAsia="zh-CN"/>
        </w:rPr>
        <w:t>西渡镇中心卫生院：一级甲等医院，开放床位99张，覆盖基础医疗及公共卫生服务。</w:t>
      </w:r>
    </w:p>
    <w:p>
      <w:pPr>
        <w:pStyle w:val="32"/>
        <w:ind w:firstLine="720"/>
        <w:rPr>
          <w:rFonts w:hint="default"/>
          <w:highlight w:val="none"/>
          <w:lang w:eastAsia="zh-CN"/>
        </w:rPr>
      </w:pPr>
      <w:r>
        <w:rPr>
          <w:rFonts w:hint="default"/>
          <w:highlight w:val="none"/>
          <w:lang w:eastAsia="zh-CN"/>
        </w:rPr>
        <w:t>衡阳湘中医院：是非营利性二级综合医院，位于西渡镇省道315线与清风路交汇处，医疗业务用房8000平方米，开设病床150张，旨在解决群众看病难和看病贵的问题。</w:t>
      </w:r>
    </w:p>
    <w:p>
      <w:pPr>
        <w:pStyle w:val="32"/>
        <w:ind w:firstLine="720"/>
        <w:rPr>
          <w:rFonts w:hint="eastAsia"/>
          <w:highlight w:val="none"/>
          <w:lang w:eastAsia="zh-CN"/>
        </w:rPr>
      </w:pPr>
      <w:r>
        <w:rPr>
          <w:rFonts w:hint="default"/>
          <w:highlight w:val="none"/>
          <w:lang w:eastAsia="zh-CN"/>
        </w:rPr>
        <w:t>衡阳县中医医院</w:t>
      </w:r>
      <w:r>
        <w:rPr>
          <w:rFonts w:hint="eastAsia"/>
          <w:highlight w:val="none"/>
          <w:lang w:eastAsia="zh-CN"/>
        </w:rPr>
        <w:t>：</w:t>
      </w:r>
      <w:r>
        <w:rPr>
          <w:rFonts w:hint="default"/>
          <w:highlight w:val="none"/>
          <w:lang w:eastAsia="zh-CN"/>
        </w:rPr>
        <w:t>是一所集医疗预防、康复保健、科研教学于一体的现代化二级甲等综合性中医医院</w:t>
      </w:r>
      <w:r>
        <w:rPr>
          <w:rFonts w:hint="eastAsia"/>
          <w:highlight w:val="none"/>
          <w:lang w:eastAsia="zh-CN"/>
        </w:rPr>
        <w:t>，</w:t>
      </w:r>
      <w:r>
        <w:rPr>
          <w:rFonts w:hint="default"/>
          <w:highlight w:val="none"/>
          <w:lang w:eastAsia="zh-CN"/>
        </w:rPr>
        <w:t>新院座位于英南新区</w:t>
      </w:r>
      <w:r>
        <w:rPr>
          <w:rFonts w:hint="eastAsia"/>
          <w:highlight w:val="none"/>
          <w:lang w:eastAsia="zh-CN"/>
        </w:rPr>
        <w:t>。</w:t>
      </w:r>
    </w:p>
    <w:p>
      <w:pPr>
        <w:pStyle w:val="32"/>
        <w:ind w:firstLine="720"/>
        <w:rPr>
          <w:rFonts w:hint="eastAsia" w:eastAsia="宋体"/>
          <w:highlight w:val="none"/>
          <w:lang w:eastAsia="zh-CN"/>
        </w:rPr>
      </w:pPr>
      <w:r>
        <w:rPr>
          <w:rFonts w:hint="eastAsia"/>
          <w:highlight w:val="none"/>
          <w:lang w:eastAsia="zh-CN"/>
        </w:rPr>
        <w:t>衡阳蒸阳中医药结合医院：</w:t>
      </w:r>
      <w:r>
        <w:rPr>
          <w:rFonts w:hint="default"/>
          <w:highlight w:val="none"/>
          <w:lang w:eastAsia="zh-CN"/>
        </w:rPr>
        <w:t>成立于2017年12月26日</w:t>
      </w:r>
      <w:r>
        <w:rPr>
          <w:rFonts w:hint="eastAsia"/>
          <w:highlight w:val="none"/>
          <w:lang w:eastAsia="zh-CN"/>
        </w:rPr>
        <w:t>，</w:t>
      </w:r>
      <w:r>
        <w:rPr>
          <w:rFonts w:hint="default"/>
          <w:highlight w:val="none"/>
          <w:lang w:eastAsia="zh-CN"/>
        </w:rPr>
        <w:t>核心业务为中西医结合医疗服务体系搭建，涉及医疗辐射设备临床应用。</w:t>
      </w:r>
    </w:p>
    <w:p>
      <w:pPr>
        <w:pStyle w:val="32"/>
        <w:ind w:firstLine="720"/>
        <w:rPr>
          <w:rFonts w:hint="default"/>
          <w:highlight w:val="none"/>
          <w:lang w:eastAsia="zh-CN"/>
        </w:rPr>
      </w:pPr>
      <w:r>
        <w:rPr>
          <w:rFonts w:hint="default"/>
          <w:highlight w:val="none"/>
          <w:lang w:eastAsia="zh-CN"/>
        </w:rPr>
        <w:t>衡阳祥和精神病医院：是一家经衡阳市卫健委批准的二级民营医院，成立于2023年7月，座落于西渡镇清平村，开放床位299张，技术力量雄厚。</w:t>
      </w:r>
    </w:p>
    <w:p>
      <w:pPr>
        <w:pStyle w:val="32"/>
        <w:ind w:firstLine="720"/>
        <w:rPr>
          <w:rFonts w:hint="default"/>
          <w:highlight w:val="none"/>
          <w:lang w:eastAsia="zh-CN"/>
        </w:rPr>
      </w:pPr>
      <w:r>
        <w:rPr>
          <w:rFonts w:hint="default"/>
          <w:highlight w:val="none"/>
          <w:lang w:eastAsia="zh-CN"/>
        </w:rPr>
        <w:t>衡阳康琪精神病医院：是2022年经市卫健委批准的二级精神专科医院，院址座落于西渡镇西渡村蒸西大道门前组地段，病床299张，设内科、精神科、老年科、医学检验科、医学影像科等。</w:t>
      </w:r>
    </w:p>
    <w:p>
      <w:pPr>
        <w:pStyle w:val="32"/>
        <w:ind w:firstLine="720"/>
        <w:rPr>
          <w:rFonts w:hint="default"/>
          <w:highlight w:val="none"/>
          <w:lang w:eastAsia="zh-CN"/>
        </w:rPr>
      </w:pPr>
      <w:r>
        <w:rPr>
          <w:rFonts w:hint="default"/>
          <w:highlight w:val="none"/>
          <w:lang w:eastAsia="zh-CN"/>
        </w:rPr>
        <w:fldChar w:fldCharType="begin"/>
      </w:r>
      <w:r>
        <w:rPr>
          <w:rFonts w:hint="default"/>
          <w:highlight w:val="none"/>
          <w:lang w:eastAsia="zh-CN"/>
        </w:rPr>
        <w:instrText xml:space="preserve"> HYPERLINK "https://www.baidu.com/link?url=egUcsEPGTayTPnRYdZqi8XhElx891HEmVWk8_JVIWAvQOJS1tNqpGeZHJeLMEtouTJE9N0vDOcxB2jYUOHDxY570EP3FGW-0q9OHhSIoaevvqIkG6-YQIa0Vh-RvCqRBZUFDa1XAcc7JW3XTXuU5CU3Agu_UaYYxZO8K-OD00kViGZFHQefB226dPJ7OeEfcu0esxhBVqIpIH4AOyW6801_wIFeBnjaxju1k51jMsiLjqBfW8L1hBQ-ljg8JLbKwKsAbetkiVPnnQDYxYpl5FQGGLaFERUyYKC4BXdsybe64PWGtsmU5COSR8c1xv-h6RExxKXWSv_Xqxh-EtpuUmF7Px-awqRvYGFxvSYMtHU3&amp;wd=&amp;eqid=ccf5bba5008b61880000000668c0cf02" \t "https://www.baidu.com/_blank" </w:instrText>
      </w:r>
      <w:r>
        <w:rPr>
          <w:rFonts w:hint="default"/>
          <w:highlight w:val="none"/>
          <w:lang w:eastAsia="zh-CN"/>
        </w:rPr>
        <w:fldChar w:fldCharType="separate"/>
      </w:r>
      <w:r>
        <w:rPr>
          <w:rFonts w:hint="default"/>
          <w:highlight w:val="none"/>
          <w:lang w:eastAsia="zh-CN"/>
        </w:rPr>
        <w:t>衡阳怡康精神病医院</w:t>
      </w:r>
      <w:r>
        <w:rPr>
          <w:rFonts w:hint="default"/>
          <w:highlight w:val="none"/>
          <w:lang w:eastAsia="zh-CN"/>
        </w:rPr>
        <w:fldChar w:fldCharType="end"/>
      </w:r>
      <w:r>
        <w:rPr>
          <w:rFonts w:hint="eastAsia"/>
          <w:highlight w:val="none"/>
          <w:lang w:eastAsia="zh-CN"/>
        </w:rPr>
        <w:t>：</w:t>
      </w:r>
      <w:r>
        <w:rPr>
          <w:rFonts w:hint="default"/>
          <w:highlight w:val="none"/>
          <w:lang w:eastAsia="zh-CN"/>
        </w:rPr>
        <w:t>成立于2024年07月10日</w:t>
      </w:r>
      <w:r>
        <w:rPr>
          <w:rFonts w:hint="eastAsia"/>
          <w:highlight w:val="none"/>
          <w:lang w:eastAsia="zh-CN"/>
        </w:rPr>
        <w:t>，</w:t>
      </w:r>
      <w:r>
        <w:rPr>
          <w:rFonts w:hint="default"/>
          <w:highlight w:val="none"/>
          <w:lang w:eastAsia="zh-CN"/>
        </w:rPr>
        <w:t>经营范围包括心理咨询、精神疾病诊断和治疗、老年康复及相关科目服务等</w:t>
      </w:r>
      <w:r>
        <w:rPr>
          <w:rFonts w:hint="eastAsia"/>
          <w:highlight w:val="none"/>
          <w:lang w:eastAsia="zh-CN"/>
        </w:rPr>
        <w:t>。</w:t>
      </w:r>
    </w:p>
    <w:p>
      <w:pPr>
        <w:pStyle w:val="32"/>
        <w:ind w:firstLine="720"/>
        <w:rPr>
          <w:rFonts w:hint="default"/>
          <w:highlight w:val="none"/>
          <w:lang w:eastAsia="zh-CN"/>
        </w:rPr>
      </w:pPr>
      <w:r>
        <w:rPr>
          <w:rFonts w:hint="default"/>
          <w:highlight w:val="none"/>
          <w:lang w:eastAsia="zh-CN"/>
        </w:rPr>
        <w:t>诊所及中医馆</w:t>
      </w:r>
    </w:p>
    <w:p>
      <w:pPr>
        <w:pStyle w:val="32"/>
        <w:ind w:firstLine="720"/>
        <w:rPr>
          <w:rFonts w:hint="default"/>
          <w:highlight w:val="none"/>
          <w:lang w:eastAsia="zh-CN"/>
        </w:rPr>
      </w:pPr>
      <w:r>
        <w:rPr>
          <w:rFonts w:hint="default"/>
          <w:highlight w:val="none"/>
          <w:lang w:eastAsia="zh-CN"/>
        </w:rPr>
        <w:t>衡阳县城东尚品堂中医馆：位于西渡镇蒸阳大道223号。</w:t>
      </w:r>
    </w:p>
    <w:p>
      <w:pPr>
        <w:pStyle w:val="32"/>
        <w:ind w:firstLine="720"/>
        <w:rPr>
          <w:rFonts w:hint="default"/>
          <w:highlight w:val="none"/>
          <w:lang w:eastAsia="zh-CN"/>
        </w:rPr>
      </w:pPr>
      <w:r>
        <w:rPr>
          <w:rFonts w:hint="default"/>
          <w:highlight w:val="none"/>
          <w:lang w:eastAsia="zh-CN"/>
        </w:rPr>
        <w:t>衡阳县九一堂中医馆：位于蒸阳大道147号。</w:t>
      </w:r>
    </w:p>
    <w:p>
      <w:pPr>
        <w:pStyle w:val="32"/>
        <w:ind w:firstLine="720"/>
        <w:rPr>
          <w:rFonts w:hint="default"/>
          <w:highlight w:val="none"/>
          <w:lang w:eastAsia="zh-CN"/>
        </w:rPr>
      </w:pPr>
      <w:r>
        <w:rPr>
          <w:rFonts w:hint="default"/>
          <w:highlight w:val="none"/>
          <w:lang w:eastAsia="zh-CN"/>
        </w:rPr>
        <w:t>衡阳县西渡镇春风中西诊所：位于西渡镇春风中路56号附1号。</w:t>
      </w:r>
    </w:p>
    <w:p>
      <w:pPr>
        <w:pStyle w:val="32"/>
        <w:ind w:firstLine="720"/>
        <w:rPr>
          <w:rFonts w:hint="default"/>
          <w:highlight w:val="none"/>
          <w:lang w:eastAsia="zh-CN"/>
        </w:rPr>
      </w:pPr>
      <w:r>
        <w:rPr>
          <w:rFonts w:hint="default"/>
          <w:highlight w:val="none"/>
          <w:lang w:eastAsia="zh-CN"/>
        </w:rPr>
        <w:t>衡阳县西渡镇中心卫生院滨江社区诊所：位于西渡镇聚庆路65号。</w:t>
      </w:r>
    </w:p>
    <w:p>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文化娱乐</w:t>
      </w:r>
    </w:p>
    <w:p>
      <w:pPr>
        <w:pStyle w:val="32"/>
        <w:ind w:firstLine="720"/>
        <w:rPr>
          <w:highlight w:val="none"/>
          <w:lang w:eastAsia="zh-CN"/>
        </w:rPr>
      </w:pPr>
      <w:r>
        <w:rPr>
          <w:rFonts w:hint="default"/>
          <w:highlight w:val="none"/>
          <w:lang w:eastAsia="zh-CN"/>
        </w:rPr>
        <w:t>中洲公园：城市休闲核心区，集生态、文化、娱乐于一体。</w:t>
      </w:r>
    </w:p>
    <w:p>
      <w:pPr>
        <w:pStyle w:val="32"/>
        <w:ind w:firstLine="720"/>
        <w:rPr>
          <w:highlight w:val="none"/>
          <w:lang w:eastAsia="zh-CN"/>
        </w:rPr>
      </w:pPr>
      <w:r>
        <w:rPr>
          <w:rFonts w:hint="default"/>
          <w:highlight w:val="none"/>
          <w:lang w:eastAsia="zh-CN"/>
        </w:rPr>
        <w:t>镇文化站：1处镇级文化站，村级文化活动中心3处，藏书56万册，支持文艺创作及非遗传承。</w:t>
      </w:r>
    </w:p>
    <w:p>
      <w:pPr>
        <w:pStyle w:val="32"/>
        <w:ind w:firstLine="720"/>
        <w:rPr>
          <w:rFonts w:hint="default"/>
          <w:highlight w:val="none"/>
          <w:lang w:eastAsia="zh-CN"/>
        </w:rPr>
      </w:pPr>
      <w:r>
        <w:rPr>
          <w:rFonts w:hint="eastAsia"/>
          <w:highlight w:val="none"/>
          <w:lang w:val="en-US" w:eastAsia="zh-CN"/>
        </w:rPr>
        <w:t>（4）</w:t>
      </w:r>
      <w:r>
        <w:rPr>
          <w:rFonts w:hint="default"/>
          <w:highlight w:val="none"/>
          <w:lang w:val="en-US" w:eastAsia="zh-CN"/>
        </w:rPr>
        <w:t>交通服务</w:t>
      </w:r>
    </w:p>
    <w:p>
      <w:pPr>
        <w:pStyle w:val="32"/>
        <w:ind w:firstLine="720"/>
        <w:rPr>
          <w:highlight w:val="none"/>
          <w:lang w:eastAsia="zh-CN"/>
        </w:rPr>
      </w:pPr>
      <w:r>
        <w:rPr>
          <w:rFonts w:hint="default"/>
          <w:highlight w:val="none"/>
          <w:lang w:eastAsia="zh-CN"/>
        </w:rPr>
        <w:t>公共交通：城乡公交线路14条，定制通勤专线覆盖高新区，村村通线路26条。</w:t>
      </w:r>
    </w:p>
    <w:p>
      <w:pPr>
        <w:pStyle w:val="32"/>
        <w:ind w:firstLine="720"/>
        <w:rPr>
          <w:rFonts w:hint="default"/>
          <w:highlight w:val="none"/>
          <w:lang w:eastAsia="zh-CN"/>
        </w:rPr>
      </w:pPr>
      <w:r>
        <w:rPr>
          <w:rFonts w:hint="eastAsia"/>
          <w:highlight w:val="none"/>
          <w:lang w:val="en-US" w:eastAsia="zh-CN"/>
        </w:rPr>
        <w:t>（5）</w:t>
      </w:r>
      <w:r>
        <w:rPr>
          <w:rFonts w:hint="default"/>
          <w:highlight w:val="none"/>
          <w:lang w:val="en-US" w:eastAsia="zh-CN"/>
        </w:rPr>
        <w:t>体育设施</w:t>
      </w:r>
    </w:p>
    <w:p>
      <w:pPr>
        <w:pStyle w:val="32"/>
        <w:ind w:firstLine="720"/>
        <w:rPr>
          <w:highlight w:val="none"/>
          <w:lang w:eastAsia="zh-CN"/>
        </w:rPr>
      </w:pPr>
      <w:r>
        <w:rPr>
          <w:rFonts w:hint="default"/>
          <w:highlight w:val="none"/>
          <w:lang w:eastAsia="zh-CN"/>
        </w:rPr>
        <w:t>全民健身路径覆盖社区及行政村，部分学校体育场馆对外开放。</w:t>
      </w:r>
    </w:p>
    <w:p>
      <w:pPr>
        <w:pStyle w:val="32"/>
        <w:ind w:firstLine="720"/>
        <w:rPr>
          <w:rFonts w:hint="default"/>
          <w:highlight w:val="none"/>
          <w:lang w:eastAsia="zh-CN"/>
        </w:rPr>
      </w:pPr>
      <w:r>
        <w:rPr>
          <w:rFonts w:hint="eastAsia"/>
          <w:highlight w:val="none"/>
          <w:lang w:val="en-US" w:eastAsia="zh-CN"/>
        </w:rPr>
        <w:t>（6）</w:t>
      </w:r>
      <w:r>
        <w:rPr>
          <w:rFonts w:hint="default"/>
          <w:highlight w:val="none"/>
          <w:lang w:val="en-US" w:eastAsia="zh-CN"/>
        </w:rPr>
        <w:t>社会福利与保障</w:t>
      </w:r>
    </w:p>
    <w:p>
      <w:pPr>
        <w:pStyle w:val="32"/>
        <w:ind w:firstLine="720"/>
        <w:rPr>
          <w:highlight w:val="none"/>
          <w:lang w:eastAsia="zh-CN"/>
        </w:rPr>
      </w:pPr>
      <w:r>
        <w:rPr>
          <w:rFonts w:hint="default"/>
          <w:highlight w:val="none"/>
          <w:lang w:eastAsia="zh-CN"/>
        </w:rPr>
        <w:t>养老服务：现有养老机构30所（含敬老院、福利院），完成适老化改造及“智慧敬老院”建设，新增县福利院养护楼、养老中心项目。</w:t>
      </w:r>
    </w:p>
    <w:p>
      <w:pPr>
        <w:pStyle w:val="32"/>
        <w:ind w:firstLine="720"/>
        <w:rPr>
          <w:highlight w:val="none"/>
          <w:lang w:eastAsia="zh-CN"/>
        </w:rPr>
      </w:pPr>
      <w:r>
        <w:rPr>
          <w:rFonts w:hint="default"/>
          <w:highlight w:val="none"/>
          <w:lang w:eastAsia="zh-CN"/>
        </w:rPr>
        <w:t>安置工程：推进荷叶一期、怀邵衡铁路西渡安置区等12个安置项目，部分已交付使用。</w:t>
      </w:r>
    </w:p>
    <w:p>
      <w:pPr>
        <w:pStyle w:val="32"/>
        <w:ind w:firstLine="720"/>
        <w:rPr>
          <w:rFonts w:hint="default"/>
          <w:highlight w:val="none"/>
          <w:lang w:eastAsia="zh-CN"/>
        </w:rPr>
      </w:pPr>
      <w:r>
        <w:rPr>
          <w:rFonts w:hint="eastAsia"/>
          <w:highlight w:val="none"/>
          <w:lang w:val="en-US" w:eastAsia="zh-CN"/>
        </w:rPr>
        <w:t>（7）</w:t>
      </w:r>
      <w:r>
        <w:rPr>
          <w:rFonts w:hint="default"/>
          <w:highlight w:val="none"/>
          <w:lang w:val="en-US" w:eastAsia="zh-CN"/>
        </w:rPr>
        <w:t>行政管理与社区服务</w:t>
      </w:r>
    </w:p>
    <w:p>
      <w:pPr>
        <w:pStyle w:val="32"/>
        <w:ind w:firstLine="720"/>
        <w:rPr>
          <w:highlight w:val="none"/>
          <w:lang w:eastAsia="zh-CN"/>
        </w:rPr>
      </w:pPr>
      <w:r>
        <w:rPr>
          <w:rFonts w:hint="default"/>
          <w:highlight w:val="none"/>
          <w:lang w:eastAsia="zh-CN"/>
        </w:rPr>
        <w:t>镇政府：驻槐花南路8号，统筹行政事务及民生服务。</w:t>
      </w:r>
    </w:p>
    <w:p>
      <w:pPr>
        <w:pStyle w:val="32"/>
        <w:ind w:firstLine="720"/>
        <w:rPr>
          <w:highlight w:val="none"/>
          <w:lang w:eastAsia="zh-CN"/>
        </w:rPr>
      </w:pPr>
      <w:r>
        <w:rPr>
          <w:rFonts w:hint="default"/>
          <w:highlight w:val="none"/>
          <w:lang w:eastAsia="zh-CN"/>
        </w:rPr>
        <w:t>社区服务：</w:t>
      </w:r>
      <w:r>
        <w:rPr>
          <w:rFonts w:hint="eastAsia"/>
          <w:highlight w:val="none"/>
          <w:lang w:val="en-US" w:eastAsia="zh-CN"/>
        </w:rPr>
        <w:t>13个社区</w:t>
      </w:r>
      <w:r>
        <w:rPr>
          <w:rFonts w:hint="default"/>
          <w:highlight w:val="none"/>
          <w:lang w:eastAsia="zh-CN"/>
        </w:rPr>
        <w:t>居委会提供就业、社保、计生等综合服务，部分社区配备智慧管理系统。</w:t>
      </w:r>
    </w:p>
    <w:p>
      <w:pPr>
        <w:pStyle w:val="32"/>
        <w:ind w:firstLine="720"/>
        <w:rPr>
          <w:rFonts w:hint="default"/>
          <w:highlight w:val="none"/>
          <w:lang w:eastAsia="zh-CN"/>
        </w:rPr>
      </w:pPr>
      <w:r>
        <w:rPr>
          <w:rFonts w:hint="eastAsia"/>
          <w:highlight w:val="none"/>
          <w:lang w:val="en-US" w:eastAsia="zh-CN"/>
        </w:rPr>
        <w:t>（8）</w:t>
      </w:r>
      <w:r>
        <w:rPr>
          <w:rFonts w:hint="default"/>
          <w:highlight w:val="none"/>
          <w:lang w:val="en-US" w:eastAsia="zh-CN"/>
        </w:rPr>
        <w:t>邮政电信与商业金融</w:t>
      </w:r>
    </w:p>
    <w:p>
      <w:pPr>
        <w:pStyle w:val="32"/>
        <w:ind w:firstLine="720"/>
        <w:rPr>
          <w:highlight w:val="none"/>
          <w:lang w:eastAsia="zh-CN"/>
        </w:rPr>
      </w:pPr>
      <w:r>
        <w:rPr>
          <w:rFonts w:hint="default"/>
          <w:highlight w:val="none"/>
          <w:lang w:eastAsia="zh-CN"/>
        </w:rPr>
        <w:t>邮政网点：覆盖城乡，提供快递、物流服务。</w:t>
      </w:r>
    </w:p>
    <w:p>
      <w:pPr>
        <w:pStyle w:val="32"/>
        <w:ind w:firstLine="720"/>
        <w:rPr>
          <w:highlight w:val="none"/>
          <w:lang w:eastAsia="zh-CN"/>
        </w:rPr>
      </w:pPr>
      <w:r>
        <w:rPr>
          <w:rFonts w:hint="default"/>
          <w:highlight w:val="none"/>
          <w:lang w:eastAsia="zh-CN"/>
        </w:rPr>
        <w:t>金融机构：银行网点布局密集，支持企业及居民金融需求。</w:t>
      </w:r>
    </w:p>
    <w:p>
      <w:pPr>
        <w:pStyle w:val="32"/>
        <w:ind w:firstLine="720"/>
        <w:rPr>
          <w:rFonts w:hint="default"/>
          <w:highlight w:val="none"/>
          <w:lang w:val="en-US" w:eastAsia="zh-CN"/>
        </w:rPr>
      </w:pPr>
      <w:r>
        <w:rPr>
          <w:rFonts w:hint="default"/>
          <w:highlight w:val="none"/>
          <w:lang w:eastAsia="zh-CN"/>
        </w:rPr>
        <w:t>基础设施</w:t>
      </w:r>
      <w:r>
        <w:rPr>
          <w:rFonts w:hint="eastAsia"/>
          <w:highlight w:val="none"/>
          <w:lang w:val="en-US" w:eastAsia="zh-CN"/>
        </w:rPr>
        <w:t>概况：</w:t>
      </w:r>
    </w:p>
    <w:p>
      <w:pPr>
        <w:pStyle w:val="32"/>
        <w:ind w:firstLine="720"/>
        <w:rPr>
          <w:rFonts w:hint="default"/>
          <w:highlight w:val="none"/>
          <w:lang w:eastAsia="zh-CN"/>
        </w:rPr>
      </w:pPr>
      <w:r>
        <w:rPr>
          <w:rFonts w:hint="eastAsia"/>
          <w:highlight w:val="none"/>
          <w:lang w:val="en-US" w:eastAsia="zh-CN"/>
        </w:rPr>
        <w:t>（1）</w:t>
      </w:r>
      <w:r>
        <w:rPr>
          <w:rFonts w:hint="default"/>
          <w:highlight w:val="none"/>
          <w:lang w:val="en-US" w:eastAsia="zh-CN"/>
        </w:rPr>
        <w:t>道路交通</w:t>
      </w:r>
    </w:p>
    <w:p>
      <w:pPr>
        <w:pStyle w:val="32"/>
        <w:ind w:firstLine="720"/>
        <w:rPr>
          <w:highlight w:val="none"/>
          <w:lang w:eastAsia="zh-CN"/>
        </w:rPr>
      </w:pPr>
      <w:r>
        <w:rPr>
          <w:rFonts w:hint="default"/>
          <w:highlight w:val="none"/>
          <w:lang w:eastAsia="zh-CN"/>
        </w:rPr>
        <w:t>公路网络：省道S336贯穿，农村公路通车里程超3</w:t>
      </w:r>
      <w:r>
        <w:rPr>
          <w:rFonts w:hint="eastAsia"/>
          <w:highlight w:val="none"/>
          <w:lang w:val="en-US" w:eastAsia="zh-CN"/>
        </w:rPr>
        <w:t>3</w:t>
      </w:r>
      <w:r>
        <w:rPr>
          <w:rFonts w:hint="default"/>
          <w:highlight w:val="none"/>
          <w:lang w:eastAsia="zh-CN"/>
        </w:rPr>
        <w:t>00</w:t>
      </w:r>
      <w:r>
        <w:rPr>
          <w:rFonts w:hint="eastAsia"/>
          <w:highlight w:val="none"/>
          <w:lang w:eastAsia="zh-CN"/>
        </w:rPr>
        <w:t>千米</w:t>
      </w:r>
      <w:r>
        <w:rPr>
          <w:rFonts w:hint="default"/>
          <w:highlight w:val="none"/>
          <w:lang w:eastAsia="zh-CN"/>
        </w:rPr>
        <w:t>，村村通客车。</w:t>
      </w:r>
    </w:p>
    <w:p>
      <w:pPr>
        <w:pStyle w:val="32"/>
        <w:ind w:firstLine="720"/>
        <w:rPr>
          <w:highlight w:val="none"/>
          <w:lang w:eastAsia="zh-CN"/>
        </w:rPr>
      </w:pPr>
      <w:r>
        <w:rPr>
          <w:rFonts w:hint="default"/>
          <w:highlight w:val="none"/>
          <w:lang w:eastAsia="zh-CN"/>
        </w:rPr>
        <w:t>重点工程：X051西荷线三级公路改建工程（2024年9月通车），S336线路灯补装。</w:t>
      </w:r>
    </w:p>
    <w:p>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给排水与环保</w:t>
      </w:r>
    </w:p>
    <w:p>
      <w:pPr>
        <w:pStyle w:val="32"/>
        <w:ind w:firstLine="720"/>
        <w:rPr>
          <w:highlight w:val="none"/>
          <w:lang w:eastAsia="zh-CN"/>
        </w:rPr>
      </w:pPr>
      <w:r>
        <w:rPr>
          <w:rFonts w:hint="default"/>
          <w:highlight w:val="none"/>
          <w:lang w:eastAsia="zh-CN"/>
        </w:rPr>
        <w:t>排水系统：2024年启动高新片区排水防涝设施一期工程，新建管道4.12</w:t>
      </w:r>
      <w:r>
        <w:rPr>
          <w:rFonts w:hint="eastAsia"/>
          <w:highlight w:val="none"/>
          <w:lang w:eastAsia="zh-CN"/>
        </w:rPr>
        <w:t>千米</w:t>
      </w:r>
      <w:r>
        <w:rPr>
          <w:rFonts w:hint="default"/>
          <w:highlight w:val="none"/>
          <w:lang w:eastAsia="zh-CN"/>
        </w:rPr>
        <w:t>，覆盖米子、英陂社区。</w:t>
      </w:r>
    </w:p>
    <w:p>
      <w:pPr>
        <w:pStyle w:val="32"/>
        <w:ind w:firstLine="720"/>
        <w:rPr>
          <w:highlight w:val="none"/>
          <w:lang w:eastAsia="zh-CN"/>
        </w:rPr>
      </w:pPr>
      <w:r>
        <w:rPr>
          <w:rFonts w:hint="default"/>
          <w:highlight w:val="none"/>
          <w:lang w:eastAsia="zh-CN"/>
        </w:rPr>
        <w:t>供水工程：第二水厂二期扩建工程（2024年启动），设计规模提升至12万吨/日，配套管网覆盖城区。</w:t>
      </w:r>
    </w:p>
    <w:p>
      <w:pPr>
        <w:pStyle w:val="32"/>
        <w:ind w:firstLine="720"/>
        <w:rPr>
          <w:highlight w:val="none"/>
          <w:lang w:eastAsia="zh-CN"/>
        </w:rPr>
      </w:pPr>
      <w:r>
        <w:rPr>
          <w:rFonts w:hint="default"/>
          <w:highlight w:val="none"/>
          <w:lang w:eastAsia="zh-CN"/>
        </w:rPr>
        <w:t>垃圾处理：城乡垃圾处理一体化项目推进中，含餐厨垃圾处理厂及废旧家具处理厂。</w:t>
      </w:r>
    </w:p>
    <w:p>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电力电信</w:t>
      </w:r>
    </w:p>
    <w:p>
      <w:pPr>
        <w:pStyle w:val="32"/>
        <w:ind w:firstLine="720"/>
        <w:rPr>
          <w:highlight w:val="none"/>
          <w:lang w:eastAsia="zh-CN"/>
        </w:rPr>
      </w:pPr>
      <w:r>
        <w:rPr>
          <w:rFonts w:hint="default"/>
          <w:highlight w:val="none"/>
          <w:lang w:eastAsia="zh-CN"/>
        </w:rPr>
        <w:t>电网升级：完成英陂小水电自供区并网改造，船山110千伏变电站保障产业用电。</w:t>
      </w:r>
    </w:p>
    <w:p>
      <w:pPr>
        <w:pStyle w:val="32"/>
        <w:ind w:firstLine="720"/>
        <w:rPr>
          <w:highlight w:val="none"/>
          <w:lang w:eastAsia="zh-CN"/>
        </w:rPr>
      </w:pPr>
      <w:r>
        <w:rPr>
          <w:rFonts w:hint="default"/>
          <w:highlight w:val="none"/>
          <w:lang w:eastAsia="zh-CN"/>
        </w:rPr>
        <w:t>通信网络：5G基站全覆盖，支持智慧园区及电商物流发展。</w:t>
      </w:r>
    </w:p>
    <w:p>
      <w:pPr>
        <w:pStyle w:val="32"/>
        <w:ind w:firstLine="720"/>
        <w:rPr>
          <w:rFonts w:hint="default"/>
          <w:highlight w:val="none"/>
          <w:lang w:eastAsia="zh-CN"/>
        </w:rPr>
      </w:pPr>
      <w:r>
        <w:rPr>
          <w:rFonts w:hint="eastAsia"/>
          <w:highlight w:val="none"/>
          <w:lang w:val="en-US" w:eastAsia="zh-CN"/>
        </w:rPr>
        <w:t>（4）</w:t>
      </w:r>
      <w:r>
        <w:rPr>
          <w:rFonts w:hint="default"/>
          <w:highlight w:val="none"/>
          <w:lang w:val="en-US" w:eastAsia="zh-CN"/>
        </w:rPr>
        <w:t>市政公用工程</w:t>
      </w:r>
    </w:p>
    <w:p>
      <w:pPr>
        <w:pStyle w:val="32"/>
        <w:ind w:firstLine="720"/>
        <w:rPr>
          <w:highlight w:val="none"/>
          <w:lang w:eastAsia="zh-CN"/>
        </w:rPr>
      </w:pPr>
      <w:r>
        <w:rPr>
          <w:rFonts w:hint="default"/>
          <w:highlight w:val="none"/>
          <w:lang w:eastAsia="zh-CN"/>
        </w:rPr>
        <w:t>燃气供应：管道燃气覆盖城区，工商业用户接入率超80%。</w:t>
      </w:r>
    </w:p>
    <w:p>
      <w:pPr>
        <w:pStyle w:val="32"/>
        <w:ind w:firstLine="720"/>
        <w:rPr>
          <w:highlight w:val="none"/>
          <w:lang w:eastAsia="zh-CN"/>
        </w:rPr>
      </w:pPr>
      <w:r>
        <w:rPr>
          <w:rFonts w:hint="default"/>
          <w:highlight w:val="none"/>
          <w:lang w:eastAsia="zh-CN"/>
        </w:rPr>
        <w:t>园林绿化：城区绿化覆盖率达35%，推进公园及道路景观提质。</w:t>
      </w:r>
    </w:p>
    <w:p>
      <w:pPr>
        <w:pStyle w:val="32"/>
        <w:ind w:firstLine="720"/>
        <w:rPr>
          <w:rFonts w:hint="default"/>
          <w:highlight w:val="none"/>
          <w:lang w:eastAsia="zh-CN"/>
        </w:rPr>
      </w:pPr>
      <w:r>
        <w:rPr>
          <w:rFonts w:hint="default"/>
          <w:highlight w:val="none"/>
          <w:lang w:eastAsia="zh-CN"/>
        </w:rPr>
        <w:t>商业设施</w:t>
      </w:r>
      <w:r>
        <w:rPr>
          <w:rFonts w:hint="eastAsia"/>
          <w:highlight w:val="none"/>
          <w:lang w:eastAsia="zh-CN"/>
        </w:rPr>
        <w:t>：</w:t>
      </w:r>
    </w:p>
    <w:p>
      <w:pPr>
        <w:pStyle w:val="32"/>
        <w:ind w:firstLine="720"/>
        <w:rPr>
          <w:rFonts w:hint="default"/>
          <w:highlight w:val="none"/>
          <w:lang w:eastAsia="zh-CN"/>
        </w:rPr>
      </w:pPr>
      <w:r>
        <w:rPr>
          <w:rFonts w:hint="eastAsia"/>
          <w:highlight w:val="none"/>
          <w:lang w:val="en-US" w:eastAsia="zh-CN"/>
        </w:rPr>
        <w:t>（1）</w:t>
      </w:r>
      <w:r>
        <w:rPr>
          <w:rFonts w:hint="default"/>
          <w:highlight w:val="none"/>
          <w:lang w:val="en-US" w:eastAsia="zh-CN"/>
        </w:rPr>
        <w:t>产业园区</w:t>
      </w:r>
    </w:p>
    <w:p>
      <w:pPr>
        <w:pStyle w:val="32"/>
        <w:ind w:firstLine="720"/>
        <w:rPr>
          <w:highlight w:val="none"/>
          <w:lang w:eastAsia="zh-CN"/>
        </w:rPr>
      </w:pPr>
      <w:r>
        <w:rPr>
          <w:rFonts w:hint="default"/>
          <w:highlight w:val="none"/>
          <w:lang w:eastAsia="zh-CN"/>
        </w:rPr>
        <w:t>船山时间谷钟表产业园：签约企业116家，投产55家，形成全产业链集群。</w:t>
      </w:r>
    </w:p>
    <w:p>
      <w:pPr>
        <w:pStyle w:val="32"/>
        <w:ind w:firstLine="720"/>
        <w:rPr>
          <w:highlight w:val="none"/>
          <w:lang w:eastAsia="zh-CN"/>
        </w:rPr>
      </w:pPr>
      <w:r>
        <w:rPr>
          <w:rFonts w:hint="default"/>
          <w:highlight w:val="none"/>
          <w:lang w:eastAsia="zh-CN"/>
        </w:rPr>
        <w:t>双创中心小家电产业园：签约企业22家，投产23家，边建设边招商。</w:t>
      </w:r>
    </w:p>
    <w:p>
      <w:pPr>
        <w:pStyle w:val="32"/>
        <w:ind w:firstLine="720"/>
        <w:rPr>
          <w:highlight w:val="none"/>
          <w:lang w:eastAsia="zh-CN"/>
        </w:rPr>
      </w:pPr>
      <w:r>
        <w:rPr>
          <w:rFonts w:hint="default"/>
          <w:highlight w:val="none"/>
          <w:lang w:eastAsia="zh-CN"/>
        </w:rPr>
        <w:t>电商物流：唯品会、新合作物流等企业入驻，形成电商产业集群。</w:t>
      </w:r>
    </w:p>
    <w:p>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商业综合体</w:t>
      </w:r>
    </w:p>
    <w:p>
      <w:pPr>
        <w:pStyle w:val="32"/>
        <w:ind w:firstLine="720"/>
        <w:rPr>
          <w:highlight w:val="none"/>
          <w:lang w:eastAsia="zh-CN"/>
        </w:rPr>
      </w:pPr>
      <w:r>
        <w:rPr>
          <w:rFonts w:hint="default"/>
          <w:highlight w:val="none"/>
          <w:lang w:eastAsia="zh-CN"/>
        </w:rPr>
        <w:t>步步高新时代广场：集购物、餐饮、娱乐于一体，暑期举办美食游乐嘉年华，日客流量超万人。</w:t>
      </w:r>
    </w:p>
    <w:p>
      <w:pPr>
        <w:pStyle w:val="32"/>
        <w:ind w:firstLine="720"/>
        <w:rPr>
          <w:highlight w:val="none"/>
          <w:lang w:eastAsia="zh-CN"/>
        </w:rPr>
      </w:pPr>
      <w:r>
        <w:rPr>
          <w:rFonts w:hint="default"/>
          <w:highlight w:val="none"/>
          <w:lang w:eastAsia="zh-CN"/>
        </w:rPr>
        <w:t>西渡商业步行街：持续完善中，配套餐饮、零售及夜间经济业态。</w:t>
      </w:r>
    </w:p>
    <w:p>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商业网点</w:t>
      </w:r>
    </w:p>
    <w:p>
      <w:pPr>
        <w:pStyle w:val="32"/>
        <w:ind w:firstLine="720"/>
        <w:rPr>
          <w:highlight w:val="none"/>
          <w:lang w:eastAsia="zh-CN"/>
        </w:rPr>
      </w:pPr>
      <w:r>
        <w:rPr>
          <w:rFonts w:hint="default"/>
          <w:highlight w:val="none"/>
          <w:lang w:eastAsia="zh-CN"/>
        </w:rPr>
        <w:t>城区商业网点密集，涵盖超市、专卖店、金融机构等，2023年新增营业面积超50平方米的综合商店或超市162个。</w:t>
      </w:r>
    </w:p>
    <w:p>
      <w:pPr>
        <w:pStyle w:val="4"/>
      </w:pPr>
      <w:r>
        <w:rPr>
          <w:rFonts w:hint="default"/>
          <w:lang w:eastAsia="zh-CN"/>
        </w:rPr>
        <w:drawing>
          <wp:anchor distT="0" distB="0" distL="114300" distR="114300" simplePos="0" relativeHeight="251659264" behindDoc="0" locked="0" layoutInCell="1" allowOverlap="1">
            <wp:simplePos x="0" y="0"/>
            <wp:positionH relativeFrom="column">
              <wp:posOffset>1302385</wp:posOffset>
            </wp:positionH>
            <wp:positionV relativeFrom="paragraph">
              <wp:posOffset>473075</wp:posOffset>
            </wp:positionV>
            <wp:extent cx="2885440" cy="4078605"/>
            <wp:effectExtent l="0" t="0" r="10160" b="17145"/>
            <wp:wrapTopAndBottom/>
            <wp:docPr id="6" name="图片 6" descr="01 国土空间用地用海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1 国土空间用地用海现状图"/>
                    <pic:cNvPicPr>
                      <a:picLocks noChangeAspect="1"/>
                    </pic:cNvPicPr>
                  </pic:nvPicPr>
                  <pic:blipFill>
                    <a:blip r:embed="rId25"/>
                    <a:stretch>
                      <a:fillRect/>
                    </a:stretch>
                  </pic:blipFill>
                  <pic:spPr>
                    <a:xfrm>
                      <a:off x="0" y="0"/>
                      <a:ext cx="2885440" cy="4078605"/>
                    </a:xfrm>
                    <a:prstGeom prst="rect">
                      <a:avLst/>
                    </a:prstGeom>
                  </pic:spPr>
                </pic:pic>
              </a:graphicData>
            </a:graphic>
          </wp:anchor>
        </w:drawing>
      </w:r>
      <w:r>
        <w:t>国土空间现状</w:t>
      </w:r>
    </w:p>
    <w:p>
      <w:pPr>
        <w:pStyle w:val="32"/>
        <w:ind w:firstLine="720"/>
        <w:rPr>
          <w:rFonts w:hint="default"/>
          <w:lang w:eastAsia="zh-CN"/>
        </w:rPr>
      </w:pPr>
    </w:p>
    <w:p>
      <w:pPr>
        <w:pStyle w:val="3"/>
        <w:rPr>
          <w:rFonts w:hint="eastAsia"/>
        </w:rPr>
      </w:pPr>
      <w:bookmarkStart w:id="4" w:name="_Toc12384"/>
      <w:r>
        <w:rPr>
          <w:rFonts w:hint="eastAsia"/>
        </w:rPr>
        <w:t>第二节 问题与风险</w:t>
      </w:r>
      <w:bookmarkEnd w:id="4"/>
    </w:p>
    <w:p>
      <w:pPr>
        <w:pStyle w:val="4"/>
        <w:numPr>
          <w:ilvl w:val="0"/>
          <w:numId w:val="0"/>
        </w:numPr>
        <w:ind w:leftChars="0"/>
        <w:rPr>
          <w:rFonts w:hint="eastAsia"/>
          <w:lang w:val="en-US" w:eastAsia="zh-CN"/>
        </w:rPr>
      </w:pPr>
      <w:r>
        <w:rPr>
          <w:rFonts w:hint="eastAsia"/>
          <w:lang w:val="en-US" w:eastAsia="zh-CN"/>
        </w:rPr>
        <w:t>一、三生空间矛盾突出，土地集约利用不足</w:t>
      </w:r>
    </w:p>
    <w:p>
      <w:pPr>
        <w:pStyle w:val="32"/>
        <w:ind w:firstLine="720"/>
        <w:rPr>
          <w:rFonts w:hint="eastAsia"/>
          <w:color w:val="auto"/>
          <w:highlight w:val="none"/>
          <w:lang w:val="en-US" w:eastAsia="zh-CN"/>
        </w:rPr>
      </w:pPr>
      <w:r>
        <w:rPr>
          <w:rFonts w:hint="eastAsia"/>
          <w:color w:val="auto"/>
          <w:highlight w:val="none"/>
          <w:lang w:val="en-US" w:eastAsia="zh-CN"/>
        </w:rPr>
        <w:t>生产与生态空间冲突：蒸水河沿岸工业布局与生态保护存在矛盾，部分工业用地位于50年一遇洪水淹没区，且园区规划实施五年以上未开展环境影响跟踪评价，生态风险累积。</w:t>
      </w:r>
    </w:p>
    <w:p>
      <w:pPr>
        <w:pStyle w:val="32"/>
        <w:ind w:firstLine="720"/>
        <w:rPr>
          <w:rFonts w:hint="eastAsia"/>
          <w:color w:val="auto"/>
          <w:highlight w:val="none"/>
          <w:lang w:val="en-US" w:eastAsia="zh-CN"/>
        </w:rPr>
      </w:pPr>
      <w:r>
        <w:rPr>
          <w:rFonts w:hint="eastAsia"/>
          <w:color w:val="auto"/>
          <w:highlight w:val="none"/>
          <w:lang w:val="en-US" w:eastAsia="zh-CN"/>
        </w:rPr>
        <w:t>生活空间品质待提升：老城区公共服务设施老旧，如西渡镇中心卫生院业务用房不足（现状建筑面积2423平方米，未达建设标准），迁建项目因用地问题停滞；教育设施布局不均衡，部分学校用地紧张。</w:t>
      </w:r>
    </w:p>
    <w:p>
      <w:pPr>
        <w:pStyle w:val="32"/>
        <w:ind w:firstLine="720"/>
        <w:rPr>
          <w:rFonts w:hint="eastAsia"/>
          <w:color w:val="auto"/>
          <w:highlight w:val="none"/>
          <w:lang w:val="en-US" w:eastAsia="zh-CN"/>
        </w:rPr>
      </w:pPr>
      <w:r>
        <w:rPr>
          <w:rFonts w:hint="eastAsia"/>
          <w:color w:val="auto"/>
          <w:highlight w:val="none"/>
          <w:lang w:val="en-US" w:eastAsia="zh-CN"/>
        </w:rPr>
        <w:t>土地利用效率低：园区存在“僵尸企业”和低效用地，亩均税收增长压力大，需通过“腾笼换鸟”优化土地配置。</w:t>
      </w:r>
    </w:p>
    <w:p>
      <w:pPr>
        <w:pStyle w:val="4"/>
        <w:numPr>
          <w:ilvl w:val="0"/>
          <w:numId w:val="0"/>
        </w:numPr>
        <w:ind w:leftChars="0"/>
        <w:rPr>
          <w:rFonts w:hint="eastAsia"/>
          <w:lang w:val="en-US" w:eastAsia="zh-CN"/>
        </w:rPr>
      </w:pPr>
      <w:r>
        <w:rPr>
          <w:rFonts w:hint="eastAsia"/>
          <w:lang w:val="en-US" w:eastAsia="zh-CN"/>
        </w:rPr>
        <w:t>二、基础设施支撑能力不足，城乡融合短板明显</w:t>
      </w:r>
    </w:p>
    <w:p>
      <w:pPr>
        <w:pStyle w:val="32"/>
        <w:ind w:firstLine="720"/>
        <w:rPr>
          <w:rFonts w:hint="eastAsia"/>
          <w:color w:val="auto"/>
          <w:highlight w:val="none"/>
          <w:lang w:val="en-US" w:eastAsia="zh-CN"/>
        </w:rPr>
      </w:pPr>
      <w:r>
        <w:rPr>
          <w:rFonts w:hint="eastAsia"/>
          <w:color w:val="auto"/>
          <w:highlight w:val="none"/>
          <w:lang w:val="en-US" w:eastAsia="zh-CN"/>
        </w:rPr>
        <w:t>交通网络不完善：对外联系依赖</w:t>
      </w:r>
      <w:r>
        <w:rPr>
          <w:rFonts w:hint="default"/>
          <w:highlight w:val="none"/>
          <w:lang w:eastAsia="zh-CN"/>
        </w:rPr>
        <w:t>S336</w:t>
      </w:r>
      <w:r>
        <w:rPr>
          <w:rFonts w:hint="eastAsia"/>
          <w:color w:val="auto"/>
          <w:highlight w:val="none"/>
          <w:lang w:val="en-US" w:eastAsia="zh-CN"/>
        </w:rPr>
        <w:t>等主干道，农村公路等级低（如X051西荷线仅为三级公路），断头路多，城乡公交覆盖率不足。</w:t>
      </w:r>
    </w:p>
    <w:p>
      <w:pPr>
        <w:pStyle w:val="32"/>
        <w:ind w:firstLine="720"/>
        <w:rPr>
          <w:rFonts w:hint="eastAsia"/>
          <w:color w:val="auto"/>
          <w:highlight w:val="none"/>
          <w:lang w:val="en-US" w:eastAsia="zh-CN"/>
        </w:rPr>
      </w:pPr>
      <w:r>
        <w:rPr>
          <w:rFonts w:hint="eastAsia"/>
          <w:color w:val="auto"/>
          <w:highlight w:val="none"/>
          <w:lang w:val="en-US" w:eastAsia="zh-CN"/>
        </w:rPr>
        <w:t>市政设施滞后：排水系统雨污分流尚未全覆盖，部分区域仍依赖自备水源；污水处理厂（如西渡经开区污水处理厂）调试期长，管网建设滞后。</w:t>
      </w:r>
    </w:p>
    <w:p>
      <w:pPr>
        <w:pStyle w:val="32"/>
        <w:ind w:firstLine="720"/>
        <w:rPr>
          <w:rFonts w:hint="eastAsia"/>
          <w:color w:val="auto"/>
          <w:highlight w:val="none"/>
          <w:lang w:val="en-US" w:eastAsia="zh-CN"/>
        </w:rPr>
      </w:pPr>
      <w:r>
        <w:rPr>
          <w:rFonts w:hint="eastAsia"/>
          <w:color w:val="auto"/>
          <w:highlight w:val="none"/>
          <w:lang w:val="en-US" w:eastAsia="zh-CN"/>
        </w:rPr>
        <w:t>公共服务覆盖不均：老城区与城西片、清花湾等片区公共服务设施差距显著，农村地区医疗、养老设施薄弱。</w:t>
      </w:r>
    </w:p>
    <w:p>
      <w:pPr>
        <w:pStyle w:val="4"/>
        <w:numPr>
          <w:ilvl w:val="0"/>
          <w:numId w:val="0"/>
        </w:numPr>
        <w:ind w:leftChars="0"/>
        <w:rPr>
          <w:rFonts w:hint="eastAsia"/>
          <w:lang w:val="en-US" w:eastAsia="zh-CN"/>
        </w:rPr>
      </w:pPr>
      <w:r>
        <w:rPr>
          <w:rFonts w:hint="eastAsia"/>
          <w:lang w:val="en-US" w:eastAsia="zh-CN"/>
        </w:rPr>
        <w:t>三、产业布局与资源环境承载力不匹配</w:t>
      </w:r>
    </w:p>
    <w:p>
      <w:pPr>
        <w:pStyle w:val="32"/>
        <w:ind w:firstLine="720"/>
        <w:rPr>
          <w:rFonts w:hint="eastAsia"/>
          <w:color w:val="auto"/>
          <w:highlight w:val="none"/>
          <w:lang w:val="en-US" w:eastAsia="zh-CN"/>
        </w:rPr>
      </w:pPr>
      <w:r>
        <w:rPr>
          <w:rFonts w:hint="eastAsia"/>
          <w:color w:val="auto"/>
          <w:highlight w:val="none"/>
          <w:lang w:val="en-US" w:eastAsia="zh-CN"/>
        </w:rPr>
        <w:t>产业同质化与低效竞争：钟表、汽配、陶瓷等产业集群依赖标准厂房招商，部分企业技术含量低，产业链协同不足。</w:t>
      </w:r>
    </w:p>
    <w:p>
      <w:pPr>
        <w:pStyle w:val="32"/>
        <w:ind w:firstLine="720"/>
        <w:rPr>
          <w:rFonts w:hint="eastAsia"/>
          <w:color w:val="auto"/>
          <w:highlight w:val="none"/>
          <w:lang w:val="en-US" w:eastAsia="zh-CN"/>
        </w:rPr>
      </w:pPr>
      <w:r>
        <w:rPr>
          <w:rFonts w:hint="eastAsia"/>
          <w:color w:val="auto"/>
          <w:highlight w:val="none"/>
          <w:lang w:val="en-US" w:eastAsia="zh-CN"/>
        </w:rPr>
        <w:t>生态环境压力大：蒸水河省控断面存在氨氮、总磷等指标波动，园区工业废水排放量达13870m³/d，需强化污染防治。</w:t>
      </w:r>
    </w:p>
    <w:p>
      <w:pPr>
        <w:pStyle w:val="32"/>
        <w:ind w:firstLine="720"/>
        <w:rPr>
          <w:rFonts w:hint="eastAsia"/>
          <w:color w:val="auto"/>
          <w:highlight w:val="none"/>
          <w:lang w:val="en-US" w:eastAsia="zh-CN"/>
        </w:rPr>
      </w:pPr>
      <w:r>
        <w:rPr>
          <w:rFonts w:hint="eastAsia"/>
          <w:color w:val="auto"/>
          <w:highlight w:val="none"/>
          <w:lang w:val="en-US" w:eastAsia="zh-CN"/>
        </w:rPr>
        <w:t>重大项目落地受阻：西园农产品物流园（投资11亿元）因用地调整缓慢推进滞后，制约城乡商贸流通发展。</w:t>
      </w:r>
    </w:p>
    <w:p>
      <w:pPr>
        <w:pStyle w:val="4"/>
        <w:numPr>
          <w:ilvl w:val="0"/>
          <w:numId w:val="0"/>
        </w:numPr>
        <w:ind w:leftChars="0"/>
        <w:rPr>
          <w:rFonts w:hint="eastAsia"/>
          <w:lang w:val="en-US" w:eastAsia="zh-CN"/>
        </w:rPr>
      </w:pPr>
      <w:r>
        <w:rPr>
          <w:rFonts w:hint="eastAsia"/>
          <w:lang w:val="en-US" w:eastAsia="zh-CN"/>
        </w:rPr>
        <w:t>四、城乡融合发展面临制度性约束</w:t>
      </w:r>
    </w:p>
    <w:p>
      <w:pPr>
        <w:pStyle w:val="32"/>
        <w:ind w:firstLine="720"/>
        <w:rPr>
          <w:rFonts w:hint="eastAsia"/>
          <w:color w:val="auto"/>
          <w:highlight w:val="none"/>
          <w:lang w:val="en-US" w:eastAsia="zh-CN"/>
        </w:rPr>
      </w:pPr>
      <w:r>
        <w:rPr>
          <w:rFonts w:hint="eastAsia"/>
          <w:color w:val="auto"/>
          <w:highlight w:val="none"/>
          <w:lang w:val="en-US" w:eastAsia="zh-CN"/>
        </w:rPr>
        <w:t>土地制度瓶颈：农村集体建设用地入市渠道不畅，安置区建设（如荷叶一期）与土地指标紧张矛盾突出。</w:t>
      </w:r>
    </w:p>
    <w:p>
      <w:pPr>
        <w:pStyle w:val="32"/>
        <w:ind w:firstLine="720"/>
        <w:rPr>
          <w:rFonts w:hint="eastAsia"/>
          <w:color w:val="auto"/>
          <w:highlight w:val="none"/>
          <w:lang w:val="en-US" w:eastAsia="zh-CN"/>
        </w:rPr>
      </w:pPr>
      <w:r>
        <w:rPr>
          <w:rFonts w:hint="eastAsia"/>
          <w:color w:val="auto"/>
          <w:highlight w:val="none"/>
          <w:lang w:val="en-US" w:eastAsia="zh-CN"/>
        </w:rPr>
        <w:t>资金保障不足：基础设施建设依赖政府投资，市场化融资渠道有限（如PPP项目推进缓慢）。</w:t>
      </w:r>
    </w:p>
    <w:p>
      <w:pPr>
        <w:pStyle w:val="32"/>
        <w:ind w:firstLine="720"/>
        <w:rPr>
          <w:rFonts w:hint="eastAsia"/>
          <w:lang w:eastAsia="zh-CN"/>
        </w:rPr>
      </w:pPr>
      <w:r>
        <w:rPr>
          <w:rFonts w:hint="eastAsia"/>
          <w:color w:val="auto"/>
          <w:highlight w:val="none"/>
          <w:lang w:val="en-US" w:eastAsia="zh-CN"/>
        </w:rPr>
        <w:t>人才与技术短板：规划编制与实施缺乏专业团队，基层治理能力需提升</w:t>
      </w:r>
      <w:r>
        <w:rPr>
          <w:rFonts w:hint="eastAsia"/>
          <w:lang w:eastAsia="zh-CN"/>
        </w:rPr>
        <w:t>。</w:t>
      </w:r>
    </w:p>
    <w:p>
      <w:pPr>
        <w:pStyle w:val="3"/>
        <w:rPr>
          <w:rFonts w:hint="eastAsia"/>
          <w:lang w:eastAsia="zh-CN"/>
        </w:rPr>
      </w:pPr>
      <w:bookmarkStart w:id="5" w:name="_Toc8363"/>
      <w:r>
        <w:rPr>
          <w:rFonts w:hint="eastAsia"/>
          <w:lang w:eastAsia="zh-CN"/>
        </w:rPr>
        <w:t>第</w:t>
      </w:r>
      <w:r>
        <w:rPr>
          <w:rFonts w:hint="eastAsia"/>
          <w:lang w:val="en-US" w:eastAsia="zh-CN"/>
        </w:rPr>
        <w:t>三</w:t>
      </w:r>
      <w:r>
        <w:rPr>
          <w:rFonts w:hint="eastAsia"/>
          <w:lang w:eastAsia="zh-CN"/>
        </w:rPr>
        <w:t>节 机遇与挑战</w:t>
      </w:r>
      <w:bookmarkEnd w:id="5"/>
    </w:p>
    <w:p>
      <w:pPr>
        <w:pStyle w:val="32"/>
        <w:rPr>
          <w:rFonts w:hint="default"/>
          <w:lang w:eastAsia="zh-CN"/>
        </w:rPr>
      </w:pPr>
      <w:r>
        <w:rPr>
          <w:b/>
          <w:lang w:eastAsia="zh-CN"/>
        </w:rPr>
        <w:t>产业转移发展。</w:t>
      </w:r>
      <w:r>
        <w:rPr>
          <w:lang w:eastAsia="zh-CN"/>
        </w:rPr>
        <w:t>近年来，全省扎实推进乡村振兴、大力推进产业发展“万千百”工程实施方案，引导主导产业、优势产业和未来产业发展，企业做大做强。</w:t>
      </w:r>
    </w:p>
    <w:p>
      <w:pPr>
        <w:pStyle w:val="32"/>
        <w:rPr>
          <w:rFonts w:hint="default"/>
          <w:lang w:eastAsia="zh-CN"/>
        </w:rPr>
      </w:pPr>
      <w:r>
        <w:rPr>
          <w:rFonts w:hint="eastAsia"/>
          <w:b/>
          <w:bCs/>
          <w:lang w:eastAsia="zh-CN"/>
        </w:rPr>
        <w:t>产业转移升级亟需调整国土空间利用格局。</w:t>
      </w:r>
      <w:r>
        <w:rPr>
          <w:rFonts w:hint="eastAsia"/>
          <w:lang w:eastAsia="zh-CN"/>
        </w:rPr>
        <w:t>国家级承接产业转移示范区的设立，东部沿海地区和粤港澳大湾区产业向中西部地区转移，县域内部产业重构和转型升级，将推动衡阳县城乡功能、产业空间布局、自然资源管理、公共服务供给等方面发生改变。围绕生态文明建设和资源利用高效，贯彻落实新发展理念，加快社会主义现代化的进程，</w:t>
      </w:r>
      <w:r>
        <w:rPr>
          <w:rFonts w:hint="eastAsia"/>
          <w:lang w:val="en-US" w:eastAsia="zh-CN"/>
        </w:rPr>
        <w:t>西渡镇</w:t>
      </w:r>
      <w:r>
        <w:rPr>
          <w:rFonts w:hint="eastAsia"/>
          <w:lang w:eastAsia="zh-CN"/>
        </w:rPr>
        <w:t>亟需对空间保护利用提出新格局</w:t>
      </w:r>
      <w:r>
        <w:rPr>
          <w:lang w:eastAsia="zh-CN"/>
        </w:rPr>
        <w:t>。</w:t>
      </w:r>
    </w:p>
    <w:p>
      <w:pPr>
        <w:pStyle w:val="32"/>
        <w:rPr>
          <w:rFonts w:hint="default"/>
          <w:lang w:eastAsia="zh-CN"/>
        </w:rPr>
      </w:pPr>
      <w:r>
        <w:rPr>
          <w:b/>
          <w:lang w:eastAsia="zh-CN"/>
        </w:rPr>
        <w:t>乡村振兴发展。</w:t>
      </w:r>
      <w:r>
        <w:rPr>
          <w:rFonts w:hint="eastAsia"/>
          <w:color w:val="auto"/>
          <w:highlight w:val="none"/>
        </w:rPr>
        <w:t>在新型城镇化与乡村振兴的战略背景下，提升</w:t>
      </w:r>
      <w:r>
        <w:rPr>
          <w:rFonts w:hint="eastAsia"/>
          <w:color w:val="auto"/>
          <w:highlight w:val="none"/>
          <w:lang w:val="en-US" w:eastAsia="zh-CN"/>
        </w:rPr>
        <w:t>镇域</w:t>
      </w:r>
      <w:r>
        <w:rPr>
          <w:rFonts w:hint="eastAsia"/>
          <w:color w:val="auto"/>
          <w:highlight w:val="none"/>
        </w:rPr>
        <w:t>内公共服务设施水平，支撑就地城镇化，推动乡村地区产业发展，改善全域风貌品质，全面提高人民生活生产的幸福感，对国土空间品质和支撑提出了更高的要求</w:t>
      </w:r>
      <w:r>
        <w:rPr>
          <w:lang w:eastAsia="zh-CN"/>
        </w:rPr>
        <w:t>。</w:t>
      </w:r>
    </w:p>
    <w:p>
      <w:pPr>
        <w:pStyle w:val="32"/>
        <w:rPr>
          <w:rFonts w:hint="default"/>
          <w:lang w:eastAsia="zh-CN"/>
        </w:rPr>
      </w:pPr>
      <w:r>
        <w:rPr>
          <w:b/>
          <w:lang w:eastAsia="zh-CN"/>
        </w:rPr>
        <w:t>挖掘潜在旅游资源，打造全域旅游格局。</w:t>
      </w:r>
      <w:r>
        <w:rPr>
          <w:rFonts w:hint="eastAsia"/>
          <w:lang w:eastAsia="zh-CN"/>
        </w:rPr>
        <w:t>西渡镇</w:t>
      </w:r>
      <w:r>
        <w:rPr>
          <w:lang w:eastAsia="zh-CN"/>
        </w:rPr>
        <w:t>现有多个较为成熟的旅游景点，自身旅游资源优势明显，但分布较为分散，且多为独立存在，未打造成体系的旅游线路。如何依托</w:t>
      </w:r>
      <w:r>
        <w:rPr>
          <w:rFonts w:hint="eastAsia"/>
          <w:lang w:eastAsia="zh-CN"/>
        </w:rPr>
        <w:t>衡阳县</w:t>
      </w:r>
      <w:r>
        <w:rPr>
          <w:lang w:eastAsia="zh-CN"/>
        </w:rPr>
        <w:t>全域旅游规划推动</w:t>
      </w:r>
      <w:r>
        <w:rPr>
          <w:rFonts w:hint="eastAsia"/>
          <w:lang w:eastAsia="zh-CN"/>
        </w:rPr>
        <w:t>西渡镇</w:t>
      </w:r>
      <w:r>
        <w:rPr>
          <w:lang w:eastAsia="zh-CN"/>
        </w:rPr>
        <w:t>融入区域旅游新格局，进而整合自身资源，亟需有效思考。</w:t>
      </w:r>
    </w:p>
    <w:p>
      <w:pPr>
        <w:pStyle w:val="31"/>
        <w:rPr>
          <w:rFonts w:hint="eastAsia"/>
        </w:rPr>
      </w:pPr>
    </w:p>
    <w:p>
      <w:pPr>
        <w:pStyle w:val="2"/>
        <w:spacing w:before="326" w:after="326"/>
        <w:rPr>
          <w:lang w:eastAsia="zh-CN"/>
        </w:rPr>
      </w:pPr>
      <w:bookmarkStart w:id="6" w:name="_Toc18954"/>
      <w:r>
        <w:rPr>
          <w:lang w:eastAsia="zh-CN"/>
        </w:rPr>
        <w:t>第</w:t>
      </w:r>
      <w:r>
        <w:rPr>
          <w:rFonts w:hint="eastAsia"/>
          <w:lang w:eastAsia="zh-CN"/>
        </w:rPr>
        <w:t>二</w:t>
      </w:r>
      <w:r>
        <w:rPr>
          <w:lang w:eastAsia="zh-CN"/>
        </w:rPr>
        <w:t xml:space="preserve">章 </w:t>
      </w:r>
      <w:r>
        <w:rPr>
          <w:rFonts w:hint="eastAsia"/>
          <w:lang w:eastAsia="zh-CN"/>
        </w:rPr>
        <w:t>发展定位目标</w:t>
      </w:r>
      <w:bookmarkEnd w:id="6"/>
    </w:p>
    <w:p>
      <w:pPr>
        <w:pStyle w:val="3"/>
      </w:pPr>
      <w:bookmarkStart w:id="7" w:name="_Toc16346"/>
      <w:r>
        <w:rPr>
          <w:rFonts w:hint="eastAsia"/>
        </w:rPr>
        <w:t>第一节 指导思想</w:t>
      </w:r>
      <w:bookmarkEnd w:id="7"/>
    </w:p>
    <w:p>
      <w:pPr>
        <w:pStyle w:val="32"/>
        <w:ind w:firstLine="720"/>
        <w:rPr>
          <w:rFonts w:hint="default"/>
          <w:lang w:eastAsia="zh-CN"/>
        </w:rPr>
      </w:pPr>
      <w:r>
        <w:rPr>
          <w:lang w:eastAsia="zh-CN"/>
        </w:rPr>
        <w:t>坚持以习近平新时代中国特色社会主义思想为指导，面向两个“一百年”宏伟目标，牢固树立创新、协调、绿色、开放、共享五大发展理念，贯彻生态文明建设要求，适应国土空间规划体系建设需要，全面落实国家、省、市建设方针，明确新时代战略和目标，优化国土空间开发格局、合理配置资源要素、改善生态环境，落实空间用途管制，绘制国土空间一张蓝图，推进</w:t>
      </w:r>
      <w:r>
        <w:rPr>
          <w:rFonts w:hint="eastAsia"/>
          <w:lang w:eastAsia="zh-CN"/>
        </w:rPr>
        <w:t>西渡镇</w:t>
      </w:r>
      <w:r>
        <w:rPr>
          <w:rFonts w:hint="eastAsia"/>
          <w:lang w:val="en-US" w:eastAsia="zh-CN"/>
        </w:rPr>
        <w:t>镇</w:t>
      </w:r>
      <w:r>
        <w:rPr>
          <w:lang w:eastAsia="zh-CN"/>
        </w:rPr>
        <w:t>域生产、生活、生态三生空间和谐共生，保障</w:t>
      </w:r>
      <w:r>
        <w:rPr>
          <w:rFonts w:hint="eastAsia"/>
          <w:lang w:val="en-US" w:eastAsia="zh-CN"/>
        </w:rPr>
        <w:t>镇</w:t>
      </w:r>
      <w:r>
        <w:rPr>
          <w:lang w:eastAsia="zh-CN"/>
        </w:rPr>
        <w:t>域经济社会持续健康发展。</w:t>
      </w:r>
    </w:p>
    <w:p>
      <w:pPr>
        <w:pStyle w:val="3"/>
        <w:rPr>
          <w:highlight w:val="none"/>
        </w:rPr>
      </w:pPr>
      <w:bookmarkStart w:id="8" w:name="_Toc9872"/>
      <w:r>
        <w:rPr>
          <w:highlight w:val="none"/>
        </w:rPr>
        <w:t>第</w:t>
      </w:r>
      <w:r>
        <w:rPr>
          <w:rFonts w:hint="eastAsia"/>
          <w:highlight w:val="none"/>
        </w:rPr>
        <w:t>二</w:t>
      </w:r>
      <w:r>
        <w:rPr>
          <w:highlight w:val="none"/>
        </w:rPr>
        <w:t xml:space="preserve">节 </w:t>
      </w:r>
      <w:r>
        <w:rPr>
          <w:rFonts w:hint="eastAsia"/>
          <w:highlight w:val="none"/>
        </w:rPr>
        <w:t>发展定位</w:t>
      </w:r>
      <w:bookmarkEnd w:id="8"/>
    </w:p>
    <w:p>
      <w:pPr>
        <w:pStyle w:val="4"/>
        <w:numPr>
          <w:ilvl w:val="0"/>
          <w:numId w:val="3"/>
        </w:numPr>
      </w:pPr>
      <w:bookmarkStart w:id="9" w:name="_Hlk183164574"/>
      <w:r>
        <w:rPr>
          <w:rFonts w:hint="eastAsia"/>
        </w:rPr>
        <w:t>特色引导</w:t>
      </w:r>
      <w:r>
        <w:rPr>
          <w:rFonts w:hint="eastAsia"/>
          <w:lang w:val="en-US" w:eastAsia="zh-CN"/>
        </w:rPr>
        <w:t>类型</w:t>
      </w:r>
    </w:p>
    <w:bookmarkEnd w:id="9"/>
    <w:p>
      <w:pPr>
        <w:pStyle w:val="32"/>
        <w:ind w:firstLine="720"/>
        <w:rPr>
          <w:lang w:eastAsia="zh-CN"/>
        </w:rPr>
      </w:pPr>
      <w:r>
        <w:rPr>
          <w:lang w:eastAsia="zh-CN"/>
        </w:rPr>
        <w:t>根据《</w:t>
      </w:r>
      <w:r>
        <w:rPr>
          <w:rFonts w:hint="eastAsia"/>
          <w:lang w:eastAsia="zh-CN"/>
        </w:rPr>
        <w:t>衡阳县</w:t>
      </w:r>
      <w:r>
        <w:rPr>
          <w:lang w:eastAsia="zh-CN"/>
        </w:rPr>
        <w:t>国土空间总体规划（2021—2035年）》</w:t>
      </w:r>
      <w:r>
        <w:rPr>
          <w:rFonts w:hint="eastAsia"/>
          <w:lang w:eastAsia="zh-CN"/>
        </w:rPr>
        <w:t>确定</w:t>
      </w:r>
      <w:r>
        <w:rPr>
          <w:rFonts w:hint="eastAsia"/>
          <w:lang w:val="en-US" w:eastAsia="zh-CN"/>
        </w:rPr>
        <w:t>将西渡镇</w:t>
      </w:r>
      <w:r>
        <w:rPr>
          <w:rFonts w:hint="eastAsia"/>
          <w:color w:val="auto"/>
          <w:highlight w:val="none"/>
        </w:rPr>
        <w:t>打造成衡阳市中西部地区的综合服务城市，衡阳市西部副中心。</w:t>
      </w:r>
      <w:r>
        <w:rPr>
          <w:lang w:eastAsia="zh-CN"/>
        </w:rPr>
        <w:t>确定</w:t>
      </w:r>
      <w:bookmarkStart w:id="10" w:name="_Hlk183164663"/>
      <w:r>
        <w:rPr>
          <w:rFonts w:hint="eastAsia"/>
          <w:lang w:eastAsia="zh-CN"/>
        </w:rPr>
        <w:t>西渡镇</w:t>
      </w:r>
      <w:r>
        <w:rPr>
          <w:lang w:eastAsia="zh-CN"/>
        </w:rPr>
        <w:t>特色引导</w:t>
      </w:r>
      <w:bookmarkEnd w:id="10"/>
      <w:r>
        <w:rPr>
          <w:lang w:eastAsia="zh-CN"/>
        </w:rPr>
        <w:t>为：</w:t>
      </w:r>
      <w:r>
        <w:rPr>
          <w:rFonts w:hint="eastAsia"/>
          <w:color w:val="auto"/>
          <w:highlight w:val="none"/>
        </w:rPr>
        <w:t>综合服务型</w:t>
      </w:r>
      <w:r>
        <w:rPr>
          <w:szCs w:val="22"/>
          <w:lang w:eastAsia="zh-CN"/>
        </w:rPr>
        <w:t>乡镇</w:t>
      </w:r>
      <w:r>
        <w:rPr>
          <w:lang w:eastAsia="zh-CN"/>
        </w:rPr>
        <w:t>。</w:t>
      </w:r>
    </w:p>
    <w:p>
      <w:pPr>
        <w:pStyle w:val="4"/>
        <w:numPr>
          <w:ilvl w:val="0"/>
          <w:numId w:val="3"/>
        </w:numPr>
        <w:rPr>
          <w:rFonts w:hint="eastAsia"/>
          <w:highlight w:val="none"/>
          <w:lang w:val="en-US" w:eastAsia="zh-CN"/>
        </w:rPr>
      </w:pPr>
      <w:r>
        <w:rPr>
          <w:rFonts w:hint="eastAsia"/>
          <w:highlight w:val="none"/>
          <w:lang w:val="en-US" w:eastAsia="zh-CN"/>
        </w:rPr>
        <w:t>发展定位</w:t>
      </w:r>
    </w:p>
    <w:p>
      <w:pPr>
        <w:pStyle w:val="32"/>
        <w:ind w:firstLine="720"/>
        <w:rPr>
          <w:rFonts w:hint="eastAsia"/>
          <w:highlight w:val="none"/>
          <w:lang w:val="en-US" w:eastAsia="zh-CN"/>
        </w:rPr>
      </w:pPr>
      <w:r>
        <w:rPr>
          <w:rFonts w:hint="eastAsia"/>
          <w:highlight w:val="none"/>
          <w:lang w:val="en-US" w:eastAsia="zh-CN"/>
        </w:rPr>
        <w:t>规划打造“两示范区、一基地”。即农旅、文旅融合的乡村振兴示范区+湘中南承接产业转移示范区+国家级农副产品供应与物流基地。</w:t>
      </w:r>
    </w:p>
    <w:p>
      <w:pPr>
        <w:pStyle w:val="32"/>
        <w:ind w:firstLine="720"/>
        <w:rPr>
          <w:rFonts w:hint="eastAsia"/>
          <w:highlight w:val="none"/>
          <w:lang w:val="en-US" w:eastAsia="zh-CN"/>
        </w:rPr>
      </w:pPr>
      <w:r>
        <w:rPr>
          <w:rFonts w:hint="eastAsia"/>
          <w:highlight w:val="none"/>
          <w:lang w:val="en-US" w:eastAsia="zh-CN"/>
        </w:rPr>
        <w:t>农旅、文旅融合的乡村振兴示范区：依托红色文化、非遗资源与生态农业，推动“红+绿+农”融合，开发研学、文旅项目，打造田园综合体、乡村振兴示范区。</w:t>
      </w:r>
    </w:p>
    <w:p>
      <w:pPr>
        <w:pStyle w:val="32"/>
        <w:ind w:firstLine="720"/>
        <w:rPr>
          <w:rFonts w:hint="eastAsia"/>
          <w:highlight w:val="none"/>
          <w:lang w:val="en-US" w:eastAsia="zh-CN"/>
        </w:rPr>
      </w:pPr>
      <w:r>
        <w:rPr>
          <w:rFonts w:hint="eastAsia"/>
          <w:highlight w:val="none"/>
          <w:lang w:val="en-US" w:eastAsia="zh-CN"/>
        </w:rPr>
        <w:t>国家级农副产品供应与物流基地：将西渡镇打造为“国家级农副产品供应基地”，重点建设冷链物流设施，提升农产品加工能力，并面向粤港澳大湾区、长江中游城市群等市场拓展销路。</w:t>
      </w:r>
    </w:p>
    <w:p>
      <w:pPr>
        <w:pStyle w:val="32"/>
        <w:ind w:firstLine="720"/>
        <w:rPr>
          <w:rFonts w:hint="eastAsia"/>
          <w:highlight w:val="none"/>
          <w:lang w:val="en-US" w:eastAsia="zh-CN"/>
        </w:rPr>
      </w:pPr>
      <w:r>
        <w:rPr>
          <w:rFonts w:hint="eastAsia"/>
          <w:highlight w:val="none"/>
          <w:lang w:val="en-US" w:eastAsia="zh-CN"/>
        </w:rPr>
        <w:t>湘中南承接产业转移示范核心区：依托西渡高新技术产业园区现有的产业基础，完善园区配套服务设施（如标准化厂房、物流中心），提升产业承载力，重点承接粤港澳大湾区、长三角等区域产业外溢。</w:t>
      </w:r>
    </w:p>
    <w:p>
      <w:pPr>
        <w:pStyle w:val="4"/>
        <w:numPr>
          <w:ilvl w:val="0"/>
          <w:numId w:val="1"/>
        </w:numPr>
      </w:pPr>
      <w:bookmarkStart w:id="11" w:name="_Toc15388_WPSOffice_Level2"/>
      <w:r>
        <w:t>发展</w:t>
      </w:r>
      <w:bookmarkEnd w:id="11"/>
      <w:r>
        <w:t>策略</w:t>
      </w:r>
    </w:p>
    <w:p>
      <w:pPr>
        <w:pStyle w:val="32"/>
        <w:rPr>
          <w:rFonts w:hint="default"/>
          <w:lang w:eastAsia="zh-CN"/>
        </w:rPr>
      </w:pPr>
      <w:r>
        <w:rPr>
          <w:rFonts w:hint="eastAsia"/>
          <w:lang w:eastAsia="zh-CN"/>
        </w:rPr>
        <w:t>推动生产集聚，园区形成以轻工消费品制造为主导产业，钟表、钻石和衣鞋等为特色产业，生物医药、智能装备制造、农产品深加工为优先发展的“一主一特三优先”的产业发展体系。推动产城融合，完善园区基础设施和公共服务设施建设，优化园区生产空间与生活空间的配置。推动新型基础设施建设，打造园区为衡阳县智慧城市发展示范。推动创新发展、绿色发展、人与自然和谐共生，提升园区可持续发展能力</w:t>
      </w:r>
      <w:r>
        <w:rPr>
          <w:lang w:eastAsia="zh-CN"/>
        </w:rPr>
        <w:t>。</w:t>
      </w:r>
    </w:p>
    <w:p>
      <w:pPr>
        <w:pStyle w:val="2"/>
        <w:spacing w:before="326" w:after="326"/>
        <w:rPr>
          <w:lang w:eastAsia="zh-CN"/>
        </w:rPr>
      </w:pPr>
      <w:bookmarkStart w:id="12" w:name="_Toc22381"/>
      <w:r>
        <w:rPr>
          <w:lang w:eastAsia="zh-CN"/>
        </w:rPr>
        <w:t>第</w:t>
      </w:r>
      <w:r>
        <w:rPr>
          <w:rFonts w:hint="eastAsia"/>
          <w:lang w:eastAsia="zh-CN"/>
        </w:rPr>
        <w:t>三</w:t>
      </w:r>
      <w:r>
        <w:rPr>
          <w:lang w:eastAsia="zh-CN"/>
        </w:rPr>
        <w:t xml:space="preserve">章 </w:t>
      </w:r>
      <w:r>
        <w:rPr>
          <w:rFonts w:hint="eastAsia"/>
          <w:lang w:eastAsia="zh-CN"/>
        </w:rPr>
        <w:t>国土空间格局</w:t>
      </w:r>
      <w:bookmarkEnd w:id="12"/>
    </w:p>
    <w:p>
      <w:pPr>
        <w:pStyle w:val="3"/>
      </w:pPr>
      <w:bookmarkStart w:id="13" w:name="_Toc15622"/>
      <w:r>
        <w:t>第</w:t>
      </w:r>
      <w:r>
        <w:rPr>
          <w:rFonts w:hint="eastAsia"/>
        </w:rPr>
        <w:t>一</w:t>
      </w:r>
      <w:r>
        <w:t xml:space="preserve">节 </w:t>
      </w:r>
      <w:r>
        <w:rPr>
          <w:rFonts w:hint="eastAsia"/>
        </w:rPr>
        <w:t>构建总体新格局</w:t>
      </w:r>
      <w:bookmarkEnd w:id="13"/>
    </w:p>
    <w:p>
      <w:pPr>
        <w:pStyle w:val="32"/>
        <w:ind w:firstLine="720"/>
        <w:rPr>
          <w:rFonts w:hint="default"/>
          <w:highlight w:val="none"/>
          <w:lang w:val="en-US" w:eastAsia="zh-CN"/>
        </w:rPr>
      </w:pPr>
      <w:r>
        <w:rPr>
          <w:highlight w:val="none"/>
          <w:lang w:eastAsia="zh-CN"/>
        </w:rPr>
        <w:t>总体格局：以区域内地形地貌基本特征为基础，结合市、县“双评价”成果，落实三条控制线，合理构建生态廊道、交通网络、镇（乡）村结构体系，明晰开发保护区域、轴带以及重要节点，确定国土空间开发、保护总体格局。构建全域</w:t>
      </w:r>
      <w:r>
        <w:rPr>
          <w:rFonts w:hint="eastAsia"/>
          <w:highlight w:val="none"/>
          <w:lang w:eastAsia="zh-CN"/>
        </w:rPr>
        <w:t>“一核引领、两轴联动、三带协同、四区统筹”</w:t>
      </w:r>
      <w:r>
        <w:rPr>
          <w:rFonts w:hint="eastAsia"/>
          <w:highlight w:val="none"/>
          <w:lang w:val="en-US" w:eastAsia="zh-CN"/>
        </w:rPr>
        <w:t>的新格局。</w:t>
      </w:r>
    </w:p>
    <w:p>
      <w:pPr>
        <w:pStyle w:val="32"/>
        <w:ind w:firstLine="720"/>
        <w:rPr>
          <w:rFonts w:hint="eastAsia"/>
          <w:highlight w:val="none"/>
          <w:lang w:eastAsia="zh-CN"/>
        </w:rPr>
      </w:pPr>
      <w:r>
        <w:rPr>
          <w:rFonts w:hint="eastAsia"/>
          <w:highlight w:val="none"/>
          <w:lang w:eastAsia="zh-CN"/>
        </w:rPr>
        <w:t>一核：城镇综合服务核心区（西渡老城区+高新区）</w:t>
      </w:r>
    </w:p>
    <w:p>
      <w:pPr>
        <w:pStyle w:val="32"/>
        <w:ind w:firstLine="720"/>
        <w:rPr>
          <w:rFonts w:hint="eastAsia"/>
          <w:highlight w:val="none"/>
          <w:lang w:eastAsia="zh-CN"/>
        </w:rPr>
      </w:pPr>
      <w:r>
        <w:rPr>
          <w:rFonts w:hint="eastAsia"/>
          <w:highlight w:val="none"/>
          <w:lang w:eastAsia="zh-CN"/>
        </w:rPr>
        <w:t>两轴：</w:t>
      </w:r>
      <w:r>
        <w:rPr>
          <w:rFonts w:hint="eastAsia"/>
          <w:highlight w:val="none"/>
          <w:lang w:val="en-US" w:eastAsia="zh-CN"/>
        </w:rPr>
        <w:t>336省</w:t>
      </w:r>
      <w:r>
        <w:rPr>
          <w:rFonts w:hint="eastAsia"/>
          <w:highlight w:val="none"/>
          <w:lang w:eastAsia="zh-CN"/>
        </w:rPr>
        <w:t>道产城融合发展轴、</w:t>
      </w:r>
      <w:r>
        <w:rPr>
          <w:rFonts w:hint="eastAsia"/>
          <w:highlight w:val="none"/>
          <w:lang w:val="en-US" w:eastAsia="zh-CN"/>
        </w:rPr>
        <w:t>蒸水</w:t>
      </w:r>
      <w:r>
        <w:rPr>
          <w:rFonts w:hint="eastAsia"/>
          <w:highlight w:val="none"/>
          <w:lang w:eastAsia="zh-CN"/>
        </w:rPr>
        <w:t>生态文化景观轴</w:t>
      </w:r>
    </w:p>
    <w:p>
      <w:pPr>
        <w:pStyle w:val="32"/>
        <w:ind w:firstLine="720"/>
        <w:rPr>
          <w:rFonts w:hint="eastAsia"/>
          <w:highlight w:val="none"/>
          <w:lang w:eastAsia="zh-CN"/>
        </w:rPr>
      </w:pPr>
      <w:r>
        <w:rPr>
          <w:rFonts w:hint="eastAsia"/>
          <w:highlight w:val="none"/>
          <w:lang w:eastAsia="zh-CN"/>
        </w:rPr>
        <w:t>三带：北部现代农业示范带、中部城乡融合发展带、南部生态旅游发展带</w:t>
      </w:r>
    </w:p>
    <w:p>
      <w:pPr>
        <w:pStyle w:val="32"/>
        <w:ind w:firstLine="720"/>
        <w:rPr>
          <w:rFonts w:hint="default"/>
          <w:highlight w:val="none"/>
          <w:lang w:eastAsia="zh-CN"/>
        </w:rPr>
      </w:pPr>
      <w:r>
        <w:rPr>
          <w:rFonts w:hint="default"/>
          <w:highlight w:val="none"/>
          <w:lang w:eastAsia="zh-CN"/>
        </w:rPr>
        <w:drawing>
          <wp:anchor distT="0" distB="0" distL="114300" distR="114300" simplePos="0" relativeHeight="251660288" behindDoc="0" locked="0" layoutInCell="1" allowOverlap="1">
            <wp:simplePos x="0" y="0"/>
            <wp:positionH relativeFrom="column">
              <wp:posOffset>1420495</wp:posOffset>
            </wp:positionH>
            <wp:positionV relativeFrom="paragraph">
              <wp:posOffset>796925</wp:posOffset>
            </wp:positionV>
            <wp:extent cx="2789555" cy="3943350"/>
            <wp:effectExtent l="0" t="0" r="10795" b="0"/>
            <wp:wrapTopAndBottom/>
            <wp:docPr id="7" name="图片 7" descr="02国土空间总体格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2国土空间总体格局规划图"/>
                    <pic:cNvPicPr>
                      <a:picLocks noChangeAspect="1"/>
                    </pic:cNvPicPr>
                  </pic:nvPicPr>
                  <pic:blipFill>
                    <a:blip r:embed="rId26"/>
                    <a:stretch>
                      <a:fillRect/>
                    </a:stretch>
                  </pic:blipFill>
                  <pic:spPr>
                    <a:xfrm>
                      <a:off x="0" y="0"/>
                      <a:ext cx="2789555" cy="3943350"/>
                    </a:xfrm>
                    <a:prstGeom prst="rect">
                      <a:avLst/>
                    </a:prstGeom>
                  </pic:spPr>
                </pic:pic>
              </a:graphicData>
            </a:graphic>
          </wp:anchor>
        </w:drawing>
      </w:r>
      <w:r>
        <w:rPr>
          <w:rFonts w:hint="eastAsia"/>
          <w:highlight w:val="none"/>
          <w:lang w:eastAsia="zh-CN"/>
        </w:rPr>
        <w:t>四区：城镇集中建设区、农业高效生产区、生态</w:t>
      </w:r>
      <w:r>
        <w:rPr>
          <w:rFonts w:hint="eastAsia"/>
          <w:highlight w:val="none"/>
          <w:lang w:val="en-US" w:eastAsia="zh-CN"/>
        </w:rPr>
        <w:t>种养</w:t>
      </w:r>
      <w:r>
        <w:rPr>
          <w:rFonts w:hint="eastAsia"/>
          <w:highlight w:val="none"/>
          <w:lang w:eastAsia="zh-CN"/>
        </w:rPr>
        <w:t>区、文旅</w:t>
      </w:r>
      <w:r>
        <w:rPr>
          <w:rFonts w:hint="eastAsia"/>
          <w:highlight w:val="none"/>
          <w:lang w:val="en-US" w:eastAsia="zh-CN"/>
        </w:rPr>
        <w:t>农旅融合</w:t>
      </w:r>
      <w:r>
        <w:rPr>
          <w:rFonts w:hint="eastAsia"/>
          <w:highlight w:val="none"/>
          <w:lang w:eastAsia="zh-CN"/>
        </w:rPr>
        <w:t>发展区</w:t>
      </w:r>
      <w:r>
        <w:rPr>
          <w:highlight w:val="none"/>
          <w:lang w:eastAsia="zh-CN"/>
        </w:rPr>
        <w:t>。</w:t>
      </w:r>
    </w:p>
    <w:p>
      <w:pPr>
        <w:pStyle w:val="3"/>
      </w:pPr>
      <w:bookmarkStart w:id="14" w:name="_Toc17231"/>
      <w:r>
        <w:rPr>
          <w:rFonts w:hint="eastAsia"/>
        </w:rPr>
        <w:t>第</w:t>
      </w:r>
      <w:r>
        <w:rPr>
          <w:rFonts w:hint="eastAsia"/>
          <w:lang w:val="en-US" w:eastAsia="zh-CN"/>
        </w:rPr>
        <w:t>三</w:t>
      </w:r>
      <w:r>
        <w:rPr>
          <w:rFonts w:hint="eastAsia"/>
        </w:rPr>
        <w:t>节 合理划定规划分区</w:t>
      </w:r>
      <w:bookmarkEnd w:id="14"/>
    </w:p>
    <w:p>
      <w:pPr>
        <w:pStyle w:val="32"/>
        <w:ind w:firstLine="720"/>
        <w:rPr>
          <w:rFonts w:hint="default"/>
          <w:lang w:eastAsia="zh-CN"/>
        </w:rPr>
      </w:pPr>
      <w:r>
        <w:rPr>
          <w:lang w:eastAsia="zh-CN"/>
        </w:rPr>
        <w:drawing>
          <wp:anchor distT="0" distB="0" distL="114300" distR="114300" simplePos="0" relativeHeight="251661312" behindDoc="0" locked="0" layoutInCell="1" allowOverlap="1">
            <wp:simplePos x="0" y="0"/>
            <wp:positionH relativeFrom="column">
              <wp:posOffset>1614170</wp:posOffset>
            </wp:positionH>
            <wp:positionV relativeFrom="paragraph">
              <wp:posOffset>4041775</wp:posOffset>
            </wp:positionV>
            <wp:extent cx="3227070" cy="4561205"/>
            <wp:effectExtent l="0" t="0" r="11430" b="10795"/>
            <wp:wrapTopAndBottom/>
            <wp:docPr id="9" name="图片 9" descr="15国土空间规划分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国土空间规划分区图"/>
                    <pic:cNvPicPr>
                      <a:picLocks noChangeAspect="1"/>
                    </pic:cNvPicPr>
                  </pic:nvPicPr>
                  <pic:blipFill>
                    <a:blip r:embed="rId27"/>
                    <a:stretch>
                      <a:fillRect/>
                    </a:stretch>
                  </pic:blipFill>
                  <pic:spPr>
                    <a:xfrm>
                      <a:off x="0" y="0"/>
                      <a:ext cx="3227070" cy="4561205"/>
                    </a:xfrm>
                    <a:prstGeom prst="rect">
                      <a:avLst/>
                    </a:prstGeom>
                  </pic:spPr>
                </pic:pic>
              </a:graphicData>
            </a:graphic>
          </wp:anchor>
        </w:drawing>
      </w:r>
      <w:r>
        <w:rPr>
          <w:lang w:eastAsia="zh-CN"/>
        </w:rPr>
        <w:t>落实</w:t>
      </w:r>
      <w:r>
        <w:rPr>
          <w:rFonts w:hint="eastAsia"/>
          <w:lang w:eastAsia="zh-CN"/>
        </w:rPr>
        <w:t>西渡镇</w:t>
      </w:r>
      <w:r>
        <w:rPr>
          <w:lang w:eastAsia="zh-CN"/>
        </w:rPr>
        <w:t>发展定位，结合资源禀赋条件，合理划分国土空间规划分区，明确各规划分区国土空间功能导向和主要用途方向，制定用途准入原则和管控要求，实现乡域内全类型国土空间用途管制。</w:t>
      </w:r>
      <w:r>
        <w:rPr>
          <w:rFonts w:hint="eastAsia"/>
          <w:lang w:eastAsia="zh-CN"/>
        </w:rPr>
        <w:t>全域划分为生态保护区、生态控制区、农田保护区、城镇发展区、乡村发展区、矿产能源发展区六类一级规划分区，将城镇发展区</w:t>
      </w:r>
      <w:r>
        <w:rPr>
          <w:rFonts w:hint="eastAsia"/>
          <w:lang w:val="en-US" w:eastAsia="zh-CN"/>
        </w:rPr>
        <w:t>细化为城镇集中建设区（细化为居住生活区、综合服务区、商业商务区、工业发展区、物流仓储区、绿地休闲区、交通枢纽区、战略预留区）、特别用途区、其他城镇建设区，将</w:t>
      </w:r>
      <w:r>
        <w:rPr>
          <w:rFonts w:hint="eastAsia"/>
          <w:lang w:eastAsia="zh-CN"/>
        </w:rPr>
        <w:t>乡村发展区细化为村庄建设区、一般农业区、林业发展区三类二级规划分区</w:t>
      </w:r>
      <w:r>
        <w:rPr>
          <w:lang w:eastAsia="zh-CN"/>
        </w:rPr>
        <w:t>，实行差异化管理。</w:t>
      </w:r>
    </w:p>
    <w:p>
      <w:pPr>
        <w:pStyle w:val="2"/>
        <w:spacing w:before="326" w:after="326"/>
        <w:rPr>
          <w:lang w:eastAsia="zh-CN"/>
        </w:rPr>
      </w:pPr>
      <w:bookmarkStart w:id="15" w:name="_Toc29750"/>
      <w:r>
        <w:rPr>
          <w:lang w:eastAsia="zh-CN"/>
        </w:rPr>
        <w:t>第</w:t>
      </w:r>
      <w:r>
        <w:rPr>
          <w:rFonts w:hint="eastAsia"/>
          <w:lang w:eastAsia="zh-CN"/>
        </w:rPr>
        <w:t>五</w:t>
      </w:r>
      <w:r>
        <w:rPr>
          <w:lang w:eastAsia="zh-CN"/>
        </w:rPr>
        <w:t xml:space="preserve">章 </w:t>
      </w:r>
      <w:r>
        <w:rPr>
          <w:rFonts w:hint="eastAsia"/>
          <w:lang w:eastAsia="zh-CN"/>
        </w:rPr>
        <w:t>国土空间开发</w:t>
      </w:r>
      <w:bookmarkEnd w:id="15"/>
    </w:p>
    <w:p>
      <w:pPr>
        <w:pStyle w:val="3"/>
      </w:pPr>
      <w:bookmarkStart w:id="16" w:name="_Toc26005"/>
      <w:r>
        <w:t xml:space="preserve">第一节 </w:t>
      </w:r>
      <w:r>
        <w:rPr>
          <w:rFonts w:hint="eastAsia"/>
        </w:rPr>
        <w:t>镇村体系</w:t>
      </w:r>
      <w:bookmarkEnd w:id="16"/>
    </w:p>
    <w:p>
      <w:pPr>
        <w:pStyle w:val="32"/>
        <w:ind w:firstLine="720"/>
        <w:rPr>
          <w:rFonts w:hint="default"/>
          <w:lang w:eastAsia="zh-CN"/>
        </w:rPr>
      </w:pPr>
      <w:r>
        <w:rPr>
          <w:lang w:eastAsia="zh-CN"/>
        </w:rPr>
        <w:t>全面推进乡村振兴加快农业农村现代化，改善农村人居环境，加强乡村治理能力。实施乡村建设行动保护传统村落和乡村风貌，加强</w:t>
      </w:r>
      <w:r>
        <w:rPr>
          <w:rFonts w:hint="eastAsia"/>
          <w:lang w:val="en-US" w:eastAsia="zh-CN"/>
        </w:rPr>
        <w:t>镇域和村庄</w:t>
      </w:r>
      <w:r>
        <w:rPr>
          <w:lang w:eastAsia="zh-CN"/>
        </w:rPr>
        <w:t>基础设施的建设。强化特色发展路径强化特色农业发展和</w:t>
      </w:r>
      <w:r>
        <w:rPr>
          <w:rFonts w:hint="eastAsia"/>
          <w:lang w:val="en-US" w:eastAsia="zh-CN"/>
        </w:rPr>
        <w:t>高新技术产业</w:t>
      </w:r>
      <w:r>
        <w:rPr>
          <w:lang w:eastAsia="zh-CN"/>
        </w:rPr>
        <w:t>为主的</w:t>
      </w:r>
      <w:r>
        <w:rPr>
          <w:rFonts w:hint="eastAsia"/>
          <w:lang w:val="en-US" w:eastAsia="zh-CN"/>
        </w:rPr>
        <w:t>协同</w:t>
      </w:r>
      <w:r>
        <w:rPr>
          <w:lang w:eastAsia="zh-CN"/>
        </w:rPr>
        <w:t>发展。</w:t>
      </w:r>
    </w:p>
    <w:p>
      <w:pPr>
        <w:pStyle w:val="32"/>
        <w:ind w:firstLine="720"/>
        <w:rPr>
          <w:rFonts w:hint="default"/>
          <w:highlight w:val="none"/>
          <w:lang w:eastAsia="zh-CN"/>
        </w:rPr>
      </w:pPr>
      <w:r>
        <w:rPr>
          <w:highlight w:val="none"/>
          <w:lang w:eastAsia="zh-CN"/>
        </w:rPr>
        <w:t>此次</w:t>
      </w:r>
      <w:r>
        <w:rPr>
          <w:rFonts w:hint="eastAsia"/>
          <w:highlight w:val="none"/>
          <w:lang w:eastAsia="zh-CN"/>
        </w:rPr>
        <w:t>西渡镇</w:t>
      </w:r>
      <w:r>
        <w:rPr>
          <w:highlight w:val="none"/>
          <w:lang w:eastAsia="zh-CN"/>
        </w:rPr>
        <w:t>规划形成“1+</w:t>
      </w:r>
      <w:r>
        <w:rPr>
          <w:rFonts w:hint="eastAsia"/>
          <w:highlight w:val="none"/>
          <w:lang w:val="en-US" w:eastAsia="zh-CN"/>
        </w:rPr>
        <w:t>12</w:t>
      </w:r>
      <w:r>
        <w:rPr>
          <w:highlight w:val="none"/>
          <w:lang w:eastAsia="zh-CN"/>
        </w:rPr>
        <w:t>+</w:t>
      </w:r>
      <w:r>
        <w:rPr>
          <w:rFonts w:hint="eastAsia"/>
          <w:highlight w:val="none"/>
          <w:lang w:val="en-US" w:eastAsia="zh-CN"/>
        </w:rPr>
        <w:t>10</w:t>
      </w:r>
      <w:r>
        <w:rPr>
          <w:highlight w:val="none"/>
          <w:lang w:eastAsia="zh-CN"/>
        </w:rPr>
        <w:t>”镇村体系。</w:t>
      </w:r>
    </w:p>
    <w:p>
      <w:pPr>
        <w:pStyle w:val="32"/>
        <w:ind w:firstLine="720"/>
        <w:rPr>
          <w:rFonts w:hint="default"/>
          <w:highlight w:val="none"/>
          <w:lang w:val="en-US" w:eastAsia="zh-CN"/>
        </w:rPr>
      </w:pPr>
      <w:r>
        <w:rPr>
          <w:highlight w:val="none"/>
          <w:lang w:eastAsia="zh-CN"/>
        </w:rPr>
        <w:t>即1个乡镇中心：</w:t>
      </w:r>
      <w:r>
        <w:rPr>
          <w:rFonts w:hint="eastAsia"/>
          <w:highlight w:val="none"/>
          <w:lang w:eastAsia="zh-CN"/>
        </w:rPr>
        <w:t>城镇综合服务核心区（西渡老城区+高新区）。</w:t>
      </w:r>
    </w:p>
    <w:p>
      <w:pPr>
        <w:pStyle w:val="32"/>
        <w:ind w:firstLine="720"/>
        <w:rPr>
          <w:rFonts w:hint="default"/>
          <w:highlight w:val="none"/>
          <w:lang w:eastAsia="zh-CN"/>
        </w:rPr>
      </w:pPr>
      <w:r>
        <w:rPr>
          <w:rFonts w:hint="eastAsia"/>
          <w:highlight w:val="none"/>
          <w:lang w:val="en-US" w:eastAsia="zh-CN"/>
        </w:rPr>
        <w:t>12</w:t>
      </w:r>
      <w:r>
        <w:rPr>
          <w:highlight w:val="none"/>
          <w:lang w:eastAsia="zh-CN"/>
        </w:rPr>
        <w:t>个中心</w:t>
      </w:r>
      <w:r>
        <w:rPr>
          <w:rFonts w:hint="eastAsia"/>
          <w:highlight w:val="none"/>
          <w:lang w:val="en-US" w:eastAsia="zh-CN"/>
        </w:rPr>
        <w:t>村</w:t>
      </w:r>
      <w:r>
        <w:rPr>
          <w:highlight w:val="none"/>
          <w:lang w:eastAsia="zh-CN"/>
        </w:rPr>
        <w:t>：</w:t>
      </w:r>
      <w:r>
        <w:rPr>
          <w:rFonts w:hint="eastAsia"/>
          <w:highlight w:val="none"/>
          <w:lang w:eastAsia="zh-CN"/>
        </w:rPr>
        <w:t>西渡村、保安村、英南村、赤水村、咸水村、豆陂村、咸中亭村、梅花村、小海村、清平村、梅竹村、清江村。</w:t>
      </w:r>
    </w:p>
    <w:p>
      <w:pPr>
        <w:pStyle w:val="32"/>
        <w:ind w:firstLine="720"/>
        <w:rPr>
          <w:rFonts w:hint="default"/>
          <w:highlight w:val="none"/>
          <w:lang w:val="en-US" w:eastAsia="zh-CN"/>
        </w:rPr>
      </w:pPr>
      <w:r>
        <w:rPr>
          <w:rFonts w:hint="eastAsia"/>
          <w:highlight w:val="none"/>
          <w:lang w:val="en-US" w:eastAsia="zh-CN"/>
        </w:rPr>
        <w:t>10</w:t>
      </w:r>
      <w:r>
        <w:rPr>
          <w:highlight w:val="none"/>
          <w:lang w:eastAsia="zh-CN"/>
        </w:rPr>
        <w:t>个一般村：</w:t>
      </w:r>
      <w:r>
        <w:rPr>
          <w:rFonts w:hint="eastAsia"/>
          <w:highlight w:val="none"/>
          <w:lang w:eastAsia="zh-CN"/>
        </w:rPr>
        <w:t>桐桥村、陡岭村、天星村、青里村、新桥村、振兴村、盘龙村、秋塘村、福星村、黄林村。</w:t>
      </w:r>
    </w:p>
    <w:p>
      <w:pPr>
        <w:pStyle w:val="3"/>
      </w:pPr>
      <w:bookmarkStart w:id="17" w:name="_Toc31938"/>
      <w:r>
        <w:t>第</w:t>
      </w:r>
      <w:r>
        <w:rPr>
          <w:rFonts w:hint="eastAsia"/>
        </w:rPr>
        <w:t>二</w:t>
      </w:r>
      <w:r>
        <w:t xml:space="preserve">节 </w:t>
      </w:r>
      <w:r>
        <w:rPr>
          <w:rFonts w:hint="eastAsia"/>
        </w:rPr>
        <w:t>建设用地布局</w:t>
      </w:r>
      <w:bookmarkEnd w:id="17"/>
    </w:p>
    <w:p>
      <w:pPr>
        <w:pStyle w:val="4"/>
        <w:numPr>
          <w:ilvl w:val="0"/>
          <w:numId w:val="4"/>
        </w:numPr>
      </w:pPr>
      <w:r>
        <w:rPr>
          <w:rFonts w:hint="eastAsia"/>
        </w:rPr>
        <w:t>城镇建设用地规模</w:t>
      </w:r>
    </w:p>
    <w:p>
      <w:pPr>
        <w:pStyle w:val="32"/>
        <w:ind w:firstLine="720"/>
        <w:rPr>
          <w:rFonts w:hint="default"/>
          <w:highlight w:val="none"/>
          <w:lang w:eastAsia="zh-CN"/>
        </w:rPr>
      </w:pPr>
      <w:r>
        <w:rPr>
          <w:highlight w:val="none"/>
          <w:lang w:eastAsia="zh-CN"/>
        </w:rPr>
        <w:t>规划至2035年，</w:t>
      </w:r>
      <w:r>
        <w:rPr>
          <w:rFonts w:hint="eastAsia"/>
          <w:highlight w:val="none"/>
          <w:lang w:eastAsia="zh-CN"/>
        </w:rPr>
        <w:t>西渡镇</w:t>
      </w:r>
      <w:r>
        <w:rPr>
          <w:highlight w:val="none"/>
          <w:lang w:eastAsia="zh-CN"/>
        </w:rPr>
        <w:t>城镇建设用地规模为</w:t>
      </w:r>
      <w:r>
        <w:rPr>
          <w:rFonts w:hint="eastAsia"/>
          <w:highlight w:val="none"/>
          <w:lang w:val="en-US" w:eastAsia="zh-CN"/>
        </w:rPr>
        <w:t>2780.75公顷，其中城镇集中建设区2736.20</w:t>
      </w:r>
      <w:r>
        <w:rPr>
          <w:highlight w:val="none"/>
          <w:lang w:eastAsia="zh-CN"/>
        </w:rPr>
        <w:t>公顷</w:t>
      </w:r>
      <w:r>
        <w:rPr>
          <w:rFonts w:hint="eastAsia"/>
          <w:highlight w:val="none"/>
          <w:lang w:eastAsia="zh-CN"/>
        </w:rPr>
        <w:t>，</w:t>
      </w:r>
      <w:r>
        <w:rPr>
          <w:highlight w:val="none"/>
          <w:lang w:eastAsia="zh-CN"/>
        </w:rPr>
        <w:t>其他城镇建设用地</w:t>
      </w:r>
      <w:r>
        <w:rPr>
          <w:rFonts w:hint="eastAsia"/>
          <w:highlight w:val="none"/>
          <w:lang w:val="en-US" w:eastAsia="zh-CN"/>
        </w:rPr>
        <w:t>44.55</w:t>
      </w:r>
      <w:r>
        <w:rPr>
          <w:highlight w:val="none"/>
          <w:lang w:eastAsia="zh-CN"/>
        </w:rPr>
        <w:t>公顷。</w:t>
      </w:r>
    </w:p>
    <w:p>
      <w:pPr>
        <w:pStyle w:val="4"/>
        <w:numPr>
          <w:ilvl w:val="0"/>
          <w:numId w:val="1"/>
        </w:numPr>
      </w:pPr>
      <w:r>
        <w:rPr>
          <w:rFonts w:hint="eastAsia"/>
        </w:rPr>
        <w:t>村庄建设用地规模</w:t>
      </w:r>
    </w:p>
    <w:p>
      <w:pPr>
        <w:pStyle w:val="32"/>
        <w:ind w:firstLine="720"/>
        <w:rPr>
          <w:rFonts w:hint="default"/>
          <w:lang w:eastAsia="zh-CN"/>
        </w:rPr>
      </w:pPr>
      <w:r>
        <w:rPr>
          <w:rFonts w:hint="eastAsia"/>
          <w:lang w:eastAsia="zh-CN"/>
        </w:rPr>
        <w:t>至2035年，西渡镇中心城区外村庄建设用地面积控制在</w:t>
      </w:r>
      <w:r>
        <w:rPr>
          <w:rFonts w:hint="eastAsia"/>
          <w:highlight w:val="none"/>
          <w:lang w:val="en-US" w:eastAsia="zh-CN"/>
        </w:rPr>
        <w:t>1113.09</w:t>
      </w:r>
      <w:r>
        <w:rPr>
          <w:rFonts w:hint="eastAsia"/>
          <w:highlight w:val="none"/>
          <w:lang w:eastAsia="zh-CN"/>
        </w:rPr>
        <w:t>公顷以内</w:t>
      </w:r>
      <w:r>
        <w:rPr>
          <w:rFonts w:hint="eastAsia"/>
          <w:lang w:eastAsia="zh-CN"/>
        </w:rPr>
        <w:t>。规划预留不超过村庄建设用地总规模5%的“留白”指标</w:t>
      </w:r>
      <w:r>
        <w:rPr>
          <w:lang w:eastAsia="zh-CN"/>
        </w:rPr>
        <w:t>。</w:t>
      </w:r>
    </w:p>
    <w:p>
      <w:pPr>
        <w:pStyle w:val="4"/>
        <w:numPr>
          <w:ilvl w:val="0"/>
          <w:numId w:val="1"/>
        </w:numPr>
      </w:pPr>
      <w:r>
        <w:rPr>
          <w:rFonts w:hint="eastAsia"/>
        </w:rPr>
        <w:t>区域基础设施用地规模</w:t>
      </w:r>
    </w:p>
    <w:p>
      <w:pPr>
        <w:pStyle w:val="32"/>
        <w:ind w:firstLine="720"/>
        <w:rPr>
          <w:rFonts w:hint="eastAsia"/>
          <w:lang w:eastAsia="zh-CN"/>
        </w:rPr>
      </w:pPr>
      <w:r>
        <w:rPr>
          <w:rFonts w:hint="eastAsia"/>
          <w:lang w:val="en-US" w:eastAsia="zh-CN"/>
        </w:rPr>
        <w:t>至</w:t>
      </w:r>
      <w:r>
        <w:rPr>
          <w:rFonts w:hint="default"/>
          <w:lang w:val="en-US" w:eastAsia="zh-CN"/>
        </w:rPr>
        <w:t>2035</w:t>
      </w:r>
      <w:r>
        <w:rPr>
          <w:rFonts w:hint="eastAsia"/>
          <w:lang w:val="en-US" w:eastAsia="zh-CN"/>
        </w:rPr>
        <w:t>年，西渡镇中心城区外区域交通设施用地面积为271.13公顷，主要为通栏垅乡、杉桥镇三级公路、</w:t>
      </w:r>
      <w:r>
        <w:rPr>
          <w:rFonts w:hint="default"/>
          <w:lang w:val="en-US" w:eastAsia="zh-CN"/>
        </w:rPr>
        <w:t>S222</w:t>
      </w:r>
      <w:r>
        <w:rPr>
          <w:rFonts w:hint="eastAsia"/>
          <w:lang w:val="en-US" w:eastAsia="zh-CN"/>
        </w:rPr>
        <w:t>、</w:t>
      </w:r>
      <w:r>
        <w:rPr>
          <w:rFonts w:hint="default"/>
          <w:lang w:val="en-US" w:eastAsia="zh-CN"/>
        </w:rPr>
        <w:t>S336</w:t>
      </w:r>
      <w:r>
        <w:rPr>
          <w:rFonts w:hint="eastAsia"/>
          <w:lang w:val="en-US" w:eastAsia="zh-CN"/>
        </w:rPr>
        <w:t>等公路用地。</w:t>
      </w:r>
    </w:p>
    <w:p>
      <w:pPr>
        <w:pStyle w:val="4"/>
        <w:numPr>
          <w:ilvl w:val="0"/>
          <w:numId w:val="1"/>
        </w:numPr>
      </w:pPr>
      <w:r>
        <w:rPr>
          <w:rFonts w:hint="eastAsia"/>
        </w:rPr>
        <w:t>其他建设用地规模</w:t>
      </w:r>
    </w:p>
    <w:p>
      <w:pPr>
        <w:pStyle w:val="32"/>
        <w:ind w:firstLine="720"/>
        <w:rPr>
          <w:rFonts w:hint="default"/>
          <w:lang w:eastAsia="zh-CN"/>
        </w:rPr>
      </w:pPr>
      <w:r>
        <w:rPr>
          <w:rFonts w:hint="eastAsia"/>
          <w:lang w:eastAsia="zh-CN"/>
        </w:rPr>
        <w:t>至2035年，西渡镇中心城区外其他建设用地面积为4</w:t>
      </w:r>
      <w:r>
        <w:rPr>
          <w:rFonts w:hint="eastAsia"/>
          <w:lang w:val="en-US" w:eastAsia="zh-CN"/>
        </w:rPr>
        <w:t>8.01</w:t>
      </w:r>
      <w:r>
        <w:rPr>
          <w:rFonts w:hint="eastAsia"/>
          <w:lang w:eastAsia="zh-CN"/>
        </w:rPr>
        <w:t>公顷，其中采矿用地新增5.71公顷，主要为赤水砖瓦用页岩矿场。</w:t>
      </w:r>
    </w:p>
    <w:p>
      <w:pPr>
        <w:pStyle w:val="4"/>
        <w:numPr>
          <w:ilvl w:val="0"/>
          <w:numId w:val="1"/>
        </w:numPr>
      </w:pPr>
      <w:bookmarkStart w:id="18" w:name="_Hlk183175674"/>
      <w:r>
        <w:rPr>
          <w:rFonts w:hint="eastAsia"/>
        </w:rPr>
        <w:t>规划留白</w:t>
      </w:r>
    </w:p>
    <w:p>
      <w:pPr>
        <w:pStyle w:val="32"/>
        <w:ind w:firstLine="720"/>
        <w:rPr>
          <w:rFonts w:hint="default"/>
          <w:highlight w:val="none"/>
          <w:lang w:eastAsia="zh-CN"/>
        </w:rPr>
      </w:pPr>
      <w:r>
        <w:rPr>
          <w:highlight w:val="none"/>
          <w:lang w:eastAsia="zh-CN"/>
        </w:rPr>
        <w:t>规划至2035年，建设用地</w:t>
      </w:r>
      <w:r>
        <w:rPr>
          <w:rFonts w:hint="eastAsia"/>
          <w:highlight w:val="none"/>
          <w:lang w:val="en-US" w:eastAsia="zh-CN"/>
        </w:rPr>
        <w:t>留白</w:t>
      </w:r>
      <w:r>
        <w:rPr>
          <w:highlight w:val="none"/>
          <w:lang w:eastAsia="zh-CN"/>
        </w:rPr>
        <w:t>指标为</w:t>
      </w:r>
      <w:r>
        <w:rPr>
          <w:rFonts w:hint="eastAsia"/>
          <w:highlight w:val="none"/>
          <w:lang w:val="en-US" w:eastAsia="zh-CN"/>
        </w:rPr>
        <w:t>71.27</w:t>
      </w:r>
      <w:r>
        <w:rPr>
          <w:highlight w:val="none"/>
          <w:lang w:eastAsia="zh-CN"/>
        </w:rPr>
        <w:t>公顷。</w:t>
      </w:r>
    </w:p>
    <w:bookmarkEnd w:id="18"/>
    <w:p>
      <w:pPr>
        <w:pStyle w:val="32"/>
        <w:ind w:firstLine="720"/>
        <w:rPr>
          <w:rFonts w:hint="default"/>
          <w:lang w:eastAsia="zh-CN"/>
        </w:rPr>
      </w:pPr>
      <w:r>
        <w:rPr>
          <w:rFonts w:hint="default"/>
          <w:lang w:eastAsia="zh-CN"/>
        </w:rPr>
        <w:drawing>
          <wp:anchor distT="0" distB="0" distL="114300" distR="114300" simplePos="0" relativeHeight="251663360" behindDoc="0" locked="0" layoutInCell="1" allowOverlap="1">
            <wp:simplePos x="0" y="0"/>
            <wp:positionH relativeFrom="column">
              <wp:posOffset>457200</wp:posOffset>
            </wp:positionH>
            <wp:positionV relativeFrom="paragraph">
              <wp:posOffset>-8439150</wp:posOffset>
            </wp:positionV>
            <wp:extent cx="6181725" cy="8736330"/>
            <wp:effectExtent l="0" t="0" r="9525" b="7620"/>
            <wp:wrapTopAndBottom/>
            <wp:docPr id="12" name="图片 12" descr="23城镇开发边界范围国土空间用地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3城镇开发边界范围国土空间用地规划图"/>
                    <pic:cNvPicPr>
                      <a:picLocks noChangeAspect="1"/>
                    </pic:cNvPicPr>
                  </pic:nvPicPr>
                  <pic:blipFill>
                    <a:blip r:embed="rId28"/>
                    <a:stretch>
                      <a:fillRect/>
                    </a:stretch>
                  </pic:blipFill>
                  <pic:spPr>
                    <a:xfrm>
                      <a:off x="0" y="0"/>
                      <a:ext cx="6181725" cy="8736330"/>
                    </a:xfrm>
                    <a:prstGeom prst="rect">
                      <a:avLst/>
                    </a:prstGeom>
                  </pic:spPr>
                </pic:pic>
              </a:graphicData>
            </a:graphic>
          </wp:anchor>
        </w:drawing>
      </w:r>
    </w:p>
    <w:p>
      <w:pPr>
        <w:pStyle w:val="3"/>
      </w:pPr>
      <w:bookmarkStart w:id="19" w:name="_Toc2831"/>
      <w:r>
        <w:t>第</w:t>
      </w:r>
      <w:r>
        <w:rPr>
          <w:rFonts w:hint="eastAsia"/>
        </w:rPr>
        <w:t>三</w:t>
      </w:r>
      <w:r>
        <w:t xml:space="preserve">节 </w:t>
      </w:r>
      <w:r>
        <w:rPr>
          <w:rFonts w:hint="eastAsia"/>
        </w:rPr>
        <w:t>产业发展布局</w:t>
      </w:r>
      <w:bookmarkEnd w:id="19"/>
    </w:p>
    <w:p>
      <w:pPr>
        <w:pStyle w:val="4"/>
        <w:numPr>
          <w:ilvl w:val="0"/>
          <w:numId w:val="5"/>
        </w:numPr>
      </w:pPr>
      <w:r>
        <w:rPr>
          <w:rFonts w:hint="eastAsia"/>
        </w:rPr>
        <w:t>产业发展目标</w:t>
      </w:r>
    </w:p>
    <w:p>
      <w:pPr>
        <w:pStyle w:val="5"/>
        <w:rPr>
          <w:rFonts w:hint="eastAsia"/>
          <w:highlight w:val="none"/>
          <w:lang w:eastAsia="zh-CN"/>
        </w:rPr>
      </w:pPr>
      <w:r>
        <w:rPr>
          <w:rFonts w:hint="eastAsia"/>
          <w:highlight w:val="none"/>
          <w:lang w:val="en-US" w:eastAsia="zh-CN"/>
        </w:rPr>
        <w:t>1、</w:t>
      </w:r>
      <w:r>
        <w:rPr>
          <w:rFonts w:hint="eastAsia"/>
          <w:highlight w:val="none"/>
          <w:lang w:eastAsia="zh-CN"/>
        </w:rPr>
        <w:t>农业方面</w:t>
      </w:r>
    </w:p>
    <w:p>
      <w:pPr>
        <w:pStyle w:val="32"/>
        <w:ind w:firstLine="720"/>
        <w:rPr>
          <w:rFonts w:hint="eastAsia"/>
          <w:highlight w:val="none"/>
          <w:lang w:eastAsia="zh-CN"/>
        </w:rPr>
      </w:pPr>
      <w:r>
        <w:rPr>
          <w:rFonts w:hint="eastAsia"/>
          <w:highlight w:val="none"/>
          <w:lang w:eastAsia="zh-CN"/>
        </w:rPr>
        <w:t>巩固传统农业：抓实双季稻种植，扛牢粮食生产政治责任，围绕“两稳两提升”目标推进粮食生产工作，严禁耕地抛荒。巩固提升优质稻、高产油菜、时鲜蔬菜、苗木花卉、特色水果、综合种养等产业，做大做强蔬菜基地，打造县城“菜篮子”工程。</w:t>
      </w:r>
    </w:p>
    <w:p>
      <w:pPr>
        <w:pStyle w:val="32"/>
        <w:ind w:firstLine="720"/>
        <w:rPr>
          <w:rFonts w:hint="eastAsia"/>
          <w:highlight w:val="none"/>
          <w:lang w:eastAsia="zh-CN"/>
        </w:rPr>
      </w:pPr>
      <w:r>
        <w:rPr>
          <w:rFonts w:hint="eastAsia"/>
          <w:highlight w:val="none"/>
          <w:lang w:eastAsia="zh-CN"/>
        </w:rPr>
        <w:t>发展特色农业：大力发展豆陂、新桥、振兴、福星等村优质瓜果种植，培育壮大传统养殖和特色养殖，适度壮大规模，探索推行“稻鸭、稻鳖、稻虾、稻鱼”稻田综合种养新模式，提升种粮效益。</w:t>
      </w:r>
    </w:p>
    <w:p>
      <w:pPr>
        <w:pStyle w:val="32"/>
        <w:ind w:firstLine="720"/>
        <w:rPr>
          <w:rFonts w:hint="eastAsia"/>
          <w:highlight w:val="none"/>
          <w:lang w:eastAsia="zh-CN"/>
        </w:rPr>
      </w:pPr>
      <w:r>
        <w:rPr>
          <w:rFonts w:hint="eastAsia"/>
          <w:highlight w:val="none"/>
          <w:lang w:eastAsia="zh-CN"/>
        </w:rPr>
        <w:t>完善农业体系：加大农业招商引资力度，推进农村农业产业化，健全农业社会化服务体系，完善运作机制，提升服务质量和水平。</w:t>
      </w:r>
    </w:p>
    <w:p>
      <w:pPr>
        <w:pStyle w:val="5"/>
        <w:rPr>
          <w:rFonts w:hint="eastAsia"/>
          <w:highlight w:val="none"/>
          <w:lang w:val="en-US" w:eastAsia="zh-CN"/>
        </w:rPr>
      </w:pPr>
      <w:r>
        <w:rPr>
          <w:rFonts w:hint="eastAsia"/>
          <w:highlight w:val="none"/>
          <w:lang w:val="en-US" w:eastAsia="zh-CN"/>
        </w:rPr>
        <w:t>2、文旅方面</w:t>
      </w:r>
    </w:p>
    <w:p>
      <w:pPr>
        <w:pStyle w:val="32"/>
        <w:ind w:firstLine="720"/>
        <w:rPr>
          <w:rFonts w:hint="eastAsia"/>
          <w:highlight w:val="none"/>
          <w:lang w:eastAsia="zh-CN"/>
        </w:rPr>
      </w:pPr>
      <w:r>
        <w:rPr>
          <w:rFonts w:hint="eastAsia"/>
          <w:highlight w:val="none"/>
          <w:lang w:eastAsia="zh-CN"/>
        </w:rPr>
        <w:t>推进乡村旅游：继续推进清花湾、梅花陡岭片乡村旅游发展，2023年梅花村已入选中国休闲美丽乡村，新桥村入选湖南乡村旅游“四个一百”建设工程名录，未来将进一步提升乡村旅游品质。</w:t>
      </w:r>
    </w:p>
    <w:p>
      <w:pPr>
        <w:pStyle w:val="32"/>
        <w:ind w:firstLine="720"/>
        <w:rPr>
          <w:rFonts w:hint="eastAsia"/>
          <w:highlight w:val="none"/>
          <w:lang w:eastAsia="zh-CN"/>
        </w:rPr>
      </w:pPr>
      <w:r>
        <w:rPr>
          <w:rFonts w:hint="eastAsia"/>
          <w:highlight w:val="none"/>
          <w:lang w:eastAsia="zh-CN"/>
        </w:rPr>
        <w:t>开发红色旅游：利用城西片赤水瓦屋组工农革命军第七师遗址，开发红色教育基地，与乡村旅游等融合发展，丰富旅游类型。</w:t>
      </w:r>
    </w:p>
    <w:p>
      <w:pPr>
        <w:pStyle w:val="32"/>
        <w:ind w:firstLine="720"/>
        <w:rPr>
          <w:rFonts w:hint="eastAsia"/>
          <w:highlight w:val="none"/>
          <w:lang w:eastAsia="zh-CN"/>
        </w:rPr>
      </w:pPr>
      <w:r>
        <w:rPr>
          <w:rFonts w:hint="eastAsia"/>
          <w:highlight w:val="none"/>
          <w:lang w:eastAsia="zh-CN"/>
        </w:rPr>
        <w:t>加速推进美丽乡村建设，全域创建生态示范村、示范社区和示范学校；推广“梅花模式”打造“美丽生态+特色农业+休闲娱乐+红色基地”特色乡村文旅示范品牌。</w:t>
      </w:r>
    </w:p>
    <w:p>
      <w:pPr>
        <w:pStyle w:val="5"/>
        <w:rPr>
          <w:rFonts w:hint="eastAsia"/>
          <w:highlight w:val="none"/>
          <w:lang w:val="en-US" w:eastAsia="zh-CN"/>
        </w:rPr>
      </w:pPr>
      <w:r>
        <w:rPr>
          <w:rFonts w:hint="eastAsia"/>
          <w:highlight w:val="none"/>
          <w:lang w:val="en-US" w:eastAsia="zh-CN"/>
        </w:rPr>
        <w:t>3、三产融合方面</w:t>
      </w:r>
    </w:p>
    <w:p>
      <w:pPr>
        <w:pStyle w:val="32"/>
        <w:ind w:firstLine="720"/>
        <w:rPr>
          <w:rFonts w:hint="default"/>
          <w:highlight w:val="none"/>
          <w:lang w:eastAsia="zh-CN"/>
        </w:rPr>
      </w:pPr>
      <w:r>
        <w:rPr>
          <w:rFonts w:hint="eastAsia"/>
          <w:highlight w:val="none"/>
          <w:lang w:eastAsia="zh-CN"/>
        </w:rPr>
        <w:t>推动产业融合：以农业产业化为契机，积极创建农业公园，大力推广农村电商、田园综合体等新业态、新模式，推动农业与旅游、文化、康养等产业深度融合，培育农业发展新动能，打造绿色安全、优质高效的乡村产业链</w:t>
      </w:r>
      <w:r>
        <w:rPr>
          <w:highlight w:val="none"/>
          <w:lang w:eastAsia="zh-CN"/>
        </w:rPr>
        <w:t>。</w:t>
      </w:r>
    </w:p>
    <w:p>
      <w:pPr>
        <w:pStyle w:val="4"/>
        <w:numPr>
          <w:ilvl w:val="0"/>
          <w:numId w:val="1"/>
        </w:numPr>
        <w:rPr>
          <w:highlight w:val="none"/>
        </w:rPr>
      </w:pPr>
      <w:r>
        <w:rPr>
          <w:rFonts w:hint="eastAsia"/>
          <w:highlight w:val="none"/>
        </w:rPr>
        <w:t>产业发展定位</w:t>
      </w:r>
    </w:p>
    <w:p>
      <w:pPr>
        <w:pStyle w:val="32"/>
        <w:ind w:firstLine="720"/>
        <w:rPr>
          <w:rFonts w:hint="default"/>
          <w:highlight w:val="none"/>
          <w:lang w:eastAsia="zh-CN"/>
        </w:rPr>
      </w:pPr>
      <w:r>
        <w:rPr>
          <w:rFonts w:hint="eastAsia"/>
          <w:highlight w:val="none"/>
          <w:lang w:eastAsia="zh-CN"/>
        </w:rPr>
        <w:t>西渡镇作为衡阳县城乡融合发展的核心引擎，其产业发展定位紧扣“高新技术引领、现代农业提质、生态文旅增效”的主线，三大主导产业协同发展。</w:t>
      </w:r>
    </w:p>
    <w:p>
      <w:pPr>
        <w:pStyle w:val="4"/>
        <w:numPr>
          <w:ilvl w:val="0"/>
          <w:numId w:val="1"/>
        </w:numPr>
      </w:pPr>
      <w:r>
        <w:rPr>
          <w:rFonts w:hint="eastAsia"/>
        </w:rPr>
        <w:t>产业空间格局</w:t>
      </w:r>
    </w:p>
    <w:p>
      <w:pPr>
        <w:pStyle w:val="32"/>
        <w:ind w:firstLine="720"/>
        <w:rPr>
          <w:rFonts w:hint="eastAsia"/>
          <w:highlight w:val="none"/>
          <w:lang w:eastAsia="zh-CN"/>
        </w:rPr>
      </w:pPr>
      <w:r>
        <w:rPr>
          <w:rFonts w:hint="eastAsia"/>
          <w:highlight w:val="none"/>
          <w:lang w:eastAsia="zh-CN"/>
        </w:rPr>
        <w:t>优化整治区域产业总体布局，规划构建“一轴一带五核五区”的产业总体结构。</w:t>
      </w:r>
    </w:p>
    <w:p>
      <w:pPr>
        <w:pStyle w:val="32"/>
        <w:ind w:firstLine="720"/>
        <w:rPr>
          <w:rFonts w:hint="eastAsia"/>
          <w:highlight w:val="none"/>
          <w:lang w:eastAsia="zh-CN"/>
        </w:rPr>
      </w:pPr>
      <w:r>
        <w:rPr>
          <w:rFonts w:hint="eastAsia"/>
          <w:highlight w:val="none"/>
          <w:lang w:eastAsia="zh-CN"/>
        </w:rPr>
        <w:t>一轴：依托现状省道336和连接豆陂、新桥、振兴村的干线路网，形成产业综合发展轴，加强整治区域与衡阳县中心城区联系；</w:t>
      </w:r>
    </w:p>
    <w:p>
      <w:pPr>
        <w:pStyle w:val="32"/>
        <w:ind w:firstLine="720"/>
        <w:rPr>
          <w:rFonts w:hint="eastAsia"/>
          <w:highlight w:val="none"/>
          <w:lang w:eastAsia="zh-CN"/>
        </w:rPr>
      </w:pPr>
      <w:r>
        <w:rPr>
          <w:rFonts w:hint="eastAsia"/>
          <w:highlight w:val="none"/>
          <w:lang w:eastAsia="zh-CN"/>
        </w:rPr>
        <w:t>一带：利用蒸水河沿岸丰富的自然、农旅资源打造蒸水河滨水农旅休闲融合发展轴；</w:t>
      </w:r>
    </w:p>
    <w:p>
      <w:pPr>
        <w:pStyle w:val="32"/>
        <w:ind w:firstLine="720"/>
        <w:rPr>
          <w:rFonts w:hint="eastAsia"/>
          <w:highlight w:val="none"/>
          <w:lang w:eastAsia="zh-CN"/>
        </w:rPr>
      </w:pPr>
      <w:r>
        <w:rPr>
          <w:rFonts w:hint="eastAsia"/>
          <w:highlight w:val="none"/>
          <w:lang w:eastAsia="zh-CN"/>
        </w:rPr>
        <w:t>五核：不断完善梅花特色小镇、清花湾农旅综合体、颐湘康养智慧养老示范区的基础和公共服务配套设施；打造赤水村工农革命军第七师遗址和青里村农副产品加工</w:t>
      </w:r>
      <w:r>
        <w:rPr>
          <w:rFonts w:hint="eastAsia"/>
          <w:highlight w:val="none"/>
          <w:lang w:val="en-US" w:eastAsia="zh-CN"/>
        </w:rPr>
        <w:t>基地</w:t>
      </w:r>
      <w:r>
        <w:rPr>
          <w:rFonts w:hint="eastAsia"/>
          <w:highlight w:val="none"/>
          <w:lang w:eastAsia="zh-CN"/>
        </w:rPr>
        <w:t>。</w:t>
      </w:r>
    </w:p>
    <w:p>
      <w:pPr>
        <w:pStyle w:val="32"/>
        <w:ind w:firstLine="720"/>
        <w:rPr>
          <w:rFonts w:hint="eastAsia"/>
          <w:highlight w:val="none"/>
          <w:lang w:eastAsia="zh-CN"/>
        </w:rPr>
      </w:pPr>
      <w:r>
        <w:rPr>
          <w:rFonts w:hint="eastAsia"/>
          <w:highlight w:val="none"/>
          <w:lang w:val="en-US" w:eastAsia="zh-CN"/>
        </w:rPr>
        <w:t>五</w:t>
      </w:r>
      <w:r>
        <w:rPr>
          <w:rFonts w:hint="eastAsia"/>
          <w:highlight w:val="none"/>
          <w:lang w:eastAsia="zh-CN"/>
        </w:rPr>
        <w:t>区：依托清花湾文旅综合体、豆陂水库，在振兴、新桥、豆陂、村打造西渡南侧的生态康养区；依托梅花特色小镇、咸中亭遗址、双季稻示范区、赤水村瓦屋组工农革命军第七师遗址红色教育基地等文旅、农旅资源在梅花、陡岭、咸中亭、赤水、桐桥等村打造西渡北侧的文旅+农业融合发展区；依托盘龙、黄林、秋塘、天星村良好的农业种植基础，打造西渡西南侧生态种植区。依托清江村、清平村、梅竹村良好的的高效农业种植基础，打造西渡东北侧高效农业种植区。依托中心城区商业和高新区高端制造业形成的高端制造+商贸发展区。</w:t>
      </w:r>
    </w:p>
    <w:p>
      <w:pPr>
        <w:pStyle w:val="3"/>
      </w:pPr>
      <w:bookmarkStart w:id="20" w:name="_Toc25502"/>
      <w:r>
        <w:t>第</w:t>
      </w:r>
      <w:r>
        <w:rPr>
          <w:rFonts w:hint="eastAsia"/>
        </w:rPr>
        <w:t>四</w:t>
      </w:r>
      <w:r>
        <w:t xml:space="preserve">节 </w:t>
      </w:r>
      <w:r>
        <w:rPr>
          <w:rFonts w:hint="eastAsia"/>
        </w:rPr>
        <w:t>矿产资源利用</w:t>
      </w:r>
      <w:bookmarkEnd w:id="20"/>
    </w:p>
    <w:p>
      <w:pPr>
        <w:pStyle w:val="4"/>
        <w:numPr>
          <w:ilvl w:val="0"/>
          <w:numId w:val="6"/>
        </w:numPr>
      </w:pPr>
      <w:r>
        <w:rPr>
          <w:rFonts w:hint="eastAsia"/>
        </w:rPr>
        <w:t>矿产资源开发与保护目标</w:t>
      </w:r>
    </w:p>
    <w:p>
      <w:pPr>
        <w:pStyle w:val="32"/>
        <w:ind w:firstLine="720"/>
        <w:rPr>
          <w:rFonts w:hint="default"/>
          <w:highlight w:val="none"/>
          <w:lang w:eastAsia="zh-CN"/>
        </w:rPr>
      </w:pPr>
      <w:r>
        <w:rPr>
          <w:rFonts w:hint="eastAsia"/>
          <w:highlight w:val="none"/>
          <w:lang w:eastAsia="zh-CN"/>
        </w:rPr>
        <w:t>西渡镇</w:t>
      </w:r>
      <w:r>
        <w:rPr>
          <w:highlight w:val="none"/>
          <w:lang w:eastAsia="zh-CN"/>
        </w:rPr>
        <w:t>境内现采矿用地面积8.</w:t>
      </w:r>
      <w:r>
        <w:rPr>
          <w:rFonts w:hint="eastAsia"/>
          <w:highlight w:val="none"/>
          <w:lang w:val="en-US" w:eastAsia="zh-CN"/>
        </w:rPr>
        <w:t>18</w:t>
      </w:r>
      <w:r>
        <w:rPr>
          <w:highlight w:val="none"/>
          <w:lang w:eastAsia="zh-CN"/>
        </w:rPr>
        <w:t>公顷。</w:t>
      </w:r>
      <w:r>
        <w:rPr>
          <w:rFonts w:hint="eastAsia"/>
          <w:highlight w:val="none"/>
          <w:lang w:eastAsia="zh-CN"/>
        </w:rPr>
        <w:t>其中采矿用地新增5.71公顷，主要为赤水砖瓦用页岩矿场</w:t>
      </w:r>
      <w:r>
        <w:rPr>
          <w:highlight w:val="none"/>
          <w:lang w:eastAsia="zh-CN"/>
        </w:rPr>
        <w:t>。</w:t>
      </w:r>
    </w:p>
    <w:p>
      <w:pPr>
        <w:pStyle w:val="32"/>
        <w:ind w:firstLine="720"/>
        <w:rPr>
          <w:rFonts w:hint="default"/>
          <w:lang w:eastAsia="zh-CN"/>
        </w:rPr>
      </w:pPr>
      <w:r>
        <w:rPr>
          <w:lang w:eastAsia="zh-CN"/>
        </w:rPr>
        <w:t>贯彻落实国家级绿色矿山建设标准，细化绿色矿山建设考核制度，确保绿色矿山建设有法可依，有章可循；加速规模以上矿山企业绿色矿山建设，必须明确矿山企业在绿色矿山建设中的主体作用，应积极创造条件吸引公众参与，形成政府主导、企业为主、公众参与的创建模式，推动绿色矿业建设工程。</w:t>
      </w:r>
    </w:p>
    <w:p>
      <w:pPr>
        <w:pStyle w:val="4"/>
        <w:numPr>
          <w:ilvl w:val="0"/>
          <w:numId w:val="1"/>
        </w:numPr>
      </w:pPr>
      <w:r>
        <w:rPr>
          <w:rFonts w:hint="eastAsia"/>
        </w:rPr>
        <w:t>保护利用措施</w:t>
      </w:r>
    </w:p>
    <w:p>
      <w:pPr>
        <w:pStyle w:val="32"/>
        <w:ind w:firstLine="720"/>
        <w:rPr>
          <w:rFonts w:hint="default"/>
          <w:lang w:eastAsia="zh-CN"/>
        </w:rPr>
      </w:pPr>
      <w:r>
        <w:rPr>
          <w:lang w:eastAsia="zh-CN"/>
        </w:rPr>
        <w:t>（1）大力推进和整顿矿业秩序，依法治矿，净化矿业环境。严厉查处各种违法勘查、开采矿产资源的行为，维护国家对矿产资源的所有者权益。做到依法探矿，依法采矿，合理开发利用和保护国家矿产资源。取缔无证开采和关闭规划要求规模以下的矿山。</w:t>
      </w:r>
    </w:p>
    <w:p>
      <w:pPr>
        <w:pStyle w:val="32"/>
        <w:ind w:firstLine="720"/>
        <w:rPr>
          <w:rFonts w:hint="default"/>
          <w:lang w:eastAsia="zh-CN"/>
        </w:rPr>
      </w:pPr>
      <w:r>
        <w:rPr>
          <w:lang w:eastAsia="zh-CN"/>
        </w:rPr>
        <w:t>（2）加强对矿产资源开发的监督。首先从源头抓起，强化勘查、开采矿产资源的审批、发证制度。对不符合国家产业政策和矿产资源规划的开发方案，严格矿山申报条件，严把准入关。</w:t>
      </w:r>
    </w:p>
    <w:p>
      <w:pPr>
        <w:pStyle w:val="32"/>
        <w:ind w:firstLine="720"/>
        <w:rPr>
          <w:rFonts w:hint="default"/>
          <w:lang w:eastAsia="zh-CN"/>
        </w:rPr>
      </w:pPr>
      <w:r>
        <w:rPr>
          <w:lang w:eastAsia="zh-CN"/>
        </w:rPr>
        <w:t>（3）加强矿山综合治理，加速产业绿色转型，实现资源整合后转型发展、扩能增效，走集约发展道路；实现“多、小、散、乱”矿群的集约化、规模化利用，提高资源开发效率，提升矿山“三率”水平，创建“工业资源综合利用基地”和“绿色矿山示范区”，促进矿业绿色转型发展。</w:t>
      </w:r>
    </w:p>
    <w:p>
      <w:pPr>
        <w:pStyle w:val="32"/>
        <w:ind w:firstLine="720"/>
        <w:rPr>
          <w:rFonts w:hint="default"/>
          <w:lang w:eastAsia="zh-CN"/>
        </w:rPr>
      </w:pPr>
      <w:r>
        <w:rPr>
          <w:lang w:eastAsia="zh-CN"/>
        </w:rPr>
        <w:t>（4）切实加大矿产资源开发利用结构调整，推进矿产开发整合和落后小矿关闭退出，提高矿产资源节约与综合利用水平，全面促进绿色矿业发展。</w:t>
      </w:r>
    </w:p>
    <w:p>
      <w:pPr>
        <w:pStyle w:val="32"/>
        <w:ind w:firstLine="720"/>
        <w:rPr>
          <w:rFonts w:hint="default"/>
          <w:lang w:eastAsia="zh-CN"/>
        </w:rPr>
      </w:pPr>
      <w:r>
        <w:rPr>
          <w:lang w:eastAsia="zh-CN"/>
        </w:rPr>
        <w:t>（5）加强矿山地质环境保护与恢复治理工作。完善全县矿山地质环境监测系统；加强现有矿山地质环境信息系统管理。必须以“在保护中开发、在开发中保护”为指导，坚持矿产资源开发利用与生态环境保护并重的原则，把矿山生态环境恢复治理纳入计划，采取有效保护对策和措施，将环境整治融入经济发展过程中，变末端治理为源头控制，使生态环境得到明显改善。</w:t>
      </w:r>
    </w:p>
    <w:p>
      <w:pPr>
        <w:pStyle w:val="32"/>
        <w:ind w:firstLine="720"/>
        <w:rPr>
          <w:rFonts w:hint="default"/>
          <w:lang w:eastAsia="zh-CN"/>
        </w:rPr>
      </w:pPr>
      <w:r>
        <w:rPr>
          <w:lang w:eastAsia="zh-CN"/>
        </w:rPr>
        <w:t>（6）加强新建矿山地质环境保护;加强生产矿山地质环境保护与恢复治理；加强闭坑矿山地质环境恢复治理。在矿山环境重点治理区实施矿山地质环境治理恢复重点工程建设,敦促矿山企业加强矿山地质环境治理；鼓励社会资金以多种形式开展矿山地质环境治理，促进资源开发与环境保护协调发展。</w:t>
      </w:r>
    </w:p>
    <w:p>
      <w:pPr>
        <w:pStyle w:val="31"/>
        <w:rPr>
          <w:rFonts w:hint="eastAsia"/>
        </w:rPr>
      </w:pPr>
    </w:p>
    <w:p>
      <w:pPr>
        <w:pStyle w:val="3"/>
      </w:pPr>
      <w:bookmarkStart w:id="21" w:name="_Toc4797"/>
      <w:r>
        <w:t>第</w:t>
      </w:r>
      <w:r>
        <w:rPr>
          <w:rFonts w:hint="eastAsia"/>
        </w:rPr>
        <w:t>五</w:t>
      </w:r>
      <w:r>
        <w:t xml:space="preserve">节 </w:t>
      </w:r>
      <w:r>
        <w:rPr>
          <w:rFonts w:hint="eastAsia"/>
        </w:rPr>
        <w:t>综合交通规划</w:t>
      </w:r>
      <w:bookmarkEnd w:id="21"/>
    </w:p>
    <w:p>
      <w:pPr>
        <w:pStyle w:val="4"/>
        <w:numPr>
          <w:ilvl w:val="0"/>
          <w:numId w:val="7"/>
        </w:numPr>
      </w:pPr>
      <w:r>
        <w:rPr>
          <w:rFonts w:hint="eastAsia"/>
        </w:rPr>
        <w:t>对外交通</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（1）</w:t>
      </w:r>
      <w:r>
        <w:rPr>
          <w:rFonts w:hint="default" w:eastAsia="仿宋_GB2312" w:cs="Times New Roman"/>
          <w:snapToGrid/>
          <w:color w:val="auto"/>
          <w:kern w:val="2"/>
          <w:sz w:val="36"/>
          <w:szCs w:val="36"/>
          <w:highlight w:val="none"/>
          <w:lang w:val="en-US" w:eastAsia="zh-CN"/>
        </w:rPr>
        <w:t>骨干路网升级</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衡西快线：按城市快速干道标准建设，全长11.6</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，双向六车道，设计时速80</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，建成后衡阳市区至西渡镇通勤时间缩短至20分钟，强化与主城区联动。</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西界公路提质改造：</w:t>
      </w:r>
      <w:r>
        <w:rPr>
          <w:rFonts w:hint="default" w:eastAsia="仿宋_GB2312" w:cs="Times New Roman"/>
          <w:snapToGrid/>
          <w:color w:val="auto"/>
          <w:kern w:val="2"/>
          <w:sz w:val="36"/>
          <w:szCs w:val="36"/>
          <w:highlight w:val="none"/>
          <w:lang w:eastAsia="zh-CN"/>
        </w:rPr>
        <w:t>按</w:t>
      </w:r>
      <w:r>
        <w:rPr>
          <w:rFonts w:hint="eastAsia" w:eastAsia="仿宋_GB2312" w:cs="Times New Roman"/>
          <w:snapToGrid/>
          <w:color w:val="auto"/>
          <w:kern w:val="2"/>
          <w:sz w:val="36"/>
          <w:szCs w:val="36"/>
          <w:highlight w:val="none"/>
          <w:lang w:val="en-US" w:eastAsia="zh-CN"/>
        </w:rPr>
        <w:t>二级公路</w:t>
      </w:r>
      <w:r>
        <w:rPr>
          <w:rFonts w:hint="default" w:eastAsia="仿宋_GB2312" w:cs="Times New Roman"/>
          <w:snapToGrid/>
          <w:color w:val="auto"/>
          <w:kern w:val="2"/>
          <w:sz w:val="36"/>
          <w:szCs w:val="36"/>
          <w:highlight w:val="none"/>
          <w:lang w:eastAsia="zh-CN"/>
        </w:rPr>
        <w:t>标准建设，全长</w:t>
      </w:r>
      <w:r>
        <w:rPr>
          <w:rFonts w:hint="eastAsia" w:eastAsia="仿宋_GB2312" w:cs="Times New Roman"/>
          <w:snapToGrid/>
          <w:color w:val="auto"/>
          <w:kern w:val="2"/>
          <w:sz w:val="36"/>
          <w:szCs w:val="36"/>
          <w:highlight w:val="none"/>
          <w:lang w:val="en-US" w:eastAsia="zh-CN"/>
        </w:rPr>
        <w:t>21</w:t>
      </w:r>
      <w:r>
        <w:rPr>
          <w:rFonts w:hint="eastAsia" w:eastAsia="仿宋_GB2312" w:cs="Times New Roman"/>
          <w:snapToGrid/>
          <w:color w:val="auto"/>
          <w:kern w:val="2"/>
          <w:sz w:val="36"/>
          <w:szCs w:val="36"/>
          <w:highlight w:val="none"/>
          <w:lang w:eastAsia="zh-CN"/>
        </w:rPr>
        <w:t>千米。</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val="en-US" w:eastAsia="zh-CN"/>
        </w:rPr>
      </w:pPr>
      <w:r>
        <w:rPr>
          <w:rFonts w:hint="eastAsia" w:eastAsia="仿宋_GB2312" w:cs="Times New Roman"/>
          <w:snapToGrid/>
          <w:color w:val="auto"/>
          <w:kern w:val="2"/>
          <w:sz w:val="36"/>
          <w:szCs w:val="36"/>
          <w:highlight w:val="none"/>
          <w:lang w:val="en-US" w:eastAsia="zh-CN"/>
        </w:rPr>
        <w:t>S336省道衡阳县域线提质改造：</w:t>
      </w:r>
      <w:r>
        <w:rPr>
          <w:rFonts w:hint="default" w:eastAsia="仿宋_GB2312" w:cs="Times New Roman"/>
          <w:snapToGrid/>
          <w:color w:val="auto"/>
          <w:kern w:val="2"/>
          <w:sz w:val="36"/>
          <w:szCs w:val="36"/>
          <w:highlight w:val="none"/>
          <w:lang w:eastAsia="zh-CN"/>
        </w:rPr>
        <w:t>按</w:t>
      </w:r>
      <w:r>
        <w:rPr>
          <w:rFonts w:hint="eastAsia" w:eastAsia="仿宋_GB2312" w:cs="Times New Roman"/>
          <w:snapToGrid/>
          <w:color w:val="auto"/>
          <w:kern w:val="2"/>
          <w:sz w:val="36"/>
          <w:szCs w:val="36"/>
          <w:highlight w:val="none"/>
          <w:lang w:val="en-US" w:eastAsia="zh-CN"/>
        </w:rPr>
        <w:t>二级公路</w:t>
      </w:r>
      <w:r>
        <w:rPr>
          <w:rFonts w:hint="default" w:eastAsia="仿宋_GB2312" w:cs="Times New Roman"/>
          <w:snapToGrid/>
          <w:color w:val="auto"/>
          <w:kern w:val="2"/>
          <w:sz w:val="36"/>
          <w:szCs w:val="36"/>
          <w:highlight w:val="none"/>
          <w:lang w:eastAsia="zh-CN"/>
        </w:rPr>
        <w:t>标准建设，全长</w:t>
      </w:r>
      <w:r>
        <w:rPr>
          <w:rFonts w:hint="eastAsia" w:eastAsia="仿宋_GB2312" w:cs="Times New Roman"/>
          <w:snapToGrid/>
          <w:color w:val="auto"/>
          <w:kern w:val="2"/>
          <w:sz w:val="36"/>
          <w:szCs w:val="36"/>
          <w:highlight w:val="none"/>
          <w:lang w:val="en-US" w:eastAsia="zh-CN"/>
        </w:rPr>
        <w:t>20</w:t>
      </w:r>
      <w:r>
        <w:rPr>
          <w:rFonts w:hint="eastAsia" w:eastAsia="仿宋_GB2312" w:cs="Times New Roman"/>
          <w:snapToGrid/>
          <w:color w:val="auto"/>
          <w:kern w:val="2"/>
          <w:sz w:val="36"/>
          <w:szCs w:val="36"/>
          <w:highlight w:val="none"/>
          <w:lang w:eastAsia="zh-CN"/>
        </w:rPr>
        <w:t>千米。</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（2）</w:t>
      </w:r>
      <w:r>
        <w:rPr>
          <w:rFonts w:hint="default" w:eastAsia="仿宋_GB2312" w:cs="Times New Roman"/>
          <w:snapToGrid/>
          <w:color w:val="auto"/>
          <w:kern w:val="2"/>
          <w:sz w:val="36"/>
          <w:szCs w:val="36"/>
          <w:highlight w:val="none"/>
          <w:lang w:val="en-US" w:eastAsia="zh-CN"/>
        </w:rPr>
        <w:t>农村公路优化</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实施X055线（西渡—岘山）、X004线（石市黄门至西界公路段）等县道升级，2025年前完成15</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路段沥青摊铺。</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规划建设时间谷产业园旅游公路路基工程。</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val="en-US" w:eastAsia="zh-CN"/>
        </w:rPr>
      </w:pPr>
      <w:r>
        <w:rPr>
          <w:rFonts w:hint="eastAsia" w:eastAsia="仿宋_GB2312" w:cs="Times New Roman"/>
          <w:snapToGrid/>
          <w:color w:val="auto"/>
          <w:kern w:val="2"/>
          <w:sz w:val="36"/>
          <w:szCs w:val="36"/>
          <w:highlight w:val="none"/>
          <w:lang w:val="en-US" w:eastAsia="zh-CN"/>
        </w:rPr>
        <w:t>到2025年末，设施农村道路提质改造150千米。</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（3）</w:t>
      </w:r>
      <w:r>
        <w:rPr>
          <w:rFonts w:hint="default" w:eastAsia="仿宋_GB2312" w:cs="Times New Roman"/>
          <w:snapToGrid/>
          <w:color w:val="auto"/>
          <w:kern w:val="2"/>
          <w:sz w:val="36"/>
          <w:szCs w:val="36"/>
          <w:highlight w:val="none"/>
          <w:lang w:val="en-US" w:eastAsia="zh-CN"/>
        </w:rPr>
        <w:t>铁路与枢纽规划</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规</w:t>
      </w:r>
      <w:r>
        <w:rPr>
          <w:rFonts w:hint="default" w:eastAsia="仿宋_GB2312" w:cs="Times New Roman"/>
          <w:snapToGrid/>
          <w:color w:val="auto"/>
          <w:kern w:val="2"/>
          <w:sz w:val="36"/>
          <w:szCs w:val="36"/>
          <w:highlight w:val="none"/>
          <w:lang w:eastAsia="zh-CN"/>
        </w:rPr>
        <w:t>划湘桂铁路引入西渡镇并向北延伸至衡山站，减少铁路对城区发展的分割。</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西渡站扩建配套设施，增设旅游专线，打造湘南地区重要铁路枢纽。</w:t>
      </w:r>
    </w:p>
    <w:p>
      <w:pPr>
        <w:widowControl w:val="0"/>
        <w:kinsoku/>
        <w:autoSpaceDE/>
        <w:autoSpaceDN/>
        <w:adjustRightInd/>
        <w:snapToGrid/>
        <w:spacing w:line="600" w:lineRule="exact"/>
        <w:ind w:firstLine="720" w:firstLineChars="200"/>
        <w:jc w:val="both"/>
        <w:textAlignment w:val="auto"/>
        <w:rPr>
          <w:rFonts w:hint="default" w:ascii="Segoe UI Emoji" w:hAnsi="Segoe UI Emoji" w:eastAsia="宋体" w:cs="Segoe UI Emoji"/>
          <w:i w:val="0"/>
          <w:iCs w:val="0"/>
          <w:caps w:val="0"/>
          <w:color w:val="1C1F23"/>
          <w:spacing w:val="0"/>
          <w:sz w:val="24"/>
          <w:szCs w:val="24"/>
          <w:shd w:val="clear" w:fill="FFFFFF"/>
          <w:lang w:val="en-US" w:eastAsia="zh-CN"/>
        </w:rPr>
      </w:pPr>
      <w:r>
        <w:rPr>
          <w:rFonts w:hint="eastAsia" w:eastAsia="仿宋_GB2312" w:cs="Times New Roman"/>
          <w:snapToGrid/>
          <w:color w:val="auto"/>
          <w:kern w:val="2"/>
          <w:sz w:val="36"/>
          <w:szCs w:val="36"/>
          <w:highlight w:val="none"/>
          <w:lang w:val="en-US" w:eastAsia="zh-CN"/>
        </w:rPr>
        <w:t>将安张衡铁路并入西渡高铁站。</w:t>
      </w:r>
    </w:p>
    <w:p>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（4）</w:t>
      </w:r>
      <w:r>
        <w:rPr>
          <w:rFonts w:hint="default" w:eastAsia="仿宋_GB2312" w:cs="Times New Roman"/>
          <w:snapToGrid/>
          <w:color w:val="auto"/>
          <w:kern w:val="2"/>
          <w:sz w:val="36"/>
          <w:szCs w:val="36"/>
          <w:highlight w:val="none"/>
          <w:lang w:val="en-US" w:eastAsia="zh-CN"/>
        </w:rPr>
        <w:t>智慧交通建设</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推进智慧交通二期工程，新建综合信息中心、停车泊位收费系统及240平方米岗亭，实现信号灯联网控制与实时路况监测。</w:t>
      </w:r>
    </w:p>
    <w:p>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推广“互联网+公交”模式，优化定制公交线路，提升服务精准度。</w:t>
      </w:r>
    </w:p>
    <w:p>
      <w:pPr>
        <w:pStyle w:val="4"/>
        <w:numPr>
          <w:ilvl w:val="0"/>
          <w:numId w:val="1"/>
        </w:numPr>
        <w:rPr>
          <w:highlight w:val="none"/>
        </w:rPr>
      </w:pPr>
      <w:r>
        <w:rPr>
          <w:rFonts w:hint="eastAsia"/>
          <w:highlight w:val="none"/>
        </w:rPr>
        <w:t>内部交通联系</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城市道路交通。</w:t>
      </w:r>
      <w:r>
        <w:rPr>
          <w:rFonts w:hint="eastAsia" w:eastAsia="仿宋_GB2312" w:cs="Times New Roman"/>
          <w:snapToGrid/>
          <w:color w:val="auto"/>
          <w:kern w:val="2"/>
          <w:sz w:val="36"/>
          <w:szCs w:val="36"/>
          <w:highlight w:val="none"/>
          <w:lang w:eastAsia="zh-CN"/>
        </w:rPr>
        <w:t>规划形成以快速路、主干路为骨架，次干路、支路为补充的道路系统。重点控制次干路以上级别道路，支路允许在控制性详细规划中进行调整。</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高速互通。</w:t>
      </w:r>
      <w:r>
        <w:rPr>
          <w:rFonts w:hint="eastAsia" w:eastAsia="仿宋_GB2312" w:cs="Times New Roman"/>
          <w:snapToGrid/>
          <w:color w:val="auto"/>
          <w:kern w:val="2"/>
          <w:sz w:val="36"/>
          <w:szCs w:val="36"/>
          <w:highlight w:val="none"/>
          <w:lang w:eastAsia="zh-CN"/>
        </w:rPr>
        <w:t>规划保留海英大道与衡邵高速连接处高速出入口。</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快速路。</w:t>
      </w:r>
      <w:r>
        <w:rPr>
          <w:rFonts w:hint="eastAsia" w:eastAsia="仿宋_GB2312" w:cs="Times New Roman"/>
          <w:snapToGrid/>
          <w:color w:val="auto"/>
          <w:kern w:val="2"/>
          <w:sz w:val="36"/>
          <w:szCs w:val="36"/>
          <w:highlight w:val="none"/>
          <w:lang w:eastAsia="zh-CN"/>
        </w:rPr>
        <w:t>规划形成“三横一纵”的快速路网体系。规划城南大道接衡阳市三环路，与解放大道、船山西路构成东西向南北中三条横向城市快速交通，对接衡阳市区，“一纵”为城东大道连接站前大道和城南大道形成城市东侧外环快速路，加强城市内部交通与对外交通衔接。</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主干道。</w:t>
      </w:r>
      <w:r>
        <w:rPr>
          <w:rFonts w:hint="eastAsia" w:eastAsia="仿宋_GB2312" w:cs="Times New Roman"/>
          <w:snapToGrid/>
          <w:color w:val="auto"/>
          <w:kern w:val="2"/>
          <w:sz w:val="36"/>
          <w:szCs w:val="36"/>
          <w:highlight w:val="none"/>
          <w:lang w:eastAsia="zh-CN"/>
        </w:rPr>
        <w:t>控制新建主</w:t>
      </w:r>
      <w:r>
        <w:rPr>
          <w:rFonts w:eastAsia="仿宋_GB2312" w:cs="Times New Roman"/>
          <w:snapToGrid/>
          <w:color w:val="auto"/>
          <w:kern w:val="2"/>
          <w:sz w:val="36"/>
          <w:szCs w:val="36"/>
          <w:highlight w:val="none"/>
          <w:lang w:eastAsia="zh-CN"/>
        </w:rPr>
        <w:t>干路红线宽度为</w:t>
      </w:r>
      <w:r>
        <w:rPr>
          <w:rFonts w:hint="eastAsia" w:eastAsia="仿宋_GB2312" w:cs="Times New Roman"/>
          <w:snapToGrid/>
          <w:color w:val="auto"/>
          <w:kern w:val="2"/>
          <w:sz w:val="36"/>
          <w:szCs w:val="36"/>
          <w:highlight w:val="none"/>
          <w:lang w:eastAsia="zh-CN"/>
        </w:rPr>
        <w:t>40—50</w:t>
      </w:r>
      <w:r>
        <w:rPr>
          <w:rFonts w:eastAsia="仿宋_GB2312" w:cs="Times New Roman"/>
          <w:snapToGrid/>
          <w:color w:val="auto"/>
          <w:kern w:val="2"/>
          <w:sz w:val="36"/>
          <w:szCs w:val="36"/>
          <w:highlight w:val="none"/>
          <w:lang w:eastAsia="zh-CN"/>
        </w:rPr>
        <w:t>米</w:t>
      </w:r>
      <w:r>
        <w:rPr>
          <w:rFonts w:hint="eastAsia" w:eastAsia="仿宋_GB2312" w:cs="Times New Roman"/>
          <w:snapToGrid/>
          <w:color w:val="auto"/>
          <w:kern w:val="2"/>
          <w:sz w:val="36"/>
          <w:szCs w:val="36"/>
          <w:highlight w:val="none"/>
          <w:lang w:eastAsia="zh-CN"/>
        </w:rPr>
        <w:t>，中心城区形成“六横六纵”主干路网。“六横”为站前大道、纬三路、公园北路、人和路、蒸阳大道、滨江南路；“六纵”为槐花路、向阳路、清江路、洪山路、开福路、海英大道。规划延伸海英大道、清江路至英南组团，延伸开福路至船山西路，增加南北向交通联系；新建公园北路、滨江南路，增加东西向交通联系。</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次干路。</w:t>
      </w:r>
      <w:r>
        <w:rPr>
          <w:rFonts w:hint="eastAsia" w:eastAsia="仿宋_GB2312" w:cs="Times New Roman"/>
          <w:snapToGrid/>
          <w:color w:val="auto"/>
          <w:kern w:val="2"/>
          <w:sz w:val="36"/>
          <w:szCs w:val="36"/>
          <w:highlight w:val="none"/>
          <w:lang w:eastAsia="zh-CN"/>
        </w:rPr>
        <w:t>规划</w:t>
      </w:r>
      <w:r>
        <w:rPr>
          <w:rFonts w:eastAsia="仿宋_GB2312" w:cs="Times New Roman"/>
          <w:snapToGrid/>
          <w:color w:val="auto"/>
          <w:kern w:val="2"/>
          <w:sz w:val="36"/>
          <w:szCs w:val="36"/>
          <w:highlight w:val="none"/>
          <w:lang w:eastAsia="zh-CN"/>
        </w:rPr>
        <w:t>次干路网密度达到3</w:t>
      </w:r>
      <w:r>
        <w:rPr>
          <w:rFonts w:hint="eastAsia" w:eastAsia="仿宋_GB2312" w:cs="Times New Roman"/>
          <w:snapToGrid/>
          <w:color w:val="auto"/>
          <w:kern w:val="2"/>
          <w:sz w:val="36"/>
          <w:szCs w:val="36"/>
          <w:highlight w:val="none"/>
          <w:lang w:eastAsia="zh-CN"/>
        </w:rPr>
        <w:t>千米</w:t>
      </w:r>
      <w:r>
        <w:rPr>
          <w:rFonts w:eastAsia="仿宋_GB2312" w:cs="Times New Roman"/>
          <w:snapToGrid/>
          <w:color w:val="auto"/>
          <w:kern w:val="2"/>
          <w:sz w:val="36"/>
          <w:szCs w:val="36"/>
          <w:highlight w:val="none"/>
          <w:lang w:eastAsia="zh-CN"/>
        </w:rPr>
        <w:t>/平方千米，</w:t>
      </w:r>
      <w:r>
        <w:rPr>
          <w:rFonts w:hint="eastAsia" w:eastAsia="仿宋_GB2312" w:cs="Times New Roman"/>
          <w:snapToGrid/>
          <w:color w:val="auto"/>
          <w:kern w:val="2"/>
          <w:sz w:val="36"/>
          <w:szCs w:val="36"/>
          <w:highlight w:val="none"/>
          <w:lang w:eastAsia="zh-CN"/>
        </w:rPr>
        <w:t>控制</w:t>
      </w:r>
      <w:r>
        <w:rPr>
          <w:rFonts w:eastAsia="仿宋_GB2312" w:cs="Times New Roman"/>
          <w:snapToGrid/>
          <w:color w:val="auto"/>
          <w:kern w:val="2"/>
          <w:sz w:val="36"/>
          <w:szCs w:val="36"/>
          <w:highlight w:val="none"/>
          <w:lang w:eastAsia="zh-CN"/>
        </w:rPr>
        <w:t>次干路红线宽度为24</w:t>
      </w:r>
      <w:r>
        <w:rPr>
          <w:rFonts w:hint="eastAsia" w:eastAsia="仿宋_GB2312" w:cs="Times New Roman"/>
          <w:snapToGrid/>
          <w:color w:val="auto"/>
          <w:kern w:val="2"/>
          <w:sz w:val="36"/>
          <w:szCs w:val="36"/>
          <w:highlight w:val="none"/>
          <w:lang w:eastAsia="zh-CN"/>
        </w:rPr>
        <w:t>—</w:t>
      </w:r>
      <w:r>
        <w:rPr>
          <w:rFonts w:eastAsia="仿宋_GB2312" w:cs="Times New Roman"/>
          <w:snapToGrid/>
          <w:color w:val="auto"/>
          <w:kern w:val="2"/>
          <w:sz w:val="36"/>
          <w:szCs w:val="36"/>
          <w:highlight w:val="none"/>
          <w:lang w:eastAsia="zh-CN"/>
        </w:rPr>
        <w:t>32米</w:t>
      </w:r>
      <w:r>
        <w:rPr>
          <w:rFonts w:hint="eastAsia" w:eastAsia="仿宋_GB2312" w:cs="Times New Roman"/>
          <w:snapToGrid/>
          <w:color w:val="auto"/>
          <w:kern w:val="2"/>
          <w:sz w:val="36"/>
          <w:szCs w:val="36"/>
          <w:highlight w:val="none"/>
          <w:lang w:eastAsia="zh-CN"/>
        </w:rPr>
        <w:t>。</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其他道路。</w:t>
      </w:r>
      <w:r>
        <w:rPr>
          <w:rFonts w:hint="eastAsia" w:eastAsia="仿宋_GB2312" w:cs="Times New Roman"/>
          <w:snapToGrid/>
          <w:color w:val="auto"/>
          <w:kern w:val="2"/>
          <w:sz w:val="36"/>
          <w:szCs w:val="36"/>
          <w:highlight w:val="none"/>
          <w:lang w:eastAsia="zh-CN"/>
        </w:rPr>
        <w:t>提升城区支路路网密度，构建城市交通微循环，打造快速便捷顺畅的交通路网。对现状其他低等级道路进行提质改造。</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——交叉口控制</w:t>
      </w:r>
      <w:r>
        <w:rPr>
          <w:rFonts w:hint="eastAsia" w:eastAsia="仿宋_GB2312" w:cs="Times New Roman"/>
          <w:b/>
          <w:bCs/>
          <w:snapToGrid/>
          <w:color w:val="auto"/>
          <w:kern w:val="28"/>
          <w:sz w:val="36"/>
          <w:szCs w:val="32"/>
          <w:highlight w:val="none"/>
          <w:lang w:eastAsia="zh-CN"/>
        </w:rPr>
        <w:t>。</w:t>
      </w:r>
      <w:r>
        <w:rPr>
          <w:rFonts w:hint="eastAsia" w:eastAsia="仿宋_GB2312" w:cs="Times New Roman"/>
          <w:snapToGrid/>
          <w:color w:val="auto"/>
          <w:kern w:val="2"/>
          <w:sz w:val="36"/>
          <w:szCs w:val="36"/>
          <w:highlight w:val="none"/>
          <w:lang w:eastAsia="zh-CN"/>
        </w:rPr>
        <w:t>与快速路相交道路交叉口进行控制，快速路断面形式均设有快慢车道隔离带，与主干道相交时，交叉口为平面交叉口，并进行交通渠化；与次干道相交时，交叉口利用隔离带控制相交道路车流为右进右出；支路尽量不与之相交或采用右进右出控制。</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城市公共交通系统</w:t>
      </w:r>
      <w:r>
        <w:rPr>
          <w:rFonts w:eastAsia="仿宋_GB2312" w:cs="Times New Roman"/>
          <w:b/>
          <w:bCs/>
          <w:snapToGrid/>
          <w:color w:val="auto"/>
          <w:kern w:val="28"/>
          <w:sz w:val="36"/>
          <w:szCs w:val="32"/>
          <w:highlight w:val="none"/>
          <w:lang w:eastAsia="zh-CN"/>
        </w:rPr>
        <w:t>。</w:t>
      </w:r>
      <w:r>
        <w:rPr>
          <w:rFonts w:eastAsia="仿宋_GB2312" w:cs="Times New Roman"/>
          <w:snapToGrid/>
          <w:color w:val="auto"/>
          <w:kern w:val="2"/>
          <w:sz w:val="36"/>
          <w:szCs w:val="36"/>
          <w:highlight w:val="none"/>
          <w:lang w:eastAsia="zh-CN"/>
        </w:rPr>
        <w:t>规划</w:t>
      </w:r>
      <w:r>
        <w:rPr>
          <w:rFonts w:hint="eastAsia" w:eastAsia="仿宋_GB2312" w:cs="Times New Roman"/>
          <w:snapToGrid/>
          <w:color w:val="auto"/>
          <w:kern w:val="2"/>
          <w:sz w:val="36"/>
          <w:szCs w:val="36"/>
          <w:highlight w:val="none"/>
          <w:lang w:eastAsia="zh-CN"/>
        </w:rPr>
        <w:t>构建多层次的公共交通体系，预留对接衡阳市区中低客运专线，完善内部公交系统，建立水上公共交通以及旅游观光交通网络。至2</w:t>
      </w:r>
      <w:r>
        <w:rPr>
          <w:rFonts w:eastAsia="仿宋_GB2312" w:cs="Times New Roman"/>
          <w:snapToGrid/>
          <w:color w:val="auto"/>
          <w:kern w:val="2"/>
          <w:sz w:val="36"/>
          <w:szCs w:val="36"/>
          <w:highlight w:val="none"/>
          <w:lang w:eastAsia="zh-CN"/>
        </w:rPr>
        <w:t>035</w:t>
      </w:r>
      <w:r>
        <w:rPr>
          <w:rFonts w:hint="eastAsia" w:eastAsia="仿宋_GB2312" w:cs="Times New Roman"/>
          <w:snapToGrid/>
          <w:color w:val="auto"/>
          <w:kern w:val="2"/>
          <w:sz w:val="36"/>
          <w:szCs w:val="36"/>
          <w:highlight w:val="none"/>
          <w:lang w:eastAsia="zh-CN"/>
        </w:rPr>
        <w:t>年，公共交通出行比例达到35%以上，绿色出行比例达到70%，公共交通管理运营水平达到国家公交都市标准。</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公交首末站。</w:t>
      </w:r>
      <w:r>
        <w:rPr>
          <w:rFonts w:hint="eastAsia" w:eastAsia="仿宋_GB2312" w:cs="Times New Roman"/>
          <w:snapToGrid/>
          <w:color w:val="auto"/>
          <w:kern w:val="2"/>
          <w:sz w:val="36"/>
          <w:szCs w:val="36"/>
          <w:highlight w:val="none"/>
          <w:lang w:eastAsia="zh-CN"/>
        </w:rPr>
        <w:t>规划</w:t>
      </w:r>
      <w:r>
        <w:rPr>
          <w:rFonts w:hint="eastAsia" w:eastAsia="仿宋_GB2312" w:cs="Times New Roman"/>
          <w:snapToGrid/>
          <w:color w:val="auto"/>
          <w:kern w:val="2"/>
          <w:sz w:val="36"/>
          <w:szCs w:val="36"/>
          <w:highlight w:val="none"/>
          <w:lang w:val="en-US" w:eastAsia="zh-CN"/>
        </w:rPr>
        <w:t>6</w:t>
      </w:r>
      <w:r>
        <w:rPr>
          <w:rFonts w:hint="eastAsia" w:eastAsia="仿宋_GB2312" w:cs="Times New Roman"/>
          <w:snapToGrid/>
          <w:color w:val="auto"/>
          <w:kern w:val="2"/>
          <w:sz w:val="36"/>
          <w:szCs w:val="36"/>
          <w:highlight w:val="none"/>
          <w:lang w:eastAsia="zh-CN"/>
        </w:rPr>
        <w:t>处公交首末站，规划英南公交首末站、</w:t>
      </w:r>
      <w:r>
        <w:rPr>
          <w:rFonts w:hint="eastAsia" w:eastAsia="仿宋_GB2312" w:cs="Times New Roman"/>
          <w:snapToGrid/>
          <w:color w:val="auto"/>
          <w:kern w:val="2"/>
          <w:sz w:val="36"/>
          <w:szCs w:val="36"/>
          <w:highlight w:val="none"/>
          <w:lang w:val="en-US" w:eastAsia="zh-CN"/>
        </w:rPr>
        <w:t>豆陂</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正大</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梅花</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保安</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咸中亭</w:t>
      </w:r>
      <w:r>
        <w:rPr>
          <w:rFonts w:hint="eastAsia" w:eastAsia="仿宋_GB2312" w:cs="Times New Roman"/>
          <w:snapToGrid/>
          <w:color w:val="auto"/>
          <w:kern w:val="2"/>
          <w:sz w:val="36"/>
          <w:szCs w:val="36"/>
          <w:highlight w:val="none"/>
          <w:lang w:eastAsia="zh-CN"/>
        </w:rPr>
        <w:t>公交首末站。</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公交停保场。</w:t>
      </w:r>
      <w:r>
        <w:rPr>
          <w:rFonts w:hint="eastAsia" w:eastAsia="仿宋_GB2312" w:cs="Times New Roman"/>
          <w:snapToGrid/>
          <w:color w:val="auto"/>
          <w:kern w:val="2"/>
          <w:sz w:val="36"/>
          <w:szCs w:val="36"/>
          <w:highlight w:val="none"/>
          <w:lang w:eastAsia="zh-CN"/>
        </w:rPr>
        <w:t>保留槐花片区一处公交车停保场，可结合规划公交首末站建公交车停保场。</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城际轨道交通。</w:t>
      </w:r>
      <w:r>
        <w:rPr>
          <w:rFonts w:hint="eastAsia" w:eastAsia="仿宋_GB2312" w:cs="Times New Roman"/>
          <w:snapToGrid/>
          <w:color w:val="auto"/>
          <w:kern w:val="2"/>
          <w:sz w:val="36"/>
          <w:szCs w:val="36"/>
          <w:highlight w:val="none"/>
          <w:lang w:eastAsia="zh-CN"/>
        </w:rPr>
        <w:t>规划设置1条中运量轨道交通线连接西渡高铁站和衡阳市区。</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公交干线。</w:t>
      </w:r>
      <w:r>
        <w:rPr>
          <w:rFonts w:hint="eastAsia" w:eastAsia="仿宋_GB2312" w:cs="Times New Roman"/>
          <w:snapToGrid/>
          <w:color w:val="auto"/>
          <w:kern w:val="2"/>
          <w:sz w:val="36"/>
          <w:szCs w:val="36"/>
          <w:highlight w:val="none"/>
          <w:lang w:eastAsia="zh-CN"/>
        </w:rPr>
        <w:t>规划从衡阳市中心汽车站沿船山西路至西渡高铁站的城际公交线路、沿S336公交线路。</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常规公交。</w:t>
      </w:r>
      <w:r>
        <w:rPr>
          <w:rFonts w:hint="eastAsia" w:eastAsia="仿宋_GB2312" w:cs="Times New Roman"/>
          <w:snapToGrid/>
          <w:color w:val="auto"/>
          <w:kern w:val="2"/>
          <w:sz w:val="36"/>
          <w:szCs w:val="36"/>
          <w:highlight w:val="none"/>
          <w:lang w:eastAsia="zh-CN"/>
        </w:rPr>
        <w:t>中心城区内规划公交线路15条，现状保留优化6条，新增9条。</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城市交通设施布局。</w:t>
      </w:r>
      <w:r>
        <w:rPr>
          <w:rFonts w:hint="eastAsia" w:eastAsia="仿宋_GB2312" w:cs="Times New Roman"/>
          <w:snapToGrid/>
          <w:color w:val="auto"/>
          <w:kern w:val="2"/>
          <w:sz w:val="36"/>
          <w:szCs w:val="36"/>
          <w:highlight w:val="none"/>
          <w:lang w:eastAsia="zh-CN"/>
        </w:rPr>
        <w:t>按照人性化、一体化、节约用地的原则，优化布局交通设施，统筹各种交通方式的衔接。</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铁路站场。</w:t>
      </w:r>
      <w:r>
        <w:rPr>
          <w:rFonts w:hint="eastAsia" w:eastAsia="仿宋_GB2312" w:cs="Times New Roman"/>
          <w:snapToGrid/>
          <w:color w:val="auto"/>
          <w:kern w:val="2"/>
          <w:sz w:val="36"/>
          <w:szCs w:val="36"/>
          <w:highlight w:val="none"/>
          <w:lang w:eastAsia="zh-CN"/>
        </w:rPr>
        <w:t>规划保留西渡高铁站，为二级站，保留怀邵衡铁路，预留安张衡铁路专线通道。</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综合交通枢纽。</w:t>
      </w:r>
      <w:r>
        <w:rPr>
          <w:rFonts w:hint="eastAsia" w:eastAsia="仿宋_GB2312" w:cs="Times New Roman"/>
          <w:snapToGrid/>
          <w:color w:val="auto"/>
          <w:kern w:val="2"/>
          <w:sz w:val="36"/>
          <w:szCs w:val="36"/>
          <w:highlight w:val="none"/>
          <w:lang w:eastAsia="zh-CN"/>
        </w:rPr>
        <w:t>围绕西渡高铁站，打造集高铁客运、城乡客运、城市公交和社会交通体系为一体的综合交通枢纽。</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汽车站。</w:t>
      </w:r>
      <w:r>
        <w:rPr>
          <w:rFonts w:hint="eastAsia" w:eastAsia="仿宋_GB2312" w:cs="Times New Roman"/>
          <w:snapToGrid/>
          <w:color w:val="auto"/>
          <w:kern w:val="2"/>
          <w:sz w:val="36"/>
          <w:szCs w:val="36"/>
          <w:highlight w:val="none"/>
          <w:lang w:eastAsia="zh-CN"/>
        </w:rPr>
        <w:t>规划结合西渡高铁站新建中心城区城北汽车站，城北汽车站建成运行后可取消蒸阳汽车站、英陂车站。</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物流中心。</w:t>
      </w:r>
      <w:r>
        <w:rPr>
          <w:rFonts w:hint="eastAsia" w:eastAsia="仿宋_GB2312" w:cs="Times New Roman"/>
          <w:snapToGrid/>
          <w:color w:val="auto"/>
          <w:kern w:val="2"/>
          <w:sz w:val="36"/>
          <w:szCs w:val="36"/>
          <w:highlight w:val="none"/>
          <w:lang w:eastAsia="zh-CN"/>
        </w:rPr>
        <w:t>规划在阳古物流片区规划一处县级物流中心。</w:t>
      </w:r>
    </w:p>
    <w:p>
      <w:pPr>
        <w:widowControl w:val="0"/>
        <w:kinsoku/>
        <w:autoSpaceDE/>
        <w:autoSpaceDN/>
        <w:adjustRightInd/>
        <w:snapToGrid/>
        <w:spacing w:line="600" w:lineRule="exact"/>
        <w:ind w:firstLine="722"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停车设施。</w:t>
      </w:r>
      <w:r>
        <w:rPr>
          <w:rFonts w:hint="eastAsia" w:eastAsia="仿宋_GB2312" w:cs="Times New Roman"/>
          <w:snapToGrid/>
          <w:color w:val="auto"/>
          <w:kern w:val="2"/>
          <w:sz w:val="36"/>
          <w:szCs w:val="36"/>
          <w:highlight w:val="none"/>
          <w:lang w:eastAsia="zh-CN"/>
        </w:rPr>
        <w:t>规划建设5处社会停车场，结合物流中心设置1处货运停车场，停车设施应以配建停车为主体、路外公共停车为辅助、路内停车为补充，采用差别化的停车供给策略。停车设施考虑电动汽车充电桩、充（换）电站的设置。新建住宅配建停车位应100%建设充电设施或预留安装条件（插桩即用），其中不少于25%的车位应与住宅项目同步建成充电设施；大型公共建筑物配建停车场、社会公共停车场充电设施车位比例不低于30%，100%预留充电桩建设安装条件。</w:t>
      </w:r>
    </w:p>
    <w:p>
      <w:pPr>
        <w:widowControl w:val="0"/>
        <w:kinsoku/>
        <w:autoSpaceDE/>
        <w:autoSpaceDN/>
        <w:adjustRightInd/>
        <w:snapToGrid/>
        <w:spacing w:line="360" w:lineRule="auto"/>
        <w:ind w:firstLine="722"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慢行交通规划</w:t>
      </w:r>
      <w:r>
        <w:rPr>
          <w:rFonts w:eastAsia="仿宋_GB2312" w:cs="Times New Roman"/>
          <w:b/>
          <w:bCs/>
          <w:snapToGrid/>
          <w:color w:val="auto"/>
          <w:kern w:val="28"/>
          <w:sz w:val="36"/>
          <w:szCs w:val="32"/>
          <w:highlight w:val="none"/>
          <w:lang w:eastAsia="zh-CN"/>
        </w:rPr>
        <w:t>。</w:t>
      </w:r>
      <w:r>
        <w:rPr>
          <w:rFonts w:hint="eastAsia" w:eastAsia="仿宋_GB2312" w:cs="Times New Roman"/>
          <w:snapToGrid/>
          <w:color w:val="auto"/>
          <w:kern w:val="2"/>
          <w:sz w:val="36"/>
          <w:szCs w:val="36"/>
          <w:highlight w:val="none"/>
          <w:lang w:eastAsia="zh-CN"/>
        </w:rPr>
        <w:t>结合河流水系、公园、城市道路等廊道，打造“自行车绿道、滨水游道、林荫步道”三大类型慢行系统。部分主干道、次干道等道路横断面布置应提供较为宽裕的非机动车车道，完善自行车配套设施建设；充分利用蒸水滨水景观带和清水公园—两里塘公园两条公园轴线，布置连续的滨水或林荫慢行休闲系统；沿重要的景观道路开辟沿街绿化带，形成适宜步行的通道；围绕县城内部保留的水系打造社区公园，并结合沿路的带状绿地，建设连续的步行系统，优化步行与其他交通方式的接驳，提倡步行完成片区内出行，“步行+公交”完成中远距离出行。</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镇域交通规划，</w:t>
      </w:r>
      <w:r>
        <w:rPr>
          <w:rFonts w:hint="eastAsia" w:eastAsia="仿宋_GB2312" w:cs="Times New Roman"/>
          <w:snapToGrid/>
          <w:color w:val="auto"/>
          <w:kern w:val="2"/>
          <w:sz w:val="36"/>
          <w:szCs w:val="36"/>
          <w:highlight w:val="none"/>
          <w:lang w:eastAsia="zh-CN"/>
        </w:rPr>
        <w:t>强化对外联通</w:t>
      </w:r>
      <w:r>
        <w:rPr>
          <w:rFonts w:hint="default" w:eastAsia="仿宋_GB2312" w:cs="Times New Roman"/>
          <w:snapToGrid/>
          <w:color w:val="auto"/>
          <w:kern w:val="2"/>
          <w:sz w:val="36"/>
          <w:szCs w:val="36"/>
          <w:highlight w:val="none"/>
          <w:lang w:eastAsia="zh-CN"/>
        </w:rPr>
        <w:t>：形成 “两铁三高一环多联”骨架网络，实现与衡阳主城区20分钟通勤、县域30分钟覆盖。</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提升路网韧性：优化干线公路等级结构，消除“断头路”与瓶颈路段，农村公路三级及以上比例达60%。</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推动智慧转型：建设智慧交通管理系统，提升路网运行效率与应急响应能力。</w:t>
      </w:r>
    </w:p>
    <w:p>
      <w:pPr>
        <w:widowControl w:val="0"/>
        <w:kinsoku/>
        <w:autoSpaceDE/>
        <w:autoSpaceDN/>
        <w:adjustRightInd/>
        <w:snapToGrid/>
        <w:spacing w:line="360" w:lineRule="auto"/>
        <w:ind w:firstLine="722" w:firstLineChars="200"/>
        <w:jc w:val="both"/>
        <w:textAlignment w:val="auto"/>
        <w:rPr>
          <w:rFonts w:hint="eastAsia" w:eastAsia="仿宋_GB2312" w:cs="Times New Roman"/>
          <w:b/>
          <w:bCs/>
          <w:snapToGrid/>
          <w:color w:val="auto"/>
          <w:kern w:val="2"/>
          <w:sz w:val="36"/>
          <w:szCs w:val="36"/>
          <w:highlight w:val="none"/>
          <w:lang w:eastAsia="zh-CN"/>
        </w:rPr>
      </w:pPr>
      <w:r>
        <w:rPr>
          <w:rFonts w:hint="eastAsia" w:ascii="Times New Roman" w:hAnsi="Times New Roman" w:eastAsia="仿宋_GB2312" w:cs="Times New Roman"/>
          <w:b/>
          <w:bCs/>
          <w:snapToGrid/>
          <w:color w:val="auto"/>
          <w:kern w:val="2"/>
          <w:sz w:val="36"/>
          <w:szCs w:val="36"/>
          <w:highlight w:val="none"/>
          <w:lang w:val="en-US" w:eastAsia="zh-CN" w:bidi="ar-SA"/>
        </w:rPr>
        <w:t>交通</w:t>
      </w:r>
      <w:r>
        <w:rPr>
          <w:rFonts w:hint="eastAsia" w:eastAsia="仿宋_GB2312" w:cs="Times New Roman"/>
          <w:b/>
          <w:bCs/>
          <w:snapToGrid/>
          <w:color w:val="auto"/>
          <w:kern w:val="2"/>
          <w:sz w:val="36"/>
          <w:szCs w:val="36"/>
          <w:highlight w:val="none"/>
          <w:lang w:eastAsia="zh-CN"/>
        </w:rPr>
        <w:t>铁路网络</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怀邵衡铁路贯穿镇域并设客货运站，京广铁路过境樟木乡，承担区域客货运输功能。</w:t>
      </w:r>
    </w:p>
    <w:p>
      <w:pPr>
        <w:widowControl w:val="0"/>
        <w:kinsoku/>
        <w:autoSpaceDE/>
        <w:autoSpaceDN/>
        <w:adjustRightInd/>
        <w:snapToGrid/>
        <w:spacing w:line="360" w:lineRule="auto"/>
        <w:ind w:firstLine="722" w:firstLineChars="200"/>
        <w:jc w:val="both"/>
        <w:textAlignment w:val="auto"/>
        <w:rPr>
          <w:rFonts w:hint="eastAsia" w:eastAsia="仿宋_GB2312" w:cs="Times New Roman"/>
          <w:b/>
          <w:bCs/>
          <w:snapToGrid/>
          <w:color w:val="auto"/>
          <w:kern w:val="2"/>
          <w:sz w:val="36"/>
          <w:szCs w:val="36"/>
          <w:highlight w:val="none"/>
          <w:lang w:eastAsia="zh-CN"/>
        </w:rPr>
      </w:pPr>
      <w:r>
        <w:rPr>
          <w:rFonts w:hint="default" w:eastAsia="仿宋_GB2312" w:cs="Times New Roman"/>
          <w:b/>
          <w:bCs/>
          <w:snapToGrid/>
          <w:color w:val="auto"/>
          <w:kern w:val="2"/>
          <w:sz w:val="36"/>
          <w:szCs w:val="36"/>
          <w:highlight w:val="none"/>
          <w:lang w:eastAsia="zh-CN"/>
        </w:rPr>
        <w:t>公路网络</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高速公路：衡邵高速</w:t>
      </w:r>
      <w:r>
        <w:rPr>
          <w:rFonts w:hint="eastAsia" w:eastAsia="仿宋_GB2312" w:cs="Times New Roman"/>
          <w:snapToGrid/>
          <w:color w:val="auto"/>
          <w:kern w:val="2"/>
          <w:sz w:val="36"/>
          <w:szCs w:val="36"/>
          <w:highlight w:val="none"/>
          <w:lang w:val="en-US" w:eastAsia="zh-CN"/>
        </w:rPr>
        <w:t>东西向穿越西渡镇北侧，并</w:t>
      </w:r>
      <w:r>
        <w:rPr>
          <w:rFonts w:hint="default" w:eastAsia="仿宋_GB2312" w:cs="Times New Roman"/>
          <w:snapToGrid/>
          <w:color w:val="auto"/>
          <w:kern w:val="2"/>
          <w:sz w:val="36"/>
          <w:szCs w:val="36"/>
          <w:highlight w:val="none"/>
          <w:lang w:eastAsia="zh-CN"/>
        </w:rPr>
        <w:t>在西渡镇设有出口</w:t>
      </w:r>
      <w:r>
        <w:rPr>
          <w:rFonts w:hint="eastAsia" w:eastAsia="仿宋_GB2312" w:cs="Times New Roman"/>
          <w:snapToGrid/>
          <w:color w:val="auto"/>
          <w:kern w:val="2"/>
          <w:sz w:val="36"/>
          <w:szCs w:val="36"/>
          <w:highlight w:val="none"/>
          <w:lang w:eastAsia="zh-CN"/>
        </w:rPr>
        <w:t>，</w:t>
      </w:r>
      <w:r>
        <w:rPr>
          <w:rFonts w:hint="default" w:eastAsia="仿宋_GB2312" w:cs="Times New Roman"/>
          <w:snapToGrid/>
          <w:color w:val="auto"/>
          <w:kern w:val="2"/>
          <w:sz w:val="36"/>
          <w:szCs w:val="36"/>
          <w:highlight w:val="none"/>
          <w:lang w:eastAsia="zh-CN"/>
        </w:rPr>
        <w:t>S336线、西界公路、衡西快线等道路与衡邵高速公路相连。这些道路与衡邵高速形成了较为完善的交通网络，进一步提升了西渡镇的交通便利性，使得西渡镇能够更好地融入区域交通体系，加强了与周边地区的联系和互动。</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镇域</w:t>
      </w:r>
      <w:r>
        <w:rPr>
          <w:rFonts w:hint="default" w:eastAsia="仿宋_GB2312" w:cs="Times New Roman"/>
          <w:snapToGrid/>
          <w:color w:val="auto"/>
          <w:kern w:val="2"/>
          <w:sz w:val="36"/>
          <w:szCs w:val="36"/>
          <w:highlight w:val="none"/>
          <w:lang w:eastAsia="zh-CN"/>
        </w:rPr>
        <w:t>干线：</w:t>
      </w:r>
      <w:r>
        <w:rPr>
          <w:rFonts w:hint="eastAsia" w:eastAsia="仿宋_GB2312" w:cs="Times New Roman"/>
          <w:snapToGrid/>
          <w:color w:val="auto"/>
          <w:kern w:val="2"/>
          <w:sz w:val="36"/>
          <w:szCs w:val="36"/>
          <w:highlight w:val="none"/>
          <w:lang w:val="en-US" w:eastAsia="zh-CN"/>
        </w:rPr>
        <w:t>现状S336</w:t>
      </w:r>
      <w:r>
        <w:rPr>
          <w:rFonts w:hint="default" w:eastAsia="仿宋_GB2312" w:cs="Times New Roman"/>
          <w:snapToGrid/>
          <w:color w:val="auto"/>
          <w:kern w:val="2"/>
          <w:sz w:val="36"/>
          <w:szCs w:val="36"/>
          <w:highlight w:val="none"/>
          <w:lang w:eastAsia="zh-CN"/>
        </w:rPr>
        <w:t>、西界公路、衡西快线穿境而过，</w:t>
      </w:r>
      <w:r>
        <w:rPr>
          <w:rFonts w:hint="eastAsia" w:eastAsia="仿宋_GB2312" w:cs="Times New Roman"/>
          <w:snapToGrid/>
          <w:color w:val="auto"/>
          <w:kern w:val="2"/>
          <w:sz w:val="36"/>
          <w:szCs w:val="36"/>
          <w:highlight w:val="none"/>
          <w:lang w:val="en-US" w:eastAsia="zh-CN"/>
        </w:rPr>
        <w:t>规划城南大道与蒸西大道相连共同</w:t>
      </w:r>
      <w:r>
        <w:rPr>
          <w:rFonts w:hint="default" w:eastAsia="仿宋_GB2312" w:cs="Times New Roman"/>
          <w:snapToGrid/>
          <w:color w:val="auto"/>
          <w:kern w:val="2"/>
          <w:sz w:val="36"/>
          <w:szCs w:val="36"/>
          <w:highlight w:val="none"/>
          <w:lang w:eastAsia="zh-CN"/>
        </w:rPr>
        <w:t>构成</w:t>
      </w:r>
      <w:r>
        <w:rPr>
          <w:rFonts w:hint="eastAsia" w:eastAsia="仿宋_GB2312" w:cs="Times New Roman"/>
          <w:snapToGrid/>
          <w:color w:val="auto"/>
          <w:kern w:val="2"/>
          <w:sz w:val="36"/>
          <w:szCs w:val="36"/>
          <w:highlight w:val="none"/>
          <w:lang w:val="en-US" w:eastAsia="zh-CN"/>
        </w:rPr>
        <w:t>镇</w:t>
      </w:r>
      <w:r>
        <w:rPr>
          <w:rFonts w:hint="default" w:eastAsia="仿宋_GB2312" w:cs="Times New Roman"/>
          <w:snapToGrid/>
          <w:color w:val="auto"/>
          <w:kern w:val="2"/>
          <w:sz w:val="36"/>
          <w:szCs w:val="36"/>
          <w:highlight w:val="none"/>
          <w:lang w:eastAsia="zh-CN"/>
        </w:rPr>
        <w:t>域</w:t>
      </w:r>
      <w:r>
        <w:rPr>
          <w:rFonts w:hint="eastAsia" w:eastAsia="仿宋_GB2312" w:cs="Times New Roman"/>
          <w:snapToGrid/>
          <w:color w:val="auto"/>
          <w:kern w:val="2"/>
          <w:sz w:val="36"/>
          <w:szCs w:val="36"/>
          <w:highlight w:val="none"/>
          <w:lang w:val="en-US" w:eastAsia="zh-CN"/>
        </w:rPr>
        <w:t>道路交通</w:t>
      </w:r>
      <w:r>
        <w:rPr>
          <w:rFonts w:hint="default" w:eastAsia="仿宋_GB2312" w:cs="Times New Roman"/>
          <w:snapToGrid/>
          <w:color w:val="auto"/>
          <w:kern w:val="2"/>
          <w:sz w:val="36"/>
          <w:szCs w:val="36"/>
          <w:highlight w:val="none"/>
          <w:lang w:eastAsia="zh-CN"/>
        </w:rPr>
        <w:t>骨架。</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农村公路：完成X051线（西荷线）等通乡公路提质改造，实现沥青路面全覆盖，但部分县道等级偏低（如X055线仍为等外级）。</w:t>
      </w:r>
    </w:p>
    <w:p>
      <w:pPr>
        <w:widowControl w:val="0"/>
        <w:kinsoku/>
        <w:autoSpaceDE/>
        <w:autoSpaceDN/>
        <w:adjustRightInd/>
        <w:snapToGrid/>
        <w:spacing w:line="360" w:lineRule="auto"/>
        <w:ind w:firstLine="722" w:firstLineChars="200"/>
        <w:jc w:val="both"/>
        <w:textAlignment w:val="auto"/>
        <w:rPr>
          <w:rFonts w:hint="eastAsia" w:eastAsia="仿宋_GB2312" w:cs="Times New Roman"/>
          <w:b/>
          <w:bCs/>
          <w:snapToGrid/>
          <w:color w:val="auto"/>
          <w:kern w:val="2"/>
          <w:sz w:val="36"/>
          <w:szCs w:val="36"/>
          <w:highlight w:val="none"/>
          <w:lang w:eastAsia="zh-CN"/>
        </w:rPr>
      </w:pPr>
      <w:r>
        <w:rPr>
          <w:rFonts w:hint="default" w:eastAsia="仿宋_GB2312" w:cs="Times New Roman"/>
          <w:b/>
          <w:bCs/>
          <w:snapToGrid/>
          <w:color w:val="auto"/>
          <w:kern w:val="2"/>
          <w:sz w:val="36"/>
          <w:szCs w:val="36"/>
          <w:highlight w:val="none"/>
          <w:lang w:eastAsia="zh-CN"/>
        </w:rPr>
        <w:t>公共交通</w:t>
      </w:r>
    </w:p>
    <w:p>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城乡客运一体化实现建制村100%通客车，新增村村通线路26条，票价下浮30%；智慧交通二期工程规划新增停车泊位1809个。</w:t>
      </w:r>
    </w:p>
    <w:p>
      <w:pPr>
        <w:pStyle w:val="4"/>
        <w:numPr>
          <w:ilvl w:val="0"/>
          <w:numId w:val="1"/>
        </w:numPr>
        <w:rPr>
          <w:highlight w:val="none"/>
        </w:rPr>
      </w:pPr>
      <w:r>
        <w:rPr>
          <w:rFonts w:hint="eastAsia"/>
          <w:highlight w:val="none"/>
        </w:rPr>
        <w:t>交通基础设施</w:t>
      </w:r>
    </w:p>
    <w:p>
      <w:pPr>
        <w:pStyle w:val="32"/>
        <w:ind w:firstLine="720"/>
        <w:rPr>
          <w:rFonts w:hint="default"/>
          <w:highlight w:val="none"/>
          <w:lang w:eastAsia="zh-CN"/>
        </w:rPr>
      </w:pPr>
      <w:r>
        <w:rPr>
          <w:highlight w:val="none"/>
          <w:lang w:eastAsia="zh-CN"/>
        </w:rPr>
        <w:t>建设</w:t>
      </w:r>
      <w:r>
        <w:rPr>
          <w:rFonts w:hint="eastAsia"/>
          <w:highlight w:val="none"/>
          <w:lang w:val="en-US" w:eastAsia="zh-CN"/>
        </w:rPr>
        <w:t>蒸水河</w:t>
      </w:r>
      <w:r>
        <w:rPr>
          <w:highlight w:val="none"/>
          <w:lang w:eastAsia="zh-CN"/>
        </w:rPr>
        <w:t>沿河滨水步道，为村民提供生活便利，打造宜居性村庄。</w:t>
      </w:r>
    </w:p>
    <w:p>
      <w:pPr>
        <w:pStyle w:val="32"/>
        <w:ind w:firstLine="720"/>
        <w:rPr>
          <w:rFonts w:hint="default"/>
          <w:highlight w:val="none"/>
          <w:lang w:eastAsia="zh-CN"/>
        </w:rPr>
      </w:pPr>
      <w:r>
        <w:rPr>
          <w:highlight w:val="none"/>
          <w:lang w:eastAsia="zh-CN"/>
        </w:rPr>
        <w:t>规划各村在保留现状停车场的基础上进行提质改造，有需求的可结合文体广场、村部或节点打造，同时增设相关停放标识和充电桩。规划各村在交叉路口、陡坡、急弯、临水沿河、傍山险路、学校、人口集中区等地段根据要求设立安全设施牌。</w:t>
      </w:r>
      <w:r>
        <w:rPr>
          <w:rFonts w:hint="default"/>
          <w:highlight w:val="none"/>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-6915150</wp:posOffset>
            </wp:positionV>
            <wp:extent cx="6181725" cy="8736330"/>
            <wp:effectExtent l="0" t="0" r="9525" b="7620"/>
            <wp:wrapTopAndBottom/>
            <wp:docPr id="14" name="图片 14" descr="29城镇开发边界范围道路交通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9城镇开发边界范围道路交通规划图"/>
                    <pic:cNvPicPr>
                      <a:picLocks noChangeAspect="1"/>
                    </pic:cNvPicPr>
                  </pic:nvPicPr>
                  <pic:blipFill>
                    <a:blip r:embed="rId29"/>
                    <a:stretch>
                      <a:fillRect/>
                    </a:stretch>
                  </pic:blipFill>
                  <pic:spPr>
                    <a:xfrm>
                      <a:off x="0" y="0"/>
                      <a:ext cx="6181725" cy="8736330"/>
                    </a:xfrm>
                    <a:prstGeom prst="rect">
                      <a:avLst/>
                    </a:prstGeom>
                  </pic:spPr>
                </pic:pic>
              </a:graphicData>
            </a:graphic>
          </wp:anchor>
        </w:drawing>
      </w:r>
    </w:p>
    <w:p>
      <w:pPr>
        <w:pStyle w:val="3"/>
      </w:pPr>
      <w:bookmarkStart w:id="22" w:name="_Toc20847"/>
      <w:r>
        <w:rPr>
          <w:rFonts w:hint="eastAsia"/>
        </w:rPr>
        <w:t>第六节 基础设施配套</w:t>
      </w:r>
      <w:bookmarkEnd w:id="22"/>
    </w:p>
    <w:p>
      <w:pPr>
        <w:pStyle w:val="4"/>
        <w:numPr>
          <w:ilvl w:val="0"/>
          <w:numId w:val="8"/>
        </w:numPr>
      </w:pPr>
      <w:r>
        <w:rPr>
          <w:rFonts w:hint="eastAsia"/>
        </w:rPr>
        <w:t>供水规划</w:t>
      </w:r>
    </w:p>
    <w:p>
      <w:pPr>
        <w:pStyle w:val="32"/>
        <w:ind w:firstLine="720"/>
        <w:rPr>
          <w:rFonts w:hint="default"/>
          <w:lang w:val="en-US" w:eastAsia="zh-CN"/>
        </w:rPr>
      </w:pPr>
      <w:bookmarkStart w:id="23" w:name="_Hlk183175736"/>
      <w:r>
        <w:rPr>
          <w:lang w:eastAsia="zh-CN"/>
        </w:rPr>
        <w:t>根据《</w:t>
      </w:r>
      <w:r>
        <w:rPr>
          <w:rFonts w:hint="eastAsia"/>
          <w:lang w:eastAsia="zh-CN"/>
        </w:rPr>
        <w:t>衡阳县</w:t>
      </w:r>
      <w:r>
        <w:rPr>
          <w:lang w:eastAsia="zh-CN"/>
        </w:rPr>
        <w:t>国土空间总体规划</w:t>
      </w:r>
      <w:r>
        <w:rPr>
          <w:rFonts w:hint="eastAsia"/>
          <w:lang w:eastAsia="zh-CN"/>
        </w:rPr>
        <w:t>（</w:t>
      </w:r>
      <w:r>
        <w:rPr>
          <w:lang w:eastAsia="zh-CN"/>
        </w:rPr>
        <w:t>2020-2035年</w:t>
      </w:r>
      <w:r>
        <w:rPr>
          <w:rFonts w:hint="eastAsia"/>
          <w:lang w:eastAsia="zh-CN"/>
        </w:rPr>
        <w:t>）</w:t>
      </w:r>
      <w:r>
        <w:rPr>
          <w:lang w:eastAsia="zh-CN"/>
        </w:rPr>
        <w:t>》和《城市给水工程规划规范》（GB50282-2016），规划至2035年</w:t>
      </w:r>
      <w:r>
        <w:rPr>
          <w:highlight w:val="none"/>
          <w:lang w:eastAsia="zh-CN"/>
        </w:rPr>
        <w:t>，</w:t>
      </w:r>
      <w:r>
        <w:rPr>
          <w:rFonts w:hint="eastAsia"/>
          <w:highlight w:val="none"/>
          <w:lang w:eastAsia="zh-CN"/>
        </w:rPr>
        <w:t>西渡镇</w:t>
      </w:r>
      <w:r>
        <w:rPr>
          <w:highlight w:val="none"/>
          <w:lang w:eastAsia="zh-CN"/>
        </w:rPr>
        <w:t>总人口为</w:t>
      </w:r>
      <w:r>
        <w:rPr>
          <w:rFonts w:hint="eastAsia"/>
          <w:highlight w:val="none"/>
          <w:lang w:val="en-US" w:eastAsia="zh-CN"/>
        </w:rPr>
        <w:t>24</w:t>
      </w:r>
      <w:r>
        <w:rPr>
          <w:highlight w:val="none"/>
          <w:lang w:eastAsia="zh-CN"/>
        </w:rPr>
        <w:t>万人，</w:t>
      </w:r>
      <w:r>
        <w:rPr>
          <w:rFonts w:hint="eastAsia"/>
          <w:highlight w:val="none"/>
          <w:lang w:val="en-US" w:eastAsia="zh-CN"/>
        </w:rPr>
        <w:t>中心城区</w:t>
      </w:r>
      <w:r>
        <w:rPr>
          <w:highlight w:val="none"/>
          <w:lang w:eastAsia="zh-CN"/>
        </w:rPr>
        <w:t>总</w:t>
      </w:r>
      <w:r>
        <w:rPr>
          <w:rFonts w:hint="eastAsia"/>
          <w:highlight w:val="none"/>
          <w:lang w:val="en-US" w:eastAsia="zh-CN"/>
        </w:rPr>
        <w:t>供</w:t>
      </w:r>
      <w:r>
        <w:rPr>
          <w:highlight w:val="none"/>
          <w:lang w:eastAsia="zh-CN"/>
        </w:rPr>
        <w:t>水量</w:t>
      </w:r>
      <w:r>
        <w:rPr>
          <w:rFonts w:hint="eastAsia"/>
          <w:highlight w:val="none"/>
          <w:lang w:val="en-US" w:eastAsia="zh-CN"/>
        </w:rPr>
        <w:t>按</w:t>
      </w:r>
      <w:r>
        <w:rPr>
          <w:rFonts w:hint="eastAsia"/>
          <w:color w:val="auto"/>
          <w:highlight w:val="none"/>
          <w:lang w:val="en-US" w:eastAsia="zh-CN"/>
        </w:rPr>
        <w:t>12</w:t>
      </w:r>
      <w:r>
        <w:rPr>
          <w:highlight w:val="none"/>
          <w:lang w:eastAsia="zh-CN"/>
        </w:rPr>
        <w:t>万立方米/天</w:t>
      </w:r>
      <w:r>
        <w:rPr>
          <w:rFonts w:hint="eastAsia"/>
          <w:lang w:eastAsia="zh-CN"/>
        </w:rPr>
        <w:t>，</w:t>
      </w:r>
      <w:r>
        <w:rPr>
          <w:rFonts w:hint="eastAsia"/>
          <w:lang w:val="en-US" w:eastAsia="zh-CN"/>
        </w:rPr>
        <w:t>进行供水。</w:t>
      </w:r>
    </w:p>
    <w:bookmarkEnd w:id="23"/>
    <w:p>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水源确定为蒸水，近期规划牛形山水库和斜陂堰水库作为城市第二水源，远期纳入湘江沿线水资源配置工程统一考虑。保留现状二水厂，启动二水厂二期建设，同步扩建或改造主供水管网，根据水压情况建设给水泵站，优先利用县城供水管网延伸覆盖城区周围乡镇，进行同网、同质供水，实行城乡供水一体化。加大节水宣传，推广节水型卫生器具的使用；减少高耗水行业的发展，加大再生水回用等非常规水资源利用力度，至</w:t>
      </w:r>
      <w:r>
        <w:rPr>
          <w:rFonts w:eastAsia="仿宋_GB2312" w:cs="Times New Roman"/>
          <w:snapToGrid/>
          <w:color w:val="auto"/>
          <w:kern w:val="2"/>
          <w:sz w:val="36"/>
          <w:szCs w:val="36"/>
          <w:highlight w:val="none"/>
          <w:lang w:eastAsia="zh-CN"/>
        </w:rPr>
        <w:t>2035年，县区再生水回用率应达到25%</w:t>
      </w:r>
      <w:r>
        <w:rPr>
          <w:rFonts w:hint="eastAsia" w:eastAsia="仿宋_GB2312" w:cs="Times New Roman"/>
          <w:snapToGrid/>
          <w:color w:val="auto"/>
          <w:kern w:val="2"/>
          <w:sz w:val="36"/>
          <w:szCs w:val="36"/>
          <w:highlight w:val="none"/>
          <w:lang w:eastAsia="zh-CN"/>
        </w:rPr>
        <w:t>，统筹考虑人防专项规划布局的人防区域给水设施建设。</w:t>
      </w:r>
    </w:p>
    <w:p>
      <w:pPr>
        <w:pStyle w:val="32"/>
        <w:ind w:firstLine="720"/>
        <w:rPr>
          <w:rFonts w:hint="default"/>
          <w:highlight w:val="yellow"/>
          <w:lang w:eastAsia="zh-CN"/>
        </w:rPr>
      </w:pPr>
      <w:r>
        <w:rPr>
          <w:rFonts w:hint="eastAsia"/>
          <w:highlight w:val="none"/>
          <w:lang w:val="en-US" w:eastAsia="zh-CN"/>
        </w:rPr>
        <w:t>中心城区供水依托县自来水厂和清花湾集中供水广场，</w:t>
      </w:r>
      <w:r>
        <w:rPr>
          <w:highlight w:val="none"/>
          <w:lang w:eastAsia="zh-CN"/>
        </w:rPr>
        <w:t>中心村庄自建供水站及供水管网，供水普及率达到100%。基层村庄主要以山泉、地下水为水源。采取单村集中供水，供水普及率达到100%以上，个别很高或很远的用户自行取水。</w:t>
      </w:r>
    </w:p>
    <w:p>
      <w:pPr>
        <w:pStyle w:val="4"/>
        <w:numPr>
          <w:ilvl w:val="0"/>
          <w:numId w:val="1"/>
        </w:numPr>
      </w:pPr>
      <w:r>
        <w:rPr>
          <w:rFonts w:hint="eastAsia"/>
        </w:rPr>
        <w:t>排水规划</w:t>
      </w:r>
    </w:p>
    <w:p>
      <w:pPr>
        <w:pStyle w:val="32"/>
        <w:rPr>
          <w:rFonts w:hint="default"/>
          <w:highlight w:val="yellow"/>
          <w:lang w:eastAsia="zh-CN"/>
        </w:rPr>
      </w:pPr>
      <w:r>
        <w:rPr>
          <w:b/>
          <w:szCs w:val="22"/>
          <w:lang w:eastAsia="zh-CN"/>
        </w:rPr>
        <w:t>1、完善污水处理系统。</w:t>
      </w:r>
      <w:bookmarkStart w:id="24" w:name="_Hlk183175747"/>
      <w:r>
        <w:rPr>
          <w:lang w:eastAsia="zh-CN"/>
        </w:rPr>
        <w:t>采取综合指标法计算规划污水量，根据《湖南省乡镇排水与污水处理工程专项规划设计技术导引》</w:t>
      </w:r>
      <w:r>
        <w:rPr>
          <w:highlight w:val="none"/>
          <w:lang w:eastAsia="zh-CN"/>
        </w:rPr>
        <w:t>乡镇平均日污水量按照日用水量70%进行测算。规划至2035年，</w:t>
      </w:r>
      <w:r>
        <w:rPr>
          <w:rFonts w:hint="eastAsia"/>
          <w:highlight w:val="none"/>
          <w:lang w:eastAsia="zh-CN"/>
        </w:rPr>
        <w:t>西渡镇</w:t>
      </w:r>
      <w:r>
        <w:rPr>
          <w:rFonts w:hint="eastAsia"/>
          <w:highlight w:val="none"/>
          <w:lang w:val="en-US" w:eastAsia="zh-CN"/>
        </w:rPr>
        <w:t>中心城区</w:t>
      </w:r>
      <w:r>
        <w:rPr>
          <w:highlight w:val="none"/>
          <w:lang w:eastAsia="zh-CN"/>
        </w:rPr>
        <w:t>总污水量为</w:t>
      </w:r>
      <w:r>
        <w:rPr>
          <w:rFonts w:hint="eastAsia"/>
          <w:highlight w:val="none"/>
          <w:lang w:val="en-US" w:eastAsia="zh-CN"/>
        </w:rPr>
        <w:t>7</w:t>
      </w:r>
      <w:r>
        <w:rPr>
          <w:highlight w:val="none"/>
          <w:lang w:eastAsia="zh-CN"/>
        </w:rPr>
        <w:t>万立方米/天。</w:t>
      </w:r>
    </w:p>
    <w:p>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优化排水体制，新开发地段排水系统按分流制建设，并与现状分流制系统衔接，旧城区的排水系统逐步改造为分流制。完善污水排放处理，保留现状两处污水处理设施，视情况扩建。贯彻海绵城市建设理念，构建源头削减、中途控制、末端治理的多级控制体系，保护水生态环境。加强雨水排放管理。雨水管道设计重现期采用3年一遇，重要地区、低洼区、重要道路交叉口和立交桥为5年一遇。系统化全域推进海绵城市建设。综合采取渗、滞、蓄、净、用、排等低影响开发措施，降低城市内涝风险，改善城市综合生态环境。</w:t>
      </w:r>
    </w:p>
    <w:p>
      <w:pPr>
        <w:pStyle w:val="32"/>
        <w:ind w:firstLine="720"/>
        <w:rPr>
          <w:rFonts w:hint="default"/>
          <w:lang w:eastAsia="zh-CN"/>
        </w:rPr>
      </w:pPr>
      <w:r>
        <w:rPr>
          <w:lang w:eastAsia="zh-CN"/>
        </w:rPr>
        <w:t>对于城镇周边和邻近城镇污水管网且符合高程接入要求的规划发展村庄，优先考虑纳管处理模式；对居住相对分散、周边具备消纳土地的规划保留村庄，采用分散治理模式，就近就地资源化利用或处理；对于不具备纳管条件、居住相对集中且排放要求较高的规划发展村庄，采取集中治理模式。</w:t>
      </w:r>
    </w:p>
    <w:bookmarkEnd w:id="24"/>
    <w:p>
      <w:pPr>
        <w:pStyle w:val="32"/>
        <w:ind w:firstLine="720"/>
        <w:rPr>
          <w:rFonts w:hint="default"/>
          <w:lang w:eastAsia="zh-CN"/>
        </w:rPr>
      </w:pPr>
      <w:r>
        <w:rPr>
          <w:lang w:eastAsia="zh-CN"/>
        </w:rPr>
        <w:t>2、</w:t>
      </w:r>
      <w:r>
        <w:rPr>
          <w:b/>
          <w:lang w:eastAsia="zh-CN"/>
        </w:rPr>
        <w:t>完善雨水系统。</w:t>
      </w:r>
      <w:r>
        <w:rPr>
          <w:u w:val="single"/>
          <w:lang w:eastAsia="zh-CN"/>
        </w:rPr>
        <w:t>规划标准为5年一遇的24H暴雨4—6H排干。</w:t>
      </w:r>
      <w:r>
        <w:rPr>
          <w:lang w:eastAsia="zh-CN"/>
        </w:rPr>
        <w:t>建立完善的超标雨水行泄通道体系。</w:t>
      </w:r>
    </w:p>
    <w:p>
      <w:pPr>
        <w:pStyle w:val="4"/>
        <w:numPr>
          <w:ilvl w:val="0"/>
          <w:numId w:val="1"/>
        </w:numPr>
      </w:pPr>
      <w:r>
        <w:rPr>
          <w:rFonts w:hint="eastAsia"/>
        </w:rPr>
        <w:t>电力工程规划</w:t>
      </w:r>
    </w:p>
    <w:p>
      <w:pPr>
        <w:pStyle w:val="32"/>
        <w:ind w:firstLine="720"/>
        <w:rPr>
          <w:rFonts w:hint="eastAsia"/>
          <w:lang w:val="en-US" w:eastAsia="zh-CN"/>
        </w:rPr>
      </w:pPr>
      <w:r>
        <w:rPr>
          <w:rFonts w:hint="eastAsia"/>
          <w:lang w:val="en-US" w:eastAsia="zh-CN"/>
        </w:rPr>
        <w:t>主网架建设</w:t>
      </w:r>
      <w:r>
        <w:rPr>
          <w:rFonts w:hint="default"/>
          <w:lang w:val="en-US" w:eastAsia="zh-CN"/>
        </w:rPr>
        <w:t>：</w:t>
      </w:r>
      <w:r>
        <w:rPr>
          <w:rFonts w:hint="eastAsia"/>
          <w:lang w:val="en-US" w:eastAsia="zh-CN"/>
        </w:rPr>
        <w:t>加快盘龙110kV升压站建设，2024年投运后形成 “双电源”供电格局。</w:t>
      </w:r>
      <w:r>
        <w:rPr>
          <w:rFonts w:hint="default"/>
          <w:lang w:val="en-US" w:eastAsia="zh-CN"/>
        </w:rPr>
        <w:t>配合“宁电入湘”工程，完善500kV及以下配套电网，增强外电接纳能力</w:t>
      </w:r>
      <w:r>
        <w:rPr>
          <w:rFonts w:hint="eastAsia"/>
          <w:lang w:val="en-US" w:eastAsia="zh-CN"/>
        </w:rPr>
        <w:t>。</w:t>
      </w:r>
    </w:p>
    <w:p>
      <w:pPr>
        <w:pStyle w:val="32"/>
        <w:ind w:firstLine="720"/>
        <w:rPr>
          <w:rFonts w:hint="default"/>
          <w:lang w:val="en-US" w:eastAsia="zh-CN"/>
        </w:rPr>
      </w:pPr>
      <w:r>
        <w:rPr>
          <w:rFonts w:hint="eastAsia"/>
          <w:lang w:val="en-US" w:eastAsia="zh-CN"/>
        </w:rPr>
        <w:t>农村电网升级</w:t>
      </w:r>
      <w:r>
        <w:rPr>
          <w:rFonts w:hint="default"/>
          <w:lang w:val="en-US" w:eastAsia="zh-CN"/>
        </w:rPr>
        <w:t>：实施新一轮农网改造，2025年前完成老旧线路更换、配变增容，重点改善清花湾、梅花村等旅游区供电可靠性。推广“网格化”配电模式，缩短供电半径，降低线损率。</w:t>
      </w:r>
    </w:p>
    <w:p>
      <w:pPr>
        <w:pStyle w:val="32"/>
        <w:ind w:firstLine="720"/>
        <w:rPr>
          <w:rFonts w:hint="eastAsia"/>
          <w:lang w:val="en-US" w:eastAsia="zh-CN"/>
        </w:rPr>
      </w:pPr>
      <w:r>
        <w:rPr>
          <w:rFonts w:hint="default"/>
          <w:lang w:val="en-US" w:eastAsia="zh-CN"/>
        </w:rPr>
        <w:t>电源结构调整</w:t>
      </w:r>
      <w:r>
        <w:rPr>
          <w:rFonts w:hint="eastAsia"/>
          <w:lang w:val="en-US" w:eastAsia="zh-CN"/>
        </w:rPr>
        <w:t>：</w:t>
      </w:r>
      <w:r>
        <w:rPr>
          <w:rFonts w:hint="default"/>
          <w:lang w:val="en-US" w:eastAsia="zh-CN"/>
        </w:rPr>
        <w:t>规模化开发光伏：推进盘龙光伏项目（100MW）建成，探索“光伏+农业”复合利用模式。</w:t>
      </w:r>
    </w:p>
    <w:p>
      <w:pPr>
        <w:pStyle w:val="32"/>
        <w:ind w:firstLine="720"/>
        <w:rPr>
          <w:rFonts w:hint="eastAsia"/>
          <w:lang w:val="en-US" w:eastAsia="zh-CN"/>
        </w:rPr>
      </w:pPr>
      <w:r>
        <w:rPr>
          <w:rFonts w:hint="default"/>
          <w:lang w:val="en-US" w:eastAsia="zh-CN"/>
        </w:rPr>
        <w:t>整合小水电资源：有序退出低效小水电站，引导转产或并网改造。</w:t>
      </w:r>
    </w:p>
    <w:p>
      <w:pPr>
        <w:pStyle w:val="32"/>
        <w:ind w:firstLine="720"/>
        <w:rPr>
          <w:rFonts w:hint="eastAsia"/>
          <w:lang w:val="en-US" w:eastAsia="zh-CN"/>
        </w:rPr>
      </w:pPr>
      <w:r>
        <w:rPr>
          <w:rFonts w:hint="default"/>
          <w:lang w:val="en-US" w:eastAsia="zh-CN"/>
        </w:rPr>
        <w:t>试点储能项目：在负荷中心区域布局分布式储能，平抑电网峰谷差。</w:t>
      </w:r>
    </w:p>
    <w:p>
      <w:pPr>
        <w:pStyle w:val="4"/>
        <w:numPr>
          <w:ilvl w:val="0"/>
          <w:numId w:val="1"/>
        </w:numPr>
      </w:pPr>
      <w:r>
        <w:rPr>
          <w:rFonts w:hint="eastAsia"/>
        </w:rPr>
        <w:t>电信工程规划</w:t>
      </w:r>
    </w:p>
    <w:p>
      <w:pPr>
        <w:pStyle w:val="32"/>
        <w:ind w:firstLine="720"/>
        <w:rPr>
          <w:rFonts w:hint="eastAsia" w:ascii="仿宋" w:hAnsi="仿宋" w:eastAsia="仿宋" w:cs="仿宋"/>
          <w:lang w:eastAsia="zh-CN"/>
        </w:rPr>
      </w:pPr>
      <w:r>
        <w:rPr>
          <w:rFonts w:hint="eastAsia"/>
          <w:lang w:eastAsia="zh-CN"/>
        </w:rPr>
        <w:t>全面建设高水平“双千兆”网络，持续发展智能计算基础设施，积极发展融合基础设施，全面提升信息通信服务供给能力，构建“高速、智能、协同、安全、绿色”的新型信息通信基础设施体系。加强规模部署5G等新一代移动通信设施，统筹规划基站选址用地，预留基站配套设施资源，保障用网需求。加快建设超高速光纤网络，全面推进预留信息通信配套设施。推进强化建筑物、交通设施等场景信息通信配套基础设施建设和资源预留，实现信息通信配套基础设施与主体工程“同步规划、同步设计、同步实施、同步验收”。</w:t>
      </w:r>
    </w:p>
    <w:p>
      <w:pPr>
        <w:pStyle w:val="32"/>
        <w:ind w:firstLine="720"/>
        <w:rPr>
          <w:rFonts w:hint="default"/>
          <w:lang w:eastAsia="zh-CN"/>
        </w:rPr>
      </w:pPr>
      <w:r>
        <w:rPr>
          <w:lang w:eastAsia="zh-CN"/>
        </w:rPr>
        <w:t>提升住宅小区、交通路网等区域的网络设施和智能设施同步建设和升级改造。提高信息通信数字化应用水平，以5G、物联网、云计算、人工智能、区块链等新一代信息通信技术和数据要素为驱动力，加快数字基础设施供给侧结构性改革，拓展数字化生活、生产和社会治理等领域新应用。加快数字化服务产业生态建设，推动数字经济和经济社会深度融合。</w:t>
      </w:r>
    </w:p>
    <w:p>
      <w:pPr>
        <w:pStyle w:val="4"/>
        <w:numPr>
          <w:ilvl w:val="0"/>
          <w:numId w:val="1"/>
        </w:numPr>
      </w:pPr>
      <w:r>
        <w:rPr>
          <w:rFonts w:hint="eastAsia"/>
        </w:rPr>
        <w:t>燃气工程规划</w:t>
      </w:r>
    </w:p>
    <w:p>
      <w:pPr>
        <w:pStyle w:val="32"/>
        <w:ind w:firstLine="720"/>
        <w:rPr>
          <w:lang w:eastAsia="zh-CN"/>
        </w:rPr>
      </w:pPr>
      <w:r>
        <w:rPr>
          <w:lang w:eastAsia="zh-CN"/>
        </w:rPr>
        <w:t>规划在</w:t>
      </w:r>
      <w:r>
        <w:rPr>
          <w:rFonts w:hint="eastAsia"/>
          <w:lang w:eastAsia="zh-CN"/>
        </w:rPr>
        <w:t>衡阳县</w:t>
      </w:r>
      <w:r>
        <w:rPr>
          <w:lang w:eastAsia="zh-CN"/>
        </w:rPr>
        <w:t>华鑫液石油气储备站旁新建LNG瓶装供应站，占地面积均为</w:t>
      </w:r>
      <w:r>
        <w:rPr>
          <w:rFonts w:hint="eastAsia"/>
          <w:lang w:val="en-US" w:eastAsia="zh-CN"/>
        </w:rPr>
        <w:t>7316</w:t>
      </w:r>
      <w:r>
        <w:rPr>
          <w:lang w:eastAsia="zh-CN"/>
        </w:rPr>
        <w:t>平方米。</w:t>
      </w:r>
    </w:p>
    <w:p>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规划保持现有供气格局，完善相关设施，以管道天然气为主气源，液化石油气为辅助气源，供应少量天然气管道未覆盖区域。至2035年，中心城区气化率达到98%以上，气源为西二线“樟树—湘潭”支线气源和新粤线天然气管线，由“衡阳市—衡阳县”次高压输气管道输送至衡阳县门站。完善现有各类高中压天然气管线和场站系统，燃气场站应符合国家标准《城镇燃气设计规范》和《建筑设计防火规范》的规定，满足安全防火、环境保护及使用方便的要求。高中压调压站和中压调压站（含调压柜）与其他建筑物、构筑物的水平净距应符合相关规范规定。</w:t>
      </w:r>
    </w:p>
    <w:p>
      <w:pPr>
        <w:pStyle w:val="4"/>
        <w:numPr>
          <w:ilvl w:val="0"/>
          <w:numId w:val="1"/>
        </w:numPr>
      </w:pPr>
      <w:r>
        <w:rPr>
          <w:rFonts w:hint="eastAsia"/>
        </w:rPr>
        <w:t>环卫规划</w:t>
      </w:r>
    </w:p>
    <w:p>
      <w:pPr>
        <w:pStyle w:val="32"/>
        <w:ind w:firstLine="720"/>
        <w:rPr>
          <w:rFonts w:hint="default"/>
          <w:highlight w:val="yellow"/>
          <w:lang w:eastAsia="zh-CN"/>
        </w:rPr>
      </w:pPr>
      <w:r>
        <w:rPr>
          <w:rFonts w:hint="eastAsia"/>
          <w:color w:val="auto"/>
          <w:highlight w:val="none"/>
        </w:rPr>
        <w:t>推进“无废城市”试点，坚持“减量化、资源化、无害化”原则，加强城市垃圾分类收运与再生资源回收利用两网融合，提升资源循环再生利用水平，建立创新智能、和谐共融、完善可靠的垃圾分类投放、分类收集、分类运输、分类处理体系，创新垃圾分类、收集运输和资源化、无害化处理方式。保持现状垃圾收运体系，由垃圾收集车定点到各收集站收集垃圾统一送至附近垃圾转运站压缩。在英陂河坝附近新建一座停靠10吨重水上环卫码头，配备垃圾收集房。工业及建筑垃圾处理方式以综合利用和填基为主。在咸中亭村建设建筑垃圾处置中心，特种垃圾经统一收集后，送往周边危险废弃物处理中心处理。</w:t>
      </w:r>
    </w:p>
    <w:p>
      <w:pPr>
        <w:pStyle w:val="32"/>
        <w:ind w:firstLine="720"/>
        <w:rPr>
          <w:rFonts w:hint="default"/>
          <w:lang w:eastAsia="zh-CN"/>
        </w:rPr>
      </w:pPr>
      <w:r>
        <w:rPr>
          <w:rFonts w:hint="eastAsia" w:eastAsia="黑体"/>
          <w:lang w:eastAsia="zh-CN"/>
        </w:rPr>
        <w:drawing>
          <wp:anchor distT="0" distB="0" distL="114300" distR="114300" simplePos="0" relativeHeight="251665408" behindDoc="0" locked="0" layoutInCell="1" allowOverlap="1">
            <wp:simplePos x="0" y="0"/>
            <wp:positionH relativeFrom="column">
              <wp:posOffset>1033780</wp:posOffset>
            </wp:positionH>
            <wp:positionV relativeFrom="paragraph">
              <wp:posOffset>1662430</wp:posOffset>
            </wp:positionV>
            <wp:extent cx="4189095" cy="5920740"/>
            <wp:effectExtent l="0" t="0" r="1905" b="3810"/>
            <wp:wrapTopAndBottom/>
            <wp:docPr id="15" name="图片 15" descr="28城镇开发边界范围市政基础设施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8城镇开发边界范围市政基础设施规划图"/>
                    <pic:cNvPicPr>
                      <a:picLocks noChangeAspect="1"/>
                    </pic:cNvPicPr>
                  </pic:nvPicPr>
                  <pic:blipFill>
                    <a:blip r:embed="rId30"/>
                    <a:stretch>
                      <a:fillRect/>
                    </a:stretch>
                  </pic:blipFill>
                  <pic:spPr>
                    <a:xfrm>
                      <a:off x="0" y="0"/>
                      <a:ext cx="4189095" cy="5920740"/>
                    </a:xfrm>
                    <a:prstGeom prst="rect">
                      <a:avLst/>
                    </a:prstGeom>
                  </pic:spPr>
                </pic:pic>
              </a:graphicData>
            </a:graphic>
          </wp:anchor>
        </w:drawing>
      </w:r>
      <w:r>
        <w:rPr>
          <w:lang w:eastAsia="zh-CN"/>
        </w:rPr>
        <w:t>村收集-镇转运-县处理，有条件时可多点布置小型垃圾处理设施；实施生活垃圾分类收集，促进生活垃圾的减量化和资源化。至2035年，生活垃圾无害化处理率100%，生活垃圾回收利用率40%以上，回收后资源化利用率80%以上。</w:t>
      </w:r>
    </w:p>
    <w:p>
      <w:pPr>
        <w:pStyle w:val="3"/>
        <w:rPr>
          <w:rFonts w:hint="eastAsia" w:eastAsia="黑体"/>
          <w:lang w:eastAsia="zh-CN"/>
        </w:rPr>
      </w:pPr>
      <w:bookmarkStart w:id="25" w:name="_Toc3546"/>
      <w:r>
        <w:t>第</w:t>
      </w:r>
      <w:r>
        <w:rPr>
          <w:rFonts w:hint="eastAsia"/>
        </w:rPr>
        <w:t>七</w:t>
      </w:r>
      <w:r>
        <w:t xml:space="preserve">节 </w:t>
      </w:r>
      <w:r>
        <w:rPr>
          <w:rFonts w:hint="eastAsia"/>
        </w:rPr>
        <w:t>公共服务设施配套</w:t>
      </w:r>
      <w:bookmarkEnd w:id="25"/>
    </w:p>
    <w:p>
      <w:pPr>
        <w:pStyle w:val="4"/>
        <w:numPr>
          <w:ilvl w:val="0"/>
          <w:numId w:val="9"/>
        </w:numPr>
      </w:pPr>
      <w:r>
        <w:rPr>
          <w:rFonts w:hint="eastAsia"/>
        </w:rPr>
        <w:t>公共管理设施</w:t>
      </w:r>
    </w:p>
    <w:p>
      <w:pPr>
        <w:pStyle w:val="32"/>
        <w:ind w:firstLine="720"/>
        <w:rPr>
          <w:rFonts w:hint="default"/>
          <w:lang w:eastAsia="zh-CN"/>
        </w:rPr>
      </w:pPr>
      <w:r>
        <w:rPr>
          <w:lang w:eastAsia="zh-CN"/>
        </w:rPr>
        <w:t>依据镇村体系规划，构建“</w:t>
      </w:r>
      <w:r>
        <w:rPr>
          <w:rFonts w:hint="eastAsia"/>
          <w:lang w:val="en-US" w:eastAsia="zh-CN"/>
        </w:rPr>
        <w:t>镇</w:t>
      </w:r>
      <w:r>
        <w:rPr>
          <w:lang w:eastAsia="zh-CN"/>
        </w:rPr>
        <w:t>政府驻地—中心村—一般村”三级城乡公共服务设施配置体系。公共服务设施按照分级分类的要求分为镇级、中心村级、一般村级三个层次。镇级公共服务设施主要设置于</w:t>
      </w:r>
      <w:r>
        <w:rPr>
          <w:rFonts w:hint="eastAsia"/>
          <w:lang w:val="en-US" w:eastAsia="zh-CN"/>
        </w:rPr>
        <w:t>镇</w:t>
      </w:r>
      <w:r>
        <w:rPr>
          <w:lang w:eastAsia="zh-CN"/>
        </w:rPr>
        <w:t>政府驻地，为</w:t>
      </w:r>
      <w:r>
        <w:rPr>
          <w:rFonts w:hint="eastAsia"/>
          <w:lang w:eastAsia="zh-CN"/>
        </w:rPr>
        <w:t>西渡镇</w:t>
      </w:r>
      <w:r>
        <w:rPr>
          <w:lang w:eastAsia="zh-CN"/>
        </w:rPr>
        <w:t>乡域提供服务，靠近</w:t>
      </w:r>
      <w:r>
        <w:rPr>
          <w:rFonts w:hint="eastAsia"/>
          <w:lang w:eastAsia="zh-CN"/>
        </w:rPr>
        <w:t>镇政府</w:t>
      </w:r>
      <w:r>
        <w:rPr>
          <w:lang w:eastAsia="zh-CN"/>
        </w:rPr>
        <w:t>驻地的村庄可结合</w:t>
      </w:r>
      <w:r>
        <w:rPr>
          <w:rFonts w:hint="eastAsia"/>
          <w:lang w:val="en-US" w:eastAsia="zh-CN"/>
        </w:rPr>
        <w:t>镇</w:t>
      </w:r>
      <w:r>
        <w:rPr>
          <w:lang w:eastAsia="zh-CN"/>
        </w:rPr>
        <w:t>政府驻地规划统筹考虑；中心村级公共服务设施主要为周边村庄提供改善型配套设施 ；一般村级则多为保障型配套设施，部分有条件的村可结合自身发展补充相应的配套设施。</w:t>
      </w:r>
    </w:p>
    <w:p>
      <w:pPr>
        <w:pStyle w:val="4"/>
        <w:numPr>
          <w:ilvl w:val="0"/>
          <w:numId w:val="1"/>
        </w:numPr>
      </w:pPr>
      <w:r>
        <w:rPr>
          <w:rFonts w:hint="eastAsia"/>
        </w:rPr>
        <w:t>教育设施</w:t>
      </w:r>
    </w:p>
    <w:p>
      <w:pPr>
        <w:pStyle w:val="32"/>
        <w:ind w:firstLine="720"/>
        <w:rPr>
          <w:rFonts w:hint="default"/>
          <w:lang w:eastAsia="zh-CN"/>
        </w:rPr>
      </w:pPr>
      <w:r>
        <w:rPr>
          <w:rFonts w:hint="eastAsia"/>
          <w:highlight w:val="none"/>
          <w:lang w:eastAsia="zh-CN"/>
        </w:rPr>
        <w:t>优化中小学校布局，推进基础教育优质均衡发展，保留并办好秋塘完小天光教学点、秋塘完小盘龙教学点、英陂完小青里教学点、桐桥小学、面湖小学等学校，对秋塘中学、秋塘完小开展提质改造工作，扩大优质中小学覆盖面，改善黄林村、振兴村、新桥村无教学点情况，实现就近上好学</w:t>
      </w:r>
      <w:r>
        <w:rPr>
          <w:lang w:eastAsia="zh-CN"/>
        </w:rPr>
        <w:t>。</w:t>
      </w:r>
    </w:p>
    <w:p>
      <w:pPr>
        <w:pStyle w:val="4"/>
        <w:numPr>
          <w:ilvl w:val="0"/>
          <w:numId w:val="1"/>
        </w:numPr>
      </w:pPr>
      <w:r>
        <w:rPr>
          <w:rFonts w:hint="eastAsia"/>
        </w:rPr>
        <w:t>医疗保健设施</w:t>
      </w:r>
    </w:p>
    <w:p>
      <w:pPr>
        <w:pStyle w:val="32"/>
        <w:ind w:firstLine="720"/>
        <w:rPr>
          <w:rFonts w:hint="default"/>
          <w:lang w:eastAsia="zh-CN"/>
        </w:rPr>
      </w:pPr>
      <w:r>
        <w:rPr>
          <w:lang w:eastAsia="zh-CN"/>
        </w:rPr>
        <w:t>全乡医疗卫生服务体系按照“镇（区）卫生院——社区医疗服务中心——村卫生所”三级设置，与</w:t>
      </w:r>
      <w:r>
        <w:rPr>
          <w:rFonts w:hint="eastAsia"/>
          <w:lang w:eastAsia="zh-CN"/>
        </w:rPr>
        <w:t>镇政府</w:t>
      </w:r>
      <w:r>
        <w:rPr>
          <w:lang w:eastAsia="zh-CN"/>
        </w:rPr>
        <w:t>驻地——村委所在地相互一致，规划保留卫生院和完善各村卫生室。</w:t>
      </w:r>
    </w:p>
    <w:p>
      <w:pPr>
        <w:pStyle w:val="4"/>
        <w:numPr>
          <w:ilvl w:val="0"/>
          <w:numId w:val="1"/>
        </w:numPr>
      </w:pPr>
      <w:r>
        <w:rPr>
          <w:rFonts w:hint="eastAsia"/>
        </w:rPr>
        <w:t>社会福利设施规划</w:t>
      </w:r>
    </w:p>
    <w:p>
      <w:pPr>
        <w:pStyle w:val="32"/>
        <w:ind w:firstLine="720"/>
        <w:rPr>
          <w:rFonts w:hint="default"/>
          <w:lang w:eastAsia="zh-CN"/>
        </w:rPr>
      </w:pPr>
      <w:r>
        <w:rPr>
          <w:lang w:eastAsia="zh-CN"/>
        </w:rPr>
        <w:t>保留现状养老院。加大社会福利设施建设，打造</w:t>
      </w:r>
      <w:r>
        <w:rPr>
          <w:rFonts w:hint="eastAsia"/>
          <w:lang w:eastAsia="zh-CN"/>
        </w:rPr>
        <w:t>衡阳县</w:t>
      </w:r>
      <w:r>
        <w:rPr>
          <w:lang w:eastAsia="zh-CN"/>
        </w:rPr>
        <w:t>特色乡镇名牌，建立</w:t>
      </w:r>
      <w:r>
        <w:rPr>
          <w:rFonts w:hint="eastAsia"/>
          <w:lang w:eastAsia="zh-CN"/>
        </w:rPr>
        <w:t>西渡镇</w:t>
      </w:r>
      <w:r>
        <w:rPr>
          <w:lang w:eastAsia="zh-CN"/>
        </w:rPr>
        <w:t>社会福利体系保障体系，完善各村庄社会福利设施，</w:t>
      </w:r>
      <w:r>
        <w:rPr>
          <w:szCs w:val="24"/>
          <w:lang w:eastAsia="zh-CN"/>
        </w:rPr>
        <w:t>提升</w:t>
      </w:r>
      <w:r>
        <w:rPr>
          <w:rFonts w:hint="eastAsia"/>
          <w:szCs w:val="24"/>
          <w:lang w:eastAsia="zh-CN"/>
        </w:rPr>
        <w:t>西渡镇</w:t>
      </w:r>
      <w:r>
        <w:rPr>
          <w:szCs w:val="24"/>
          <w:lang w:eastAsia="zh-CN"/>
        </w:rPr>
        <w:t>敬老院服务质量。建设乡级综合养老活动中心，其他村</w:t>
      </w:r>
      <w:r>
        <w:rPr>
          <w:lang w:eastAsia="zh-CN"/>
        </w:rPr>
        <w:t>与现有综合服务平台联合设置农村互助养老服务设施。</w:t>
      </w:r>
    </w:p>
    <w:p>
      <w:pPr>
        <w:pStyle w:val="4"/>
        <w:numPr>
          <w:ilvl w:val="0"/>
          <w:numId w:val="1"/>
        </w:numPr>
      </w:pPr>
      <w:r>
        <w:rPr>
          <w:rFonts w:hint="eastAsia"/>
        </w:rPr>
        <w:t>文化体育设施</w:t>
      </w:r>
    </w:p>
    <w:p>
      <w:pPr>
        <w:pStyle w:val="32"/>
        <w:ind w:firstLine="720"/>
        <w:rPr>
          <w:rFonts w:hint="default"/>
          <w:lang w:eastAsia="zh-CN"/>
        </w:rPr>
      </w:pPr>
      <w:r>
        <w:rPr>
          <w:lang w:eastAsia="zh-CN"/>
        </w:rPr>
        <w:t>各行政村设置文化活动室，结合村民图书室、活动中心布置，基层村设置文化活动室，原则上与村部共建。在村民集中处新增文化活动广场。</w:t>
      </w:r>
    </w:p>
    <w:p>
      <w:pPr>
        <w:pStyle w:val="4"/>
        <w:numPr>
          <w:ilvl w:val="0"/>
          <w:numId w:val="1"/>
        </w:numPr>
      </w:pPr>
      <w:r>
        <w:rPr>
          <w:rFonts w:hint="eastAsia"/>
        </w:rPr>
        <w:t>商业金融设施</w:t>
      </w:r>
    </w:p>
    <w:p>
      <w:pPr>
        <w:pStyle w:val="32"/>
        <w:ind w:firstLine="720"/>
        <w:rPr>
          <w:rFonts w:hint="default"/>
          <w:lang w:eastAsia="zh-CN"/>
        </w:rPr>
      </w:pPr>
      <w:r>
        <w:rPr>
          <w:rFonts w:hint="default"/>
          <w:lang w:eastAsia="zh-CN"/>
        </w:rPr>
        <w:drawing>
          <wp:anchor distT="0" distB="0" distL="114300" distR="114300" simplePos="0" relativeHeight="251666432" behindDoc="0" locked="0" layoutInCell="1" allowOverlap="1">
            <wp:simplePos x="0" y="0"/>
            <wp:positionH relativeFrom="column">
              <wp:posOffset>786765</wp:posOffset>
            </wp:positionH>
            <wp:positionV relativeFrom="paragraph">
              <wp:posOffset>1381760</wp:posOffset>
            </wp:positionV>
            <wp:extent cx="4862195" cy="6872605"/>
            <wp:effectExtent l="0" t="0" r="14605" b="4445"/>
            <wp:wrapTopAndBottom/>
            <wp:docPr id="17" name="图片 17" descr="27城镇开发边界范围公共服务设施体系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7城镇开发边界范围公共服务设施体系规划图"/>
                    <pic:cNvPicPr>
                      <a:picLocks noChangeAspect="1"/>
                    </pic:cNvPicPr>
                  </pic:nvPicPr>
                  <pic:blipFill>
                    <a:blip r:embed="rId31"/>
                    <a:stretch>
                      <a:fillRect/>
                    </a:stretch>
                  </pic:blipFill>
                  <pic:spPr>
                    <a:xfrm>
                      <a:off x="0" y="0"/>
                      <a:ext cx="4862195" cy="6872605"/>
                    </a:xfrm>
                    <a:prstGeom prst="rect">
                      <a:avLst/>
                    </a:prstGeom>
                  </pic:spPr>
                </pic:pic>
              </a:graphicData>
            </a:graphic>
          </wp:anchor>
        </w:drawing>
      </w:r>
      <w:r>
        <w:rPr>
          <w:lang w:eastAsia="zh-CN"/>
        </w:rPr>
        <w:t>规划商业用地采用点线面相结合形式布局。沿省道沿线布置商业带，局部放大形成较大商业点；各行政村内设置小型便民商店及电商网点</w:t>
      </w:r>
    </w:p>
    <w:p>
      <w:pPr>
        <w:pStyle w:val="3"/>
      </w:pPr>
      <w:bookmarkStart w:id="26" w:name="_Toc6405"/>
      <w:r>
        <w:t>第</w:t>
      </w:r>
      <w:r>
        <w:rPr>
          <w:rFonts w:hint="eastAsia"/>
        </w:rPr>
        <w:t>八</w:t>
      </w:r>
      <w:r>
        <w:t xml:space="preserve">节 </w:t>
      </w:r>
      <w:r>
        <w:rPr>
          <w:rFonts w:hint="eastAsia"/>
        </w:rPr>
        <w:t>公共安全设施配套</w:t>
      </w:r>
      <w:bookmarkEnd w:id="26"/>
    </w:p>
    <w:p>
      <w:pPr>
        <w:pStyle w:val="32"/>
        <w:ind w:firstLine="720"/>
        <w:rPr>
          <w:rFonts w:hint="default"/>
          <w:lang w:eastAsia="zh-CN"/>
        </w:rPr>
      </w:pPr>
      <w:r>
        <w:rPr>
          <w:lang w:eastAsia="zh-CN"/>
        </w:rPr>
        <w:t>规划以</w:t>
      </w:r>
      <w:r>
        <w:rPr>
          <w:rFonts w:hint="eastAsia"/>
          <w:lang w:val="en-US" w:eastAsia="zh-CN"/>
        </w:rPr>
        <w:t>主干道</w:t>
      </w:r>
      <w:r>
        <w:rPr>
          <w:lang w:eastAsia="zh-CN"/>
        </w:rPr>
        <w:t>作为一级疏散通道，次干道及部分支路作为二级疏散通道；依托</w:t>
      </w:r>
      <w:r>
        <w:rPr>
          <w:rFonts w:hint="eastAsia"/>
          <w:lang w:val="en-US" w:eastAsia="zh-CN"/>
        </w:rPr>
        <w:t>镇</w:t>
      </w:r>
      <w:r>
        <w:rPr>
          <w:lang w:eastAsia="zh-CN"/>
        </w:rPr>
        <w:t>人民政府作为防灾指挥中心；规划公园绿地、广场等空旷地方作为应急避难所。</w:t>
      </w:r>
    </w:p>
    <w:p>
      <w:pPr>
        <w:pStyle w:val="4"/>
        <w:numPr>
          <w:ilvl w:val="0"/>
          <w:numId w:val="10"/>
        </w:numPr>
      </w:pPr>
      <w:r>
        <w:rPr>
          <w:rFonts w:hint="eastAsia"/>
        </w:rPr>
        <w:t>抗震规划</w:t>
      </w:r>
    </w:p>
    <w:p>
      <w:pPr>
        <w:pStyle w:val="32"/>
        <w:ind w:firstLine="720"/>
        <w:rPr>
          <w:rFonts w:hint="default"/>
          <w:lang w:eastAsia="zh-CN"/>
        </w:rPr>
      </w:pPr>
      <w:bookmarkStart w:id="27" w:name="_Hlk183175861"/>
      <w:r>
        <w:rPr>
          <w:lang w:eastAsia="zh-CN"/>
        </w:rPr>
        <w:t>根据《中国地震动参数区划图》（GB18306-2015），</w:t>
      </w:r>
      <w:r>
        <w:rPr>
          <w:rFonts w:hint="eastAsia"/>
          <w:lang w:eastAsia="zh-CN"/>
        </w:rPr>
        <w:t>西渡镇</w:t>
      </w:r>
      <w:r>
        <w:rPr>
          <w:lang w:eastAsia="zh-CN"/>
        </w:rPr>
        <w:t>抗震设防烈度为Ⅵ度，生命线工程和重要的建、构筑物按Ⅶ度设防。学校、医院等人员密集场所的建设工程应提高1度抗震设防标准。</w:t>
      </w:r>
    </w:p>
    <w:p>
      <w:pPr>
        <w:pStyle w:val="32"/>
        <w:ind w:firstLine="720"/>
        <w:rPr>
          <w:rFonts w:hint="default"/>
          <w:lang w:eastAsia="zh-CN"/>
        </w:rPr>
      </w:pPr>
      <w:r>
        <w:rPr>
          <w:lang w:eastAsia="zh-CN"/>
        </w:rPr>
        <w:t>以</w:t>
      </w:r>
      <w:r>
        <w:rPr>
          <w:rFonts w:hint="eastAsia"/>
          <w:lang w:eastAsia="zh-CN"/>
        </w:rPr>
        <w:t>西渡镇</w:t>
      </w:r>
      <w:r>
        <w:rPr>
          <w:lang w:eastAsia="zh-CN"/>
        </w:rPr>
        <w:t>人民政府为核心，建立全乡防震减灾指挥中心，加强对建设工程抗震设防的管理，定期开展地震灾害综合防灾体系建设各项工作，不断推进地震灾害调查评价，监测预警、综合防治和应急体系建设。加强对已有地震监测设施及地震监测环境的保护，合理规划建设用地，避免对地震监测设施及监测环境造成破坏</w:t>
      </w:r>
      <w:bookmarkEnd w:id="27"/>
      <w:r>
        <w:rPr>
          <w:lang w:eastAsia="zh-CN"/>
        </w:rPr>
        <w:t>。</w:t>
      </w:r>
    </w:p>
    <w:p>
      <w:pPr>
        <w:pStyle w:val="4"/>
        <w:numPr>
          <w:ilvl w:val="0"/>
          <w:numId w:val="1"/>
        </w:numPr>
      </w:pPr>
      <w:r>
        <w:rPr>
          <w:rFonts w:hint="eastAsia"/>
        </w:rPr>
        <w:t>完善防洪排涝设施建设</w:t>
      </w:r>
    </w:p>
    <w:p>
      <w:pPr>
        <w:pStyle w:val="32"/>
        <w:ind w:firstLine="720"/>
        <w:rPr>
          <w:rFonts w:hint="default"/>
          <w:lang w:eastAsia="zh-CN"/>
        </w:rPr>
      </w:pPr>
      <w:r>
        <w:rPr>
          <w:rFonts w:hint="eastAsia"/>
          <w:lang w:eastAsia="zh-CN"/>
        </w:rPr>
        <w:t>西渡镇</w:t>
      </w:r>
      <w:r>
        <w:rPr>
          <w:lang w:eastAsia="zh-CN"/>
        </w:rPr>
        <w:t>划定</w:t>
      </w:r>
      <w:r>
        <w:rPr>
          <w:rFonts w:hint="eastAsia"/>
          <w:lang w:val="en-US" w:eastAsia="zh-CN"/>
        </w:rPr>
        <w:t>蒸水</w:t>
      </w:r>
      <w:r>
        <w:rPr>
          <w:lang w:eastAsia="zh-CN"/>
        </w:rPr>
        <w:t>洪涝风险管控线，规划采用10—20年一遇建设排涝设施，利用沟、渠、溪、河与地形采用重力自排。</w:t>
      </w:r>
      <w:r>
        <w:rPr>
          <w:rFonts w:hint="eastAsia"/>
          <w:lang w:eastAsia="zh-CN"/>
        </w:rPr>
        <w:t>镇政府</w:t>
      </w:r>
      <w:r>
        <w:rPr>
          <w:lang w:eastAsia="zh-CN"/>
        </w:rPr>
        <w:t>驻地按20年一遇的防洪标准，村庄按10年一遇的防洪标准，排涝标准按10年一遇24小时暴雨24小时排除。</w:t>
      </w:r>
    </w:p>
    <w:p>
      <w:pPr>
        <w:pStyle w:val="4"/>
        <w:numPr>
          <w:ilvl w:val="0"/>
          <w:numId w:val="1"/>
        </w:numPr>
      </w:pPr>
      <w:r>
        <w:t>加强地质灾害防治</w:t>
      </w:r>
    </w:p>
    <w:p>
      <w:pPr>
        <w:pStyle w:val="32"/>
        <w:ind w:firstLine="720"/>
        <w:rPr>
          <w:rFonts w:hint="default"/>
          <w:lang w:eastAsia="zh-CN"/>
        </w:rPr>
      </w:pPr>
      <w:r>
        <w:rPr>
          <w:lang w:eastAsia="zh-CN"/>
        </w:rPr>
        <w:t>重点防治滑坡、崩塌、泥石流和地面塌陷等地质灾害，建立地质灾害治理与预防相结合的防灾体系。地质灾害易发区100%完成搬迁避让及工程治理，100%开展监测预警。加强地质灾害减灾管理，建立健全中心城区地质灾害防治的法律法规和管理制度，建立县、乡镇、受灾主体3级地质灾害应急系统，实施地质灾害防治的规划管理；完善建设工程地质灾害安全性评价制度，实施重点地区地质灾害防治工程，保证城镇和重大工程安全。</w:t>
      </w:r>
    </w:p>
    <w:p>
      <w:pPr>
        <w:pStyle w:val="32"/>
        <w:ind w:firstLine="720"/>
        <w:rPr>
          <w:rFonts w:hint="default"/>
          <w:lang w:val="en-US" w:eastAsia="zh-CN"/>
        </w:rPr>
      </w:pPr>
      <w:r>
        <w:rPr>
          <w:rFonts w:hint="eastAsia"/>
          <w:lang w:eastAsia="zh-CN"/>
        </w:rPr>
        <w:t>根据2024年地灾隐患点台账中未来发展不稳定隐患点，西渡镇主要有崩塌1种地灾类型，共1处隐患点，</w:t>
      </w:r>
      <w:r>
        <w:rPr>
          <w:rFonts w:hint="eastAsia"/>
          <w:lang w:val="en-US" w:eastAsia="zh-CN"/>
        </w:rPr>
        <w:t>为西渡镇三联社区全顺楼崩塌点。</w:t>
      </w:r>
    </w:p>
    <w:p>
      <w:pPr>
        <w:pStyle w:val="4"/>
        <w:numPr>
          <w:ilvl w:val="0"/>
          <w:numId w:val="1"/>
        </w:numPr>
      </w:pPr>
      <w:r>
        <w:t>完善全域城乡消防救援体系</w:t>
      </w:r>
    </w:p>
    <w:p>
      <w:pPr>
        <w:pStyle w:val="32"/>
        <w:ind w:firstLine="720"/>
        <w:rPr>
          <w:rFonts w:hint="default"/>
          <w:lang w:eastAsia="zh-CN"/>
        </w:rPr>
      </w:pPr>
      <w:r>
        <w:rPr>
          <w:rFonts w:hint="eastAsia"/>
          <w:lang w:val="en-US" w:eastAsia="zh-CN"/>
        </w:rPr>
        <w:t>完善</w:t>
      </w:r>
      <w:r>
        <w:rPr>
          <w:rFonts w:hint="eastAsia"/>
          <w:lang w:eastAsia="zh-CN"/>
        </w:rPr>
        <w:t>镇政府</w:t>
      </w:r>
      <w:r>
        <w:rPr>
          <w:lang w:eastAsia="zh-CN"/>
        </w:rPr>
        <w:t>驻地消防指挥中心，</w:t>
      </w:r>
      <w:r>
        <w:rPr>
          <w:rFonts w:hint="eastAsia"/>
          <w:lang w:val="en-US" w:eastAsia="zh-CN"/>
        </w:rPr>
        <w:t>位于江山社区、米子社区、三联社区、槐花社区</w:t>
      </w:r>
      <w:r>
        <w:rPr>
          <w:lang w:eastAsia="zh-CN"/>
        </w:rPr>
        <w:t>面积为</w:t>
      </w:r>
      <w:r>
        <w:rPr>
          <w:rFonts w:hint="eastAsia"/>
          <w:lang w:val="en-US" w:eastAsia="zh-CN"/>
        </w:rPr>
        <w:t>3.67</w:t>
      </w:r>
      <w:r>
        <w:rPr>
          <w:lang w:eastAsia="zh-CN"/>
        </w:rPr>
        <w:t>公顷。在消防指挥中心建立消防通信指挥中心，指挥中心要具有受理火警、统一调度指挥、提供信息支援等功能。</w:t>
      </w:r>
    </w:p>
    <w:p>
      <w:pPr>
        <w:pStyle w:val="4"/>
        <w:numPr>
          <w:ilvl w:val="0"/>
          <w:numId w:val="1"/>
        </w:numPr>
      </w:pPr>
      <w:r>
        <w:t>加强人防建设与军事设施保护设施建设</w:t>
      </w:r>
    </w:p>
    <w:p>
      <w:pPr>
        <w:pStyle w:val="32"/>
        <w:ind w:firstLine="720"/>
        <w:rPr>
          <w:rFonts w:hint="default"/>
          <w:lang w:eastAsia="zh-CN"/>
        </w:rPr>
      </w:pPr>
      <w:r>
        <w:rPr>
          <w:lang w:eastAsia="zh-CN"/>
        </w:rPr>
        <w:t>县域构建“县-乡镇-村”三级一体的人防指挥体系，乡镇和村级的人防指挥工程位于本乡乡人民政府和村委会。结合乡交通设施建设，新建和完善疏散干道、连接通道工程，补齐人防工程短板，构建以人防指挥工程、医疗救护工程、防空专业队工程、人员掩蔽工程、物资储备供电供水等配套工程组成的功能完善的防护体系。</w:t>
      </w:r>
    </w:p>
    <w:p>
      <w:pPr>
        <w:pStyle w:val="4"/>
        <w:numPr>
          <w:ilvl w:val="0"/>
          <w:numId w:val="1"/>
        </w:numPr>
      </w:pPr>
      <w:r>
        <w:t>疏散通道规划</w:t>
      </w:r>
    </w:p>
    <w:p>
      <w:pPr>
        <w:pStyle w:val="32"/>
        <w:ind w:firstLine="720"/>
        <w:rPr>
          <w:rFonts w:hint="default"/>
          <w:lang w:eastAsia="zh-CN"/>
        </w:rPr>
      </w:pPr>
      <w:r>
        <w:rPr>
          <w:lang w:eastAsia="zh-CN"/>
        </w:rPr>
        <w:t>规划以</w:t>
      </w:r>
      <w:r>
        <w:rPr>
          <w:rFonts w:hint="eastAsia"/>
          <w:lang w:val="en-US" w:eastAsia="zh-CN"/>
        </w:rPr>
        <w:t>解放大道、洪山大道等</w:t>
      </w:r>
      <w:r>
        <w:rPr>
          <w:lang w:eastAsia="zh-CN"/>
        </w:rPr>
        <w:t>作为一级疏散通道，次干道及部分支路作为二级疏散通道；依托</w:t>
      </w:r>
      <w:r>
        <w:rPr>
          <w:rFonts w:hint="eastAsia"/>
          <w:lang w:val="en-US" w:eastAsia="zh-CN"/>
        </w:rPr>
        <w:t>镇</w:t>
      </w:r>
      <w:r>
        <w:rPr>
          <w:lang w:eastAsia="zh-CN"/>
        </w:rPr>
        <w:t>人民政府作为防灾指挥中心；规划公园绿地、广场等空旷地方作为应急避难所。</w:t>
      </w:r>
    </w:p>
    <w:p>
      <w:pPr>
        <w:pStyle w:val="4"/>
        <w:numPr>
          <w:ilvl w:val="0"/>
          <w:numId w:val="1"/>
        </w:numPr>
      </w:pPr>
      <w:r>
        <w:t>提高安全保障水平和韧性应急能力</w:t>
      </w:r>
    </w:p>
    <w:p>
      <w:pPr>
        <w:pStyle w:val="32"/>
        <w:ind w:firstLine="720"/>
        <w:rPr>
          <w:rFonts w:ascii="黑体" w:hAnsi="黑体" w:eastAsia="黑体"/>
          <w:spacing w:val="-1"/>
          <w:sz w:val="28"/>
          <w:szCs w:val="28"/>
          <w:lang w:eastAsia="zh-CN"/>
          <w14:textOutline w14:w="5105" w14:cap="sq" w14:cmpd="sng" w14:algn="ctr">
            <w14:solidFill>
              <w14:srgbClr w14:val="000000"/>
            </w14:solidFill>
            <w14:prstDash w14:val="solid"/>
            <w14:bevel/>
          </w14:textOutline>
        </w:rPr>
      </w:pPr>
      <w:r>
        <w:rPr>
          <w:lang w:eastAsia="zh-CN"/>
        </w:rPr>
        <w:t>建立综合防灾协调机制，共同应对城市重大灾害。加强对气象、环保、地震、防汛、地质、突发公共医疗卫生事件以及重特大火灾等灾害的监测预警，建立长期的监测与评估体系和完备的应急预案；加强防灾专业技术储备及人员配备，加强救灾统一指挥和有效协调，重点建立完善会商、部门联动、信息报送、督查与责任追究等工作机制，形成高效的指挥体系；推进应急救灾物资储备系统建设。建立</w:t>
      </w:r>
      <w:r>
        <w:rPr>
          <w:rFonts w:hint="eastAsia"/>
          <w:lang w:eastAsia="zh-CN"/>
        </w:rPr>
        <w:t>镇政府</w:t>
      </w:r>
      <w:r>
        <w:rPr>
          <w:lang w:eastAsia="zh-CN"/>
        </w:rPr>
        <w:t>驻地、中心村、一般村三级救灾物资储备库，形成救灾物资、生活必需品、医药物资和能源物资储备库网络体系。完善公路、水路多式联运模式，加强应急物流基地和配送中心建设。救灾设备应实行部门分散保存管理，灾时统一调配使用；生活用品类物资采用市场商品流动供应方式，利用物流予以保证；增强疾病预防控制、医疗救治、运行保障和应急指挥能力。健全以镇中心卫生院为核心、各村卫生室为网底，防治结合、军民融合的疾控防治体系，建立上下联动的分工协作机制。</w:t>
      </w:r>
    </w:p>
    <w:p>
      <w:pPr>
        <w:pStyle w:val="3"/>
      </w:pPr>
      <w:bookmarkStart w:id="28" w:name="_Toc30836"/>
      <w:r>
        <w:rPr>
          <w:rFonts w:ascii="黑体" w:hAnsi="黑体" w:eastAsia="黑体"/>
          <w:spacing w:val="-1"/>
          <w:sz w:val="28"/>
          <w:szCs w:val="28"/>
          <w:lang w:eastAsia="zh-CN"/>
          <w14:textOutline w14:w="5105" w14:cap="sq" w14:cmpd="sng" w14:algn="ctr">
            <w14:solidFill>
              <w14:srgbClr w14:val="000000"/>
            </w14:solidFill>
            <w14:prstDash w14:val="solid"/>
            <w14:bevel/>
          </w14:textOutline>
        </w:rPr>
        <w:drawing>
          <wp:anchor distT="0" distB="0" distL="114300" distR="114300" simplePos="0" relativeHeight="251667456" behindDoc="0" locked="0" layoutInCell="1" allowOverlap="1">
            <wp:simplePos x="0" y="0"/>
            <wp:positionH relativeFrom="column">
              <wp:posOffset>644525</wp:posOffset>
            </wp:positionH>
            <wp:positionV relativeFrom="paragraph">
              <wp:posOffset>-80645</wp:posOffset>
            </wp:positionV>
            <wp:extent cx="4124960" cy="5830570"/>
            <wp:effectExtent l="0" t="0" r="8890" b="17780"/>
            <wp:wrapTopAndBottom/>
            <wp:docPr id="19" name="图片 19" descr="30城镇开发边界范围综合防灾减灾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0城镇开发边界范围综合防灾减灾规划图"/>
                    <pic:cNvPicPr>
                      <a:picLocks noChangeAspect="1"/>
                    </pic:cNvPicPr>
                  </pic:nvPicPr>
                  <pic:blipFill>
                    <a:blip r:embed="rId32"/>
                    <a:stretch>
                      <a:fillRect/>
                    </a:stretch>
                  </pic:blipFill>
                  <pic:spPr>
                    <a:xfrm>
                      <a:off x="0" y="0"/>
                      <a:ext cx="4124960" cy="5830570"/>
                    </a:xfrm>
                    <a:prstGeom prst="rect">
                      <a:avLst/>
                    </a:prstGeom>
                  </pic:spPr>
                </pic:pic>
              </a:graphicData>
            </a:graphic>
          </wp:anchor>
        </w:drawing>
      </w:r>
      <w:r>
        <w:t>第</w:t>
      </w:r>
      <w:r>
        <w:rPr>
          <w:rFonts w:hint="eastAsia"/>
        </w:rPr>
        <w:t>九</w:t>
      </w:r>
      <w:r>
        <w:t xml:space="preserve">节 </w:t>
      </w:r>
      <w:r>
        <w:rPr>
          <w:rFonts w:hint="eastAsia"/>
        </w:rPr>
        <w:t>村庄规划指引</w:t>
      </w:r>
      <w:bookmarkEnd w:id="28"/>
    </w:p>
    <w:p>
      <w:pPr>
        <w:pStyle w:val="4"/>
        <w:numPr>
          <w:ilvl w:val="0"/>
          <w:numId w:val="11"/>
        </w:numPr>
      </w:pPr>
      <w:r>
        <w:rPr>
          <w:rFonts w:hint="eastAsia"/>
        </w:rPr>
        <w:t>传导约束性指标</w:t>
      </w:r>
    </w:p>
    <w:p>
      <w:pPr>
        <w:pStyle w:val="32"/>
        <w:ind w:firstLine="720"/>
        <w:rPr>
          <w:rFonts w:hint="default"/>
          <w:lang w:eastAsia="zh-CN"/>
        </w:rPr>
      </w:pPr>
      <w:r>
        <w:rPr>
          <w:lang w:eastAsia="zh-CN"/>
        </w:rPr>
        <w:t>以《</w:t>
      </w:r>
      <w:r>
        <w:rPr>
          <w:rFonts w:hint="eastAsia"/>
          <w:lang w:eastAsia="zh-CN"/>
        </w:rPr>
        <w:t>衡阳县</w:t>
      </w:r>
      <w:r>
        <w:rPr>
          <w:lang w:eastAsia="zh-CN"/>
        </w:rPr>
        <w:t>国土空间总体规划（2021-2035年）》为依据，将城镇开发边界规模、耕地保护目标面积、永久基本农田保护面积、生态保护红线控制面积分解到各个村，同时根据各村发展诉求合理下达各村村庄建设用地面积（详见附录表5）。</w:t>
      </w:r>
    </w:p>
    <w:p>
      <w:pPr>
        <w:pStyle w:val="4"/>
        <w:numPr>
          <w:ilvl w:val="0"/>
          <w:numId w:val="1"/>
        </w:numPr>
      </w:pPr>
      <w:r>
        <w:rPr>
          <w:rFonts w:hint="eastAsia"/>
        </w:rPr>
        <w:t>村庄发展建设引导</w:t>
      </w:r>
    </w:p>
    <w:p>
      <w:pPr>
        <w:pStyle w:val="32"/>
        <w:ind w:firstLine="720"/>
        <w:rPr>
          <w:rFonts w:hint="default"/>
          <w:lang w:eastAsia="zh-CN"/>
        </w:rPr>
      </w:pPr>
      <w:r>
        <w:rPr>
          <w:rFonts w:hint="default"/>
          <w:lang w:eastAsia="zh-CN"/>
        </w:rPr>
        <w:drawing>
          <wp:anchor distT="0" distB="0" distL="114300" distR="114300" simplePos="0" relativeHeight="251662336" behindDoc="0" locked="0" layoutInCell="1" allowOverlap="1">
            <wp:simplePos x="0" y="0"/>
            <wp:positionH relativeFrom="column">
              <wp:posOffset>902335</wp:posOffset>
            </wp:positionH>
            <wp:positionV relativeFrom="paragraph">
              <wp:posOffset>3223260</wp:posOffset>
            </wp:positionV>
            <wp:extent cx="4029075" cy="5696585"/>
            <wp:effectExtent l="0" t="0" r="9525" b="18415"/>
            <wp:wrapTopAndBottom/>
            <wp:docPr id="10" name="图片 10" descr="10 村庄布点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0 村庄布点规划图"/>
                    <pic:cNvPicPr>
                      <a:picLocks noChangeAspect="1"/>
                    </pic:cNvPicPr>
                  </pic:nvPicPr>
                  <pic:blipFill>
                    <a:blip r:embed="rId33"/>
                    <a:stretch>
                      <a:fillRect/>
                    </a:stretch>
                  </pic:blipFill>
                  <pic:spPr>
                    <a:xfrm>
                      <a:off x="0" y="0"/>
                      <a:ext cx="4029075" cy="5696585"/>
                    </a:xfrm>
                    <a:prstGeom prst="rect">
                      <a:avLst/>
                    </a:prstGeom>
                  </pic:spPr>
                </pic:pic>
              </a:graphicData>
            </a:graphic>
          </wp:anchor>
        </w:drawing>
      </w:r>
      <w:r>
        <w:rPr>
          <w:rFonts w:hint="eastAsia"/>
          <w:lang w:eastAsia="zh-CN"/>
        </w:rPr>
        <w:t>涉及村庄分类布局的为22个行政村，</w:t>
      </w:r>
      <w:r>
        <w:rPr>
          <w:rFonts w:hint="eastAsia"/>
          <w:highlight w:val="none"/>
          <w:lang w:eastAsia="zh-CN"/>
        </w:rPr>
        <w:t>其中城郊融合类村庄1</w:t>
      </w:r>
      <w:r>
        <w:rPr>
          <w:rFonts w:hint="eastAsia"/>
          <w:highlight w:val="none"/>
          <w:lang w:val="en-US" w:eastAsia="zh-CN"/>
        </w:rPr>
        <w:t>2</w:t>
      </w:r>
      <w:r>
        <w:rPr>
          <w:rFonts w:hint="eastAsia"/>
          <w:highlight w:val="none"/>
          <w:lang w:eastAsia="zh-CN"/>
        </w:rPr>
        <w:t>个，集聚提升类村庄1</w:t>
      </w:r>
      <w:r>
        <w:rPr>
          <w:rFonts w:hint="eastAsia"/>
          <w:highlight w:val="none"/>
          <w:lang w:val="en-US" w:eastAsia="zh-CN"/>
        </w:rPr>
        <w:t>0</w:t>
      </w:r>
      <w:r>
        <w:rPr>
          <w:rFonts w:hint="eastAsia"/>
          <w:highlight w:val="none"/>
          <w:lang w:eastAsia="zh-CN"/>
        </w:rPr>
        <w:t>个。</w:t>
      </w:r>
      <w:r>
        <w:rPr>
          <w:rFonts w:hint="eastAsia"/>
          <w:lang w:eastAsia="zh-CN"/>
        </w:rPr>
        <w:t>鼓励构建乡村社区生活圈，统筹布局满足乡村居民日常生活、生产需求的各类服务要素。规划北部以梅花村、陡岭村为服务核心，打造农旅融合型村庄，承接园区相关设施配套；规划南部以豆陂村、青里村、新桥村、振兴村联动，依托蒸水流域沿线连片形成县城南部后花园，辐射带动一二三产业稳步发展，同时为周边居民休闲健身提供便利</w:t>
      </w:r>
      <w:r>
        <w:rPr>
          <w:lang w:eastAsia="zh-CN"/>
        </w:rPr>
        <w:t>。</w:t>
      </w:r>
    </w:p>
    <w:p>
      <w:pPr>
        <w:pStyle w:val="3"/>
      </w:pPr>
      <w:bookmarkStart w:id="29" w:name="_Toc20680"/>
      <w:r>
        <w:t>第</w:t>
      </w:r>
      <w:r>
        <w:rPr>
          <w:rFonts w:hint="eastAsia"/>
        </w:rPr>
        <w:t>十</w:t>
      </w:r>
      <w:r>
        <w:t xml:space="preserve">节 </w:t>
      </w:r>
      <w:bookmarkStart w:id="30" w:name="_Toc169256317"/>
      <w:r>
        <w:t>全域详细规划编制单元</w:t>
      </w:r>
      <w:bookmarkEnd w:id="29"/>
      <w:bookmarkEnd w:id="30"/>
    </w:p>
    <w:p>
      <w:pPr>
        <w:pStyle w:val="4"/>
        <w:numPr>
          <w:ilvl w:val="0"/>
          <w:numId w:val="12"/>
        </w:numPr>
      </w:pPr>
      <w:bookmarkStart w:id="31" w:name="_Hlk160631995"/>
      <w:r>
        <w:rPr>
          <w:rFonts w:hint="eastAsia"/>
          <w:lang w:eastAsia="zh-CN"/>
        </w:rPr>
        <w:t>镇政府</w:t>
      </w:r>
      <w:r>
        <w:t>驻地综合服务单元</w:t>
      </w:r>
    </w:p>
    <w:p>
      <w:pPr>
        <w:pStyle w:val="32"/>
        <w:ind w:firstLine="720"/>
        <w:rPr>
          <w:rFonts w:hint="default"/>
          <w:lang w:eastAsia="zh-CN"/>
        </w:rPr>
      </w:pPr>
      <w:r>
        <w:rPr>
          <w:lang w:eastAsia="zh-CN"/>
        </w:rPr>
        <w:t>规划</w:t>
      </w:r>
      <w:r>
        <w:rPr>
          <w:rFonts w:hint="eastAsia"/>
          <w:lang w:eastAsia="zh-CN"/>
        </w:rPr>
        <w:t>镇政府</w:t>
      </w:r>
      <w:r>
        <w:rPr>
          <w:lang w:eastAsia="zh-CN"/>
        </w:rPr>
        <w:t>驻地面积为</w:t>
      </w:r>
      <w:r>
        <w:rPr>
          <w:rFonts w:hint="eastAsia" w:ascii="仿宋" w:hAnsi="仿宋"/>
          <w:szCs w:val="24"/>
          <w:highlight w:val="none"/>
          <w:lang w:val="en-US" w:eastAsia="zh-CN"/>
        </w:rPr>
        <w:t>5197.02</w:t>
      </w:r>
      <w:r>
        <w:rPr>
          <w:rFonts w:ascii="仿宋" w:hAnsi="仿宋"/>
          <w:szCs w:val="24"/>
          <w:lang w:eastAsia="zh-CN"/>
        </w:rPr>
        <w:t>公顷</w:t>
      </w:r>
      <w:r>
        <w:rPr>
          <w:lang w:eastAsia="zh-CN"/>
        </w:rPr>
        <w:t>。根据城镇发展目标，将本单元整体定位为“居住生活、综合服务</w:t>
      </w:r>
      <w:r>
        <w:rPr>
          <w:rFonts w:hint="eastAsia"/>
          <w:lang w:eastAsia="zh-CN"/>
        </w:rPr>
        <w:t>、</w:t>
      </w:r>
      <w:r>
        <w:rPr>
          <w:rFonts w:hint="eastAsia"/>
          <w:lang w:val="en-US" w:eastAsia="zh-CN"/>
        </w:rPr>
        <w:t>商业商务、工业发展、交通枢纽</w:t>
      </w:r>
      <w:r>
        <w:rPr>
          <w:lang w:eastAsia="zh-CN"/>
        </w:rPr>
        <w:t>”，主要吸纳周边村民集中居住，提供高品质公共服务和公共空间，对单元内居住用地、公共服务设施、公园绿地等开展优化布局。</w:t>
      </w:r>
    </w:p>
    <w:p>
      <w:pPr>
        <w:pStyle w:val="4"/>
        <w:numPr>
          <w:ilvl w:val="0"/>
          <w:numId w:val="1"/>
        </w:numPr>
      </w:pPr>
      <w:r>
        <w:t>乡村单元</w:t>
      </w:r>
    </w:p>
    <w:p>
      <w:pPr>
        <w:pStyle w:val="32"/>
        <w:ind w:firstLine="720"/>
        <w:rPr>
          <w:lang w:eastAsia="zh-CN"/>
        </w:rPr>
      </w:pPr>
      <w:r>
        <w:rPr>
          <w:lang w:eastAsia="zh-CN"/>
        </w:rPr>
        <w:t>其余乡村单元以行政村为划分单元，共</w:t>
      </w:r>
      <w:r>
        <w:rPr>
          <w:rFonts w:hint="eastAsia"/>
          <w:lang w:val="en-US" w:eastAsia="zh-CN"/>
        </w:rPr>
        <w:t>22</w:t>
      </w:r>
      <w:r>
        <w:rPr>
          <w:lang w:eastAsia="zh-CN"/>
        </w:rPr>
        <w:t>个乡村单元。</w:t>
      </w:r>
      <w:bookmarkStart w:id="32" w:name="_Hlk160632810"/>
      <w:r>
        <w:rPr>
          <w:lang w:eastAsia="zh-CN"/>
        </w:rPr>
        <w:t>该单元内如需编制下位规划，应充分考虑永久基本农田、生态保护红线的管控要求，同时严格控制新增经营类的建设用地规模，对现状建设用地进行减量化规划（详见附录表9）。</w:t>
      </w:r>
    </w:p>
    <w:p>
      <w:pPr>
        <w:pStyle w:val="4"/>
        <w:numPr>
          <w:ilvl w:val="0"/>
          <w:numId w:val="1"/>
        </w:numPr>
        <w:rPr>
          <w:rFonts w:hint="default"/>
          <w:lang w:eastAsia="zh-CN"/>
        </w:rPr>
      </w:pPr>
      <w:r>
        <w:rPr>
          <w:rFonts w:hint="default"/>
          <w:lang w:eastAsia="zh-CN"/>
        </w:rPr>
        <w:t>特殊管控单元</w:t>
      </w:r>
    </w:p>
    <w:p>
      <w:pPr>
        <w:pStyle w:val="32"/>
        <w:ind w:firstLine="720"/>
        <w:rPr>
          <w:rFonts w:hint="default"/>
          <w:lang w:val="en-US" w:eastAsia="zh-CN"/>
        </w:rPr>
      </w:pPr>
      <w:r>
        <w:rPr>
          <w:rFonts w:hint="default"/>
          <w:lang w:eastAsia="zh-CN"/>
        </w:rPr>
        <w:t>特殊管控单元需纳入全域规划，按区划单独或并入乡村单元划定，衔接 “三区三线”；用地方面，生产设施按需划（多层养殖符防疫），辅助设施限比例面积，禁转非农用途；生态上避生态区域、落实耕地进出平衡，控污染并修复</w:t>
      </w:r>
      <w:r>
        <w:rPr>
          <w:rFonts w:hint="eastAsia"/>
          <w:lang w:eastAsia="zh-CN"/>
        </w:rPr>
        <w:t>。</w:t>
      </w:r>
    </w:p>
    <w:p>
      <w:pPr>
        <w:rPr>
          <w:szCs w:val="22"/>
          <w:lang w:eastAsia="zh-CN"/>
        </w:rPr>
      </w:pPr>
      <w:r>
        <w:rPr>
          <w:szCs w:val="22"/>
          <w:lang w:eastAsia="zh-CN"/>
        </w:rPr>
        <w:br w:type="page"/>
      </w:r>
      <w:r>
        <w:rPr>
          <w:szCs w:val="22"/>
          <w:lang w:eastAsia="zh-CN"/>
        </w:rPr>
        <w:drawing>
          <wp:inline distT="0" distB="0" distL="114300" distR="114300">
            <wp:extent cx="6181725" cy="8736330"/>
            <wp:effectExtent l="0" t="0" r="9525" b="7620"/>
            <wp:docPr id="11" name="图片 11" descr="18 详细规划编制单元划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8 详细规划编制单元划分图"/>
                    <pic:cNvPicPr>
                      <a:picLocks noChangeAspect="1"/>
                    </pic:cNvPicPr>
                  </pic:nvPicPr>
                  <pic:blipFill>
                    <a:blip r:embed="rId34"/>
                    <a:stretch>
                      <a:fillRect/>
                    </a:stretch>
                  </pic:blipFill>
                  <pic:spPr>
                    <a:xfrm>
                      <a:off x="0" y="0"/>
                      <a:ext cx="6181725" cy="8736330"/>
                    </a:xfrm>
                    <a:prstGeom prst="rect">
                      <a:avLst/>
                    </a:prstGeom>
                  </pic:spPr>
                </pic:pic>
              </a:graphicData>
            </a:graphic>
          </wp:inline>
        </w:drawing>
      </w:r>
    </w:p>
    <w:bookmarkEnd w:id="31"/>
    <w:bookmarkEnd w:id="32"/>
    <w:p>
      <w:pPr>
        <w:pStyle w:val="2"/>
        <w:spacing w:before="326" w:after="326"/>
        <w:rPr>
          <w:lang w:eastAsia="zh-CN"/>
        </w:rPr>
      </w:pPr>
      <w:bookmarkStart w:id="33" w:name="_Toc14232"/>
      <w:r>
        <w:rPr>
          <w:lang w:eastAsia="zh-CN"/>
        </w:rPr>
        <w:t>第</w:t>
      </w:r>
      <w:r>
        <w:rPr>
          <w:rFonts w:hint="eastAsia"/>
          <w:lang w:eastAsia="zh-CN"/>
        </w:rPr>
        <w:t>七</w:t>
      </w:r>
      <w:r>
        <w:rPr>
          <w:lang w:eastAsia="zh-CN"/>
        </w:rPr>
        <w:t xml:space="preserve">章 </w:t>
      </w:r>
      <w:r>
        <w:rPr>
          <w:rFonts w:hint="eastAsia"/>
          <w:lang w:val="en-US" w:eastAsia="zh-CN"/>
        </w:rPr>
        <w:t>镇</w:t>
      </w:r>
      <w:r>
        <w:rPr>
          <w:rFonts w:hint="eastAsia"/>
          <w:lang w:eastAsia="zh-CN"/>
        </w:rPr>
        <w:t>政府驻地规划</w:t>
      </w:r>
      <w:bookmarkEnd w:id="33"/>
    </w:p>
    <w:p>
      <w:pPr>
        <w:pStyle w:val="3"/>
      </w:pPr>
      <w:bookmarkStart w:id="34" w:name="_Toc30899"/>
      <w:r>
        <w:t xml:space="preserve">第一节 </w:t>
      </w:r>
      <w:r>
        <w:rPr>
          <w:rFonts w:hint="eastAsia"/>
          <w:lang w:val="en-US" w:eastAsia="zh-CN"/>
        </w:rPr>
        <w:t>镇</w:t>
      </w:r>
      <w:r>
        <w:rPr>
          <w:rFonts w:hint="eastAsia"/>
        </w:rPr>
        <w:t>政府驻地规划范围</w:t>
      </w:r>
      <w:bookmarkEnd w:id="34"/>
    </w:p>
    <w:p>
      <w:pPr>
        <w:pStyle w:val="32"/>
        <w:ind w:firstLine="720"/>
        <w:rPr>
          <w:rFonts w:hint="default" w:ascii="Times New Roman" w:hAnsi="Times New Roman" w:eastAsia="仿宋_GB2312" w:cs="Arial"/>
          <w:b w:val="0"/>
          <w:snapToGrid w:val="0"/>
          <w:color w:val="000000"/>
          <w:kern w:val="0"/>
          <w:sz w:val="36"/>
          <w:szCs w:val="21"/>
          <w:lang w:val="en-US" w:eastAsia="zh-CN" w:bidi="ar-SA"/>
        </w:rPr>
        <w:sectPr>
          <w:headerReference r:id="rId16" w:type="first"/>
          <w:footerReference r:id="rId18" w:type="first"/>
          <w:headerReference r:id="rId15" w:type="default"/>
          <w:footerReference r:id="rId17" w:type="default"/>
          <w:pgSz w:w="11906" w:h="16838"/>
          <w:pgMar w:top="1440" w:right="1080" w:bottom="1440" w:left="1080" w:header="822" w:footer="907" w:gutter="0"/>
          <w:pgNumType w:fmt="decimal" w:start="1"/>
          <w:cols w:space="425" w:num="1"/>
          <w:titlePg/>
          <w:docGrid w:type="lines" w:linePitch="326" w:charSpace="0"/>
        </w:sectPr>
      </w:pPr>
      <w:r>
        <w:rPr>
          <w:rFonts w:hint="eastAsia"/>
          <w:lang w:eastAsia="zh-CN"/>
        </w:rPr>
        <w:t>西渡镇</w:t>
      </w:r>
      <w:r>
        <w:rPr>
          <w:lang w:eastAsia="zh-CN"/>
        </w:rPr>
        <w:t>政府驻地</w:t>
      </w:r>
      <w:r>
        <w:rPr>
          <w:rFonts w:hint="eastAsia"/>
          <w:lang w:val="en-US" w:eastAsia="zh-CN"/>
        </w:rPr>
        <w:t>范围与已批复的《衡阳县国土空间规划（2021-2035年）》划定的中心城区范围（西渡镇范围内）一致，面积</w:t>
      </w:r>
      <w:r>
        <w:rPr>
          <w:rFonts w:hint="eastAsia"/>
          <w:lang w:eastAsia="zh-CN"/>
        </w:rPr>
        <w:t>为</w:t>
      </w:r>
      <w:r>
        <w:rPr>
          <w:rFonts w:hint="eastAsia"/>
          <w:lang w:val="en-US" w:eastAsia="zh-CN"/>
        </w:rPr>
        <w:t>5197.02</w:t>
      </w:r>
      <w:r>
        <w:rPr>
          <w:rFonts w:hint="eastAsia"/>
          <w:lang w:eastAsia="zh-CN"/>
        </w:rPr>
        <w:t>公顷。北侧至怀邵衡客运专线和衡邵高速，东侧至西渡镇行政边界，南侧以规划城南大道为界，西侧至衡阳县一中</w:t>
      </w:r>
      <w:r>
        <w:rPr>
          <w:lang w:eastAsia="zh-CN"/>
        </w:rPr>
        <w:t>。</w:t>
      </w:r>
      <w:r>
        <w:rPr>
          <w:rFonts w:hint="eastAsia"/>
          <w:lang w:val="en-US" w:eastAsia="zh-CN"/>
        </w:rPr>
        <w:t>本次西渡镇政府驻地范围完整继承已批复的《衡阳县国土空间总体规划（2021-2035年）》内中心城区规划的内容。</w:t>
      </w:r>
      <w:r>
        <w:rPr>
          <w:rFonts w:hint="eastAsia" w:ascii="Times New Roman" w:hAnsi="Times New Roman" w:eastAsia="仿宋_GB2312" w:cs="Arial"/>
          <w:b w:val="0"/>
          <w:snapToGrid w:val="0"/>
          <w:color w:val="000000"/>
          <w:kern w:val="0"/>
          <w:sz w:val="36"/>
          <w:szCs w:val="21"/>
          <w:lang w:val="en-US" w:eastAsia="zh-CN" w:bidi="ar-SA"/>
        </w:rPr>
        <w:t>西渡镇政府驻地范围</w:t>
      </w:r>
      <w:r>
        <w:rPr>
          <w:rFonts w:hint="eastAsia" w:cs="Arial"/>
          <w:b w:val="0"/>
          <w:snapToGrid w:val="0"/>
          <w:color w:val="000000"/>
          <w:kern w:val="0"/>
          <w:sz w:val="36"/>
          <w:szCs w:val="21"/>
          <w:lang w:val="en-US" w:eastAsia="zh-CN" w:bidi="ar-SA"/>
        </w:rPr>
        <w:t>规划以已批复的《衡阳县国土空间总体规划</w:t>
      </w:r>
      <w:r>
        <w:rPr>
          <w:rFonts w:hint="eastAsia"/>
          <w:lang w:val="en-US" w:eastAsia="zh-CN"/>
        </w:rPr>
        <w:t>（2021-2035年）</w:t>
      </w:r>
      <w:r>
        <w:rPr>
          <w:rFonts w:hint="eastAsia" w:cs="Arial"/>
          <w:b w:val="0"/>
          <w:snapToGrid w:val="0"/>
          <w:color w:val="000000"/>
          <w:kern w:val="0"/>
          <w:sz w:val="36"/>
          <w:szCs w:val="21"/>
          <w:lang w:val="en-US" w:eastAsia="zh-CN" w:bidi="ar-SA"/>
        </w:rPr>
        <w:t>》内中心城区规划的内容为准。</w:t>
      </w:r>
    </w:p>
    <w:p>
      <w:pPr>
        <w:pStyle w:val="2"/>
        <w:spacing w:before="326" w:after="326"/>
        <w:rPr>
          <w:lang w:eastAsia="zh-CN"/>
        </w:rPr>
      </w:pPr>
      <w:bookmarkStart w:id="35" w:name="_Toc17906"/>
      <w:r>
        <w:rPr>
          <w:lang w:eastAsia="zh-CN"/>
        </w:rPr>
        <w:t>第</w:t>
      </w:r>
      <w:r>
        <w:rPr>
          <w:rFonts w:hint="eastAsia"/>
          <w:lang w:eastAsia="zh-CN"/>
        </w:rPr>
        <w:t>八</w:t>
      </w:r>
      <w:r>
        <w:rPr>
          <w:lang w:eastAsia="zh-CN"/>
        </w:rPr>
        <w:t xml:space="preserve">章 </w:t>
      </w:r>
      <w:r>
        <w:rPr>
          <w:rFonts w:hint="eastAsia"/>
          <w:lang w:eastAsia="zh-CN"/>
        </w:rPr>
        <w:t>乡镇风貌设计</w:t>
      </w:r>
      <w:bookmarkEnd w:id="35"/>
    </w:p>
    <w:p>
      <w:pPr>
        <w:pStyle w:val="3"/>
      </w:pPr>
      <w:bookmarkStart w:id="36" w:name="_Toc6386"/>
      <w:r>
        <w:rPr>
          <w:rFonts w:hint="eastAsia"/>
        </w:rPr>
        <w:t>第一节 总体要求</w:t>
      </w:r>
      <w:bookmarkEnd w:id="36"/>
    </w:p>
    <w:p>
      <w:pPr>
        <w:pStyle w:val="32"/>
        <w:ind w:firstLine="720"/>
        <w:rPr>
          <w:rFonts w:hint="default"/>
          <w:lang w:eastAsia="zh-CN"/>
        </w:rPr>
      </w:pPr>
      <w:r>
        <w:rPr>
          <w:lang w:eastAsia="zh-CN"/>
        </w:rPr>
        <w:t>乡村风貌设计应满足人民群众对城市空间实用、安全、美观、舒适的要求，创造宜人的城市空间环境。同时尊重</w:t>
      </w:r>
      <w:r>
        <w:rPr>
          <w:rFonts w:hint="eastAsia"/>
          <w:lang w:eastAsia="zh-CN"/>
        </w:rPr>
        <w:t>西渡镇</w:t>
      </w:r>
      <w:r>
        <w:rPr>
          <w:lang w:eastAsia="zh-CN"/>
        </w:rPr>
        <w:t>自然人文特征，在保护的基础上挖掘利用，注重城市空间品质营造、延续城市历史文脉，突出个性特征打造富有特色白族文化小镇风貌。明确风貌定位和格局结构，对国土全域空间进行整体性、框架性、战略性的提炼。</w:t>
      </w:r>
    </w:p>
    <w:p>
      <w:pPr>
        <w:pStyle w:val="3"/>
      </w:pPr>
      <w:bookmarkStart w:id="37" w:name="_Toc27239"/>
      <w:r>
        <w:rPr>
          <w:rFonts w:hint="eastAsia"/>
        </w:rPr>
        <w:t xml:space="preserve">第二节 </w:t>
      </w:r>
      <w:r>
        <w:rPr>
          <w:rFonts w:hint="eastAsia"/>
          <w:lang w:val="en-US" w:eastAsia="zh-CN"/>
        </w:rPr>
        <w:t>镇</w:t>
      </w:r>
      <w:r>
        <w:rPr>
          <w:rFonts w:hint="eastAsia"/>
        </w:rPr>
        <w:t>政府驻地设计指引</w:t>
      </w:r>
      <w:bookmarkEnd w:id="37"/>
    </w:p>
    <w:p>
      <w:pPr>
        <w:pStyle w:val="4"/>
        <w:numPr>
          <w:ilvl w:val="0"/>
          <w:numId w:val="13"/>
        </w:numPr>
        <w:rPr>
          <w:rFonts w:hint="eastAsia"/>
          <w:lang w:val="en-US" w:eastAsia="zh-CN"/>
        </w:rPr>
      </w:pPr>
      <w:r>
        <w:rPr>
          <w:rFonts w:hint="eastAsia"/>
          <w:lang w:val="en-US" w:eastAsia="zh-CN"/>
        </w:rPr>
        <w:t>乡镇风貌控制引导</w:t>
      </w:r>
    </w:p>
    <w:p>
      <w:pPr>
        <w:pStyle w:val="32"/>
        <w:ind w:firstLine="720"/>
        <w:rPr>
          <w:rFonts w:hint="eastAsia"/>
          <w:lang w:eastAsia="zh-CN"/>
        </w:rPr>
      </w:pPr>
      <w:r>
        <w:rPr>
          <w:rFonts w:hint="eastAsia"/>
          <w:lang w:eastAsia="zh-CN"/>
        </w:rPr>
        <w:t>规划打造“一心两带四轴三区”的总体风貌。“一心”即以英睦公园为核心的城市绿心；“两带”即沿蒸水滨水休闲景观带、沿清水公园—英睦公园—两里塘公园形成的活力绿带；“四轴”即洪山路景观轴、船山大道景观轴、人和路景观轴、解放大道景观轴；“三区”即老城风貌区、新城风貌区、产业园区风貌区。</w:t>
      </w:r>
    </w:p>
    <w:p>
      <w:pPr>
        <w:pStyle w:val="32"/>
        <w:ind w:firstLine="720"/>
        <w:rPr>
          <w:rFonts w:hint="eastAsia"/>
          <w:lang w:eastAsia="zh-CN"/>
        </w:rPr>
      </w:pPr>
      <w:r>
        <w:rPr>
          <w:rFonts w:hint="eastAsia"/>
          <w:lang w:eastAsia="zh-CN"/>
        </w:rPr>
        <w:t>蒸水滨水休闲景观带。由西向东串联蒸水生态公园、蒸水湾公园、中洲公园、船山广场、五福广场，向东与衡阳市相连，打造衡阳县至衡阳市的蒸水滨水休闲景观带水上游览路线。设置游船码头，结合中洲公园、船山广场设置特色文化休闲节点，串联文化资源及绿色游憩空间，共同构建文化主题路径。沿河设置商业地标和体育中心等公共建筑，构建城市天际轮廓线。打通提升通往水岸的景观街道，强化城市与滨水空间的活动联系和视觉联系。</w:t>
      </w:r>
    </w:p>
    <w:p>
      <w:pPr>
        <w:pStyle w:val="32"/>
        <w:ind w:firstLine="720"/>
        <w:rPr>
          <w:rFonts w:hint="eastAsia"/>
          <w:lang w:eastAsia="zh-CN"/>
        </w:rPr>
      </w:pPr>
      <w:r>
        <w:rPr>
          <w:rFonts w:hint="eastAsia"/>
          <w:lang w:eastAsia="zh-CN"/>
        </w:rPr>
        <w:t>清水公园—英睦公园—两里塘公园活力绿带。由西向东串联清水垄水库、英睦塘水库、两里塘水库形成连续的水域空间，依托水域打造城市公园形成城市绿带，沿绿带布局会展博览、文化体育、商业休闲、商务金融等中心功能，形成城市中央活力区，预留东西视线通廊，打造城市公共轴线。打通提升通往绿带的南北景观视廊，强化城市与滨水空间的活动联系和视觉联系。</w:t>
      </w:r>
    </w:p>
    <w:p>
      <w:pPr>
        <w:pStyle w:val="32"/>
        <w:ind w:firstLine="720"/>
        <w:rPr>
          <w:rFonts w:hint="eastAsia"/>
          <w:lang w:eastAsia="zh-CN"/>
        </w:rPr>
      </w:pPr>
      <w:r>
        <w:rPr>
          <w:rFonts w:hint="eastAsia"/>
          <w:lang w:eastAsia="zh-CN"/>
        </w:rPr>
        <w:t>老城风貌区。主要指老城片区和西渡槐花片区。在风貌上主要延续传统的街巷空间尺度和城市肌理，“针灸式”改善老城肌理，传承老城文化，串联人文资源，形成感知老城历史的人文地图。鼓励建筑立面汲取历史传统要素，并注重现代与传统的结合与过渡，形成统一的风格。除重要地标节点外不应建设大量高层建筑物。</w:t>
      </w:r>
    </w:p>
    <w:p>
      <w:pPr>
        <w:pStyle w:val="32"/>
        <w:ind w:firstLine="720"/>
        <w:rPr>
          <w:rFonts w:hint="eastAsia"/>
          <w:lang w:eastAsia="zh-CN"/>
        </w:rPr>
      </w:pPr>
      <w:r>
        <w:rPr>
          <w:rFonts w:hint="eastAsia"/>
          <w:lang w:eastAsia="zh-CN"/>
        </w:rPr>
        <w:t>新城风貌区。指城东片区和英南片区。建筑以现代简约为主，宜采用简洁明快的形式，并根据功能区的特征，塑造特定的标志性建筑。</w:t>
      </w:r>
    </w:p>
    <w:p>
      <w:pPr>
        <w:pStyle w:val="32"/>
        <w:ind w:firstLine="720"/>
        <w:rPr>
          <w:rFonts w:hint="eastAsia"/>
          <w:lang w:eastAsia="zh-CN"/>
        </w:rPr>
      </w:pPr>
      <w:r>
        <w:rPr>
          <w:rFonts w:hint="eastAsia"/>
          <w:lang w:eastAsia="zh-CN"/>
        </w:rPr>
        <w:t>产业园区风貌区。指产城融合片区和融城产业组团。应以现代风格为主，注重与周围自然山体间的协调，建筑设计提倡简洁的形式和淡雅的色彩，体现时代特色。</w:t>
      </w:r>
    </w:p>
    <w:p>
      <w:pPr>
        <w:pStyle w:val="4"/>
        <w:numPr>
          <w:ilvl w:val="0"/>
          <w:numId w:val="13"/>
        </w:numPr>
        <w:rPr>
          <w:rFonts w:hint="eastAsia"/>
          <w:lang w:val="en-US" w:eastAsia="zh-CN"/>
        </w:rPr>
      </w:pPr>
      <w:r>
        <w:rPr>
          <w:rFonts w:hint="eastAsia"/>
          <w:lang w:val="en-US" w:eastAsia="zh-CN"/>
        </w:rPr>
        <w:t>集中建设区控制引导</w:t>
      </w:r>
    </w:p>
    <w:p>
      <w:pPr>
        <w:pStyle w:val="32"/>
        <w:ind w:firstLine="720"/>
        <w:rPr>
          <w:rFonts w:hint="eastAsia"/>
          <w:lang w:eastAsia="zh-CN"/>
        </w:rPr>
      </w:pPr>
      <w:r>
        <w:rPr>
          <w:rFonts w:hint="eastAsia"/>
          <w:lang w:eastAsia="zh-CN"/>
        </w:rPr>
        <w:t>建筑风貌。房屋整治和新建农房应统一建筑风貌，以坡屋顶形式为主，建筑高度主要控制为三层及三层以下，檐口高度控制在9米，局部控制为四层以下，檐口高度控制在12米；建筑材料宜采用乡土材料，乡土工艺，融合湖湘传统历史文化元素，与周围建筑协调；建筑色彩以黑、白、灰及灰褐色、原木色为主色调，屋面覆以黑、灰瓦，墙身为青水砖；墙面体现材料本色或粉刷石灰，忌鲜艳夺目，严禁贴白色瓷砖；采用木门窗，减少使用卷闸门、玻璃门；勒脚用块石砌筑，减少使用面砖；合理运用现代加固材料、木结构等建材，因地制宜推广现代建造方式。</w:t>
      </w:r>
    </w:p>
    <w:p>
      <w:pPr>
        <w:pStyle w:val="32"/>
        <w:ind w:firstLine="720"/>
        <w:rPr>
          <w:rFonts w:hint="eastAsia"/>
          <w:lang w:eastAsia="zh-CN"/>
        </w:rPr>
      </w:pPr>
      <w:r>
        <w:rPr>
          <w:rFonts w:hint="eastAsia"/>
          <w:lang w:eastAsia="zh-CN"/>
        </w:rPr>
        <w:t xml:space="preserve">建筑高度。把握衡阳县自然山水特征和历史文化特色，明确未来城市空间形态的总体框架与发展思路，综合考虑现状保留建筑的高度，结合历史资源、开敞空间、敏感区和景观视线进行综合叠加研判，形成四级高度分区。低高度控制区内建筑不高于24米，主要为工业区、物流仓储用地、市政设施用地及滨水部分居住用地；中低高度控制区内建筑在24至50米之间，主要为城区内道路两侧公共建筑及现状已建设的小高层住宅，包括居住和部分商业、公共建筑；中高高度控制区内建筑在50至100米之间，主要为交通干线沿线、片区中心以及城市开发建设的主体区域，景观良好、交通优势明显，开发价值高，可进行较高强度开发，主要为高层居住建筑及办公建筑。地标高度控制区建筑高度在80米以上，是城市地标建筑的分布区域，主要分布在地标高度簇群范围内。 </w:t>
      </w:r>
    </w:p>
    <w:p>
      <w:pPr>
        <w:pStyle w:val="4"/>
        <w:numPr>
          <w:ilvl w:val="0"/>
          <w:numId w:val="13"/>
        </w:numPr>
        <w:rPr>
          <w:rFonts w:hint="eastAsia"/>
          <w:lang w:val="en-US" w:eastAsia="zh-CN"/>
        </w:rPr>
      </w:pPr>
      <w:r>
        <w:rPr>
          <w:rFonts w:hint="eastAsia"/>
          <w:lang w:val="en-US" w:eastAsia="zh-CN"/>
        </w:rPr>
        <w:t>标志性地段风貌指引</w:t>
      </w:r>
    </w:p>
    <w:p>
      <w:pPr>
        <w:pStyle w:val="32"/>
        <w:ind w:firstLine="720"/>
        <w:rPr>
          <w:lang w:eastAsia="zh-CN"/>
        </w:rPr>
      </w:pPr>
      <w:r>
        <w:rPr>
          <w:rFonts w:hint="eastAsia"/>
          <w:lang w:eastAsia="zh-CN"/>
        </w:rPr>
        <w:t>着重控制沿蒸水滨水休闲景观带、沿清水公园—英睦公园—两里塘公园形成的活力绿带的开发建设，新区滨水型天际线应突出标志性建筑高度和位置，打造沿河制高点，塑造城市视觉中心，同时布局错落有致的滨水点式高层布局和中低层造型独特的公共文化设施，从而营造富有韵律的城市天际轮廓线，塑造城市滨水特色景观界面和城市公共轴线。老城区整体上限制建筑高度，营造平稳低缓的天际线。保护周围山体山脊线的视觉完整性，严禁建筑与山比高。</w:t>
      </w:r>
    </w:p>
    <w:p>
      <w:pPr>
        <w:pStyle w:val="3"/>
      </w:pPr>
      <w:bookmarkStart w:id="38" w:name="_Toc26268"/>
      <w:r>
        <w:rPr>
          <w:rFonts w:hint="eastAsia"/>
        </w:rPr>
        <w:t>第三节 乡村设计指引</w:t>
      </w:r>
      <w:bookmarkEnd w:id="38"/>
    </w:p>
    <w:p>
      <w:pPr>
        <w:pStyle w:val="32"/>
        <w:ind w:firstLine="720"/>
        <w:rPr>
          <w:rFonts w:hint="eastAsia"/>
          <w:lang w:eastAsia="zh-CN"/>
        </w:rPr>
      </w:pPr>
      <w:r>
        <w:rPr>
          <w:rFonts w:hint="eastAsia"/>
          <w:lang w:eastAsia="zh-CN"/>
        </w:rPr>
        <w:t xml:space="preserve">村庄风貌以展示水乡特色、体现乡愁原色、改善乡村底色为原则，加强居民点周边林地景观改造，构建优美人居环境。乡村设计指引从乡村空间格局、建筑风貌、景观风貌、标识系统、村民建房五个方面进行管控引导。 </w:t>
      </w:r>
    </w:p>
    <w:p>
      <w:pPr>
        <w:pStyle w:val="32"/>
        <w:ind w:firstLine="720"/>
        <w:rPr>
          <w:rFonts w:hint="eastAsia"/>
          <w:lang w:eastAsia="zh-CN"/>
        </w:rPr>
      </w:pPr>
      <w:r>
        <w:rPr>
          <w:rFonts w:hint="eastAsia"/>
          <w:lang w:eastAsia="zh-CN"/>
        </w:rPr>
        <w:t>乡村空间格局：结合西渡镇“两心一轴一带四区”的国土格局延续现有村庄空间肌理，适当引导新建宅基地集中布局。形成有机错落，村田相间的湖湘田园环境。</w:t>
      </w:r>
    </w:p>
    <w:p>
      <w:pPr>
        <w:pStyle w:val="32"/>
        <w:ind w:firstLine="720"/>
        <w:rPr>
          <w:rFonts w:hint="eastAsia"/>
          <w:lang w:eastAsia="zh-CN"/>
        </w:rPr>
      </w:pPr>
      <w:r>
        <w:rPr>
          <w:rFonts w:hint="eastAsia"/>
          <w:lang w:eastAsia="zh-CN"/>
        </w:rPr>
        <w:t>1、乡村空间格局</w:t>
      </w:r>
    </w:p>
    <w:p>
      <w:pPr>
        <w:pStyle w:val="32"/>
        <w:ind w:firstLine="720"/>
        <w:rPr>
          <w:rFonts w:hint="eastAsia"/>
          <w:lang w:eastAsia="zh-CN"/>
        </w:rPr>
      </w:pPr>
      <w:r>
        <w:rPr>
          <w:rFonts w:hint="eastAsia"/>
          <w:lang w:eastAsia="zh-CN"/>
        </w:rPr>
        <w:t>遵循生态与农业资源保护的原则；严格保护永久基本农田，整治灌溉水渠与机耕道；保护农田耕地，展现质朴的农耕文化风貌景观；保护丘岗林地，恢复绿色植被，保持水土，夯实生态基础。</w:t>
      </w:r>
    </w:p>
    <w:p>
      <w:pPr>
        <w:pStyle w:val="32"/>
        <w:ind w:firstLine="720"/>
        <w:rPr>
          <w:rFonts w:hint="eastAsia"/>
          <w:lang w:eastAsia="zh-CN"/>
        </w:rPr>
      </w:pPr>
      <w:r>
        <w:rPr>
          <w:rFonts w:hint="eastAsia"/>
          <w:lang w:eastAsia="zh-CN"/>
        </w:rPr>
        <w:t>严格保护植被群落，禁止非法开挖，推进生态修复，构成村庄的绿色基底。保护水体及流域生态环境，加强违法渔业活动整治，恢复水岸带的植被群落，打造水清岸绿的村落环境。</w:t>
      </w:r>
    </w:p>
    <w:p>
      <w:pPr>
        <w:pStyle w:val="32"/>
        <w:ind w:firstLine="720"/>
        <w:rPr>
          <w:rFonts w:hint="eastAsia"/>
          <w:lang w:eastAsia="zh-CN"/>
        </w:rPr>
      </w:pPr>
      <w:r>
        <w:rPr>
          <w:rFonts w:hint="eastAsia"/>
          <w:lang w:eastAsia="zh-CN"/>
        </w:rPr>
        <w:t>2、建筑风貌</w:t>
      </w:r>
    </w:p>
    <w:p>
      <w:pPr>
        <w:pStyle w:val="32"/>
        <w:ind w:firstLine="720"/>
        <w:rPr>
          <w:rFonts w:hint="eastAsia"/>
          <w:lang w:eastAsia="zh-CN"/>
        </w:rPr>
      </w:pPr>
      <w:r>
        <w:rPr>
          <w:rFonts w:hint="eastAsia"/>
          <w:lang w:eastAsia="zh-CN"/>
        </w:rPr>
        <w:t>建筑色彩应与其所处的环境相协调，以低、多层为主。少量小高层；住宅单元间高地错落进行布置，避免出现一刀切、剃平头地的开发建设；低多层建筑以坡屋顶为主，鼓励采用屋顶露台、屋顶绿化以丰富第五立面；禁止过于具象、夸张、繁缛的屋顶形式、构件及装饰，禁止彩钢板、饱和度高的屋顶色彩。</w:t>
      </w:r>
    </w:p>
    <w:p>
      <w:pPr>
        <w:pStyle w:val="32"/>
        <w:ind w:firstLine="720"/>
        <w:rPr>
          <w:rFonts w:hint="eastAsia"/>
          <w:lang w:eastAsia="zh-CN"/>
        </w:rPr>
      </w:pPr>
      <w:r>
        <w:rPr>
          <w:rFonts w:hint="eastAsia"/>
          <w:lang w:eastAsia="zh-CN"/>
        </w:rPr>
        <w:t>应重视本土的传统建筑技术和形式，应用新技术新材料进行创新设计。尤其在建筑细部，包括屋顶、门窗、腰线、地脚线、墙角等的设计中，加强传统建筑手法、技艺、材质及符号的应用，传承传统文化，体现本土建筑特色与风貌。</w:t>
      </w:r>
    </w:p>
    <w:p>
      <w:pPr>
        <w:pStyle w:val="32"/>
        <w:ind w:firstLine="720"/>
        <w:rPr>
          <w:rFonts w:hint="eastAsia"/>
          <w:lang w:eastAsia="zh-CN"/>
        </w:rPr>
      </w:pPr>
      <w:r>
        <w:rPr>
          <w:rFonts w:hint="eastAsia"/>
          <w:lang w:eastAsia="zh-CN"/>
        </w:rPr>
        <w:t>3、景观风貌</w:t>
      </w:r>
    </w:p>
    <w:p>
      <w:pPr>
        <w:pStyle w:val="32"/>
        <w:ind w:firstLine="720"/>
        <w:rPr>
          <w:rFonts w:hint="eastAsia"/>
          <w:lang w:eastAsia="zh-CN"/>
        </w:rPr>
      </w:pPr>
      <w:r>
        <w:rPr>
          <w:rFonts w:hint="eastAsia"/>
          <w:lang w:eastAsia="zh-CN"/>
        </w:rPr>
        <w:t>延续乡村自然生长的发展脉络，传承乡土情怀。采用小体量、色调清新淡雅的、富有湖湘韵味的建筑风格，建筑布局与环境相协调，保护并强化依山伴田的乡间村落景观。</w:t>
      </w:r>
    </w:p>
    <w:p>
      <w:pPr>
        <w:pStyle w:val="32"/>
        <w:ind w:firstLine="720"/>
        <w:rPr>
          <w:rFonts w:hint="eastAsia"/>
          <w:lang w:eastAsia="zh-CN"/>
        </w:rPr>
      </w:pPr>
      <w:r>
        <w:rPr>
          <w:rFonts w:hint="eastAsia"/>
          <w:lang w:eastAsia="zh-CN"/>
        </w:rPr>
        <w:t>对村庄整体环境进行景观提升，从细节入手，对路边、水边、菜地边，墙根、树根、侧石根等地方进行绿化、美化、净化，并重点对村口形象、村道景观、村部、村民活动广场和农村庭院进行景观提升；选择当地特色产业或文化符号，在主要入村口设置标志性景观小品；在村部、村民活动广场、古树、古井、古庙或村民驻足休憩的小亭廊周边，搭配绿化景观，铺地、座椅、台阶等采用石材、竹木等当地材料。</w:t>
      </w:r>
    </w:p>
    <w:p>
      <w:pPr>
        <w:pStyle w:val="32"/>
        <w:ind w:firstLine="720"/>
        <w:rPr>
          <w:rFonts w:hint="eastAsia"/>
          <w:lang w:eastAsia="zh-CN"/>
        </w:rPr>
      </w:pPr>
      <w:r>
        <w:rPr>
          <w:rFonts w:hint="eastAsia"/>
          <w:lang w:eastAsia="zh-CN"/>
        </w:rPr>
        <w:t>乡村应与地形地貌有机结合，融入山水、山林、田园等自然要素。主要道路两厢建筑采用统一的风格，选择乡土树种作为行道树，有条件的情况下可种植开花灌木；房前屋后禁止乱搭乱建，整齐堆放杂物，采用通透的栅栏，增加以乡土植物为主的绿化；为村庄开展传统民俗节庆、户外交往、康体健身等提供活动场地。引入多元活动，彰显当代乡村新风尚。</w:t>
      </w:r>
    </w:p>
    <w:p>
      <w:pPr>
        <w:pStyle w:val="32"/>
        <w:ind w:firstLine="720"/>
        <w:rPr>
          <w:rFonts w:hint="eastAsia"/>
          <w:lang w:eastAsia="zh-CN"/>
        </w:rPr>
      </w:pPr>
      <w:r>
        <w:rPr>
          <w:rFonts w:hint="eastAsia"/>
          <w:lang w:eastAsia="zh-CN"/>
        </w:rPr>
        <w:t>4、标识系统</w:t>
      </w:r>
    </w:p>
    <w:p>
      <w:pPr>
        <w:pStyle w:val="32"/>
        <w:ind w:firstLine="720"/>
        <w:rPr>
          <w:rFonts w:hint="eastAsia"/>
          <w:lang w:eastAsia="zh-CN"/>
        </w:rPr>
      </w:pPr>
      <w:r>
        <w:rPr>
          <w:rFonts w:hint="eastAsia"/>
          <w:lang w:eastAsia="zh-CN"/>
        </w:rPr>
        <w:t>在进行标示标牌设计时，应充分了解西渡镇的地域文化、风土人情。充分利用西渡镇的地方材料，挖掘地方符号。注重做好”传承文明、开拓创造“的工作，要在表现形式上表现、表现内涵上与西渡镇的历史故事与文化相融合。彰显西渡镇文化的无穷魅力。</w:t>
      </w:r>
    </w:p>
    <w:p>
      <w:pPr>
        <w:pStyle w:val="32"/>
        <w:ind w:firstLine="720"/>
        <w:rPr>
          <w:rFonts w:hint="eastAsia"/>
          <w:lang w:eastAsia="zh-CN"/>
        </w:rPr>
      </w:pPr>
      <w:r>
        <w:rPr>
          <w:rFonts w:hint="eastAsia"/>
          <w:lang w:eastAsia="zh-CN"/>
        </w:rPr>
        <w:t>5、村民建房</w:t>
      </w:r>
    </w:p>
    <w:p>
      <w:pPr>
        <w:pStyle w:val="32"/>
        <w:ind w:firstLine="720"/>
        <w:rPr>
          <w:rFonts w:hint="eastAsia"/>
          <w:lang w:eastAsia="zh-CN"/>
        </w:rPr>
      </w:pPr>
      <w:r>
        <w:rPr>
          <w:rFonts w:hint="eastAsia"/>
          <w:lang w:eastAsia="zh-CN"/>
        </w:rPr>
        <w:t>农村村民一户只能拥有一处宅基地，每户占地面积不得超过省规定的标准。</w:t>
      </w:r>
    </w:p>
    <w:p>
      <w:pPr>
        <w:pStyle w:val="32"/>
        <w:ind w:firstLine="720"/>
        <w:rPr>
          <w:rFonts w:hint="eastAsia"/>
          <w:lang w:eastAsia="zh-CN"/>
        </w:rPr>
      </w:pPr>
      <w:r>
        <w:rPr>
          <w:rFonts w:hint="eastAsia"/>
          <w:lang w:eastAsia="zh-CN"/>
        </w:rPr>
        <w:t>农村庭院按要求退距，严禁占用道路用地。严格控制在高铁、国道、省道等交通干线两侧建房，因特殊情况确需选址在交通线两侧的，从道路边沟外缘起，退离铁路两侧不少于</w:t>
      </w:r>
      <w:r>
        <w:rPr>
          <w:rFonts w:hint="eastAsia"/>
          <w:lang w:val="en-US" w:eastAsia="zh-CN"/>
        </w:rPr>
        <w:t>5</w:t>
      </w:r>
      <w:r>
        <w:rPr>
          <w:rFonts w:hint="eastAsia"/>
          <w:lang w:eastAsia="zh-CN"/>
        </w:rPr>
        <w:t>0米，退离高速公路防护栏两侧不少于30米，退离国道、城市主干道两侧不少于20米，退离省道两侧不少于15米，退离县道两侧不少于10米，退离乡道两侧不少于5米，退离村道两侧不少于3米。选址在沿河道、溪流两侧的，有条件的退让河道、溪流自然岸线的距离不得小于20米，退让小溪流自然岸线的距离不得小于10米，同时应当符合有关技术规范和规定的要求。</w:t>
      </w:r>
    </w:p>
    <w:p>
      <w:pPr>
        <w:pStyle w:val="32"/>
        <w:ind w:firstLine="720"/>
        <w:rPr>
          <w:rFonts w:hint="eastAsia"/>
          <w:lang w:eastAsia="zh-CN"/>
        </w:rPr>
      </w:pPr>
      <w:r>
        <w:rPr>
          <w:rFonts w:hint="eastAsia"/>
          <w:lang w:eastAsia="zh-CN"/>
        </w:rPr>
        <w:t>农村村(居)民每户宅基地用地面积及建筑占地面积标准:</w:t>
      </w:r>
    </w:p>
    <w:p>
      <w:pPr>
        <w:pStyle w:val="32"/>
        <w:ind w:firstLine="720"/>
        <w:rPr>
          <w:rFonts w:hint="eastAsia"/>
          <w:lang w:eastAsia="zh-CN"/>
        </w:rPr>
      </w:pPr>
      <w:r>
        <w:rPr>
          <w:rFonts w:hint="eastAsia"/>
          <w:lang w:eastAsia="zh-CN"/>
        </w:rPr>
        <w:t>使用耕地的，每户用地面积不超过130平方米，建筑占地面积不超过100平方米；</w:t>
      </w:r>
    </w:p>
    <w:p>
      <w:pPr>
        <w:pStyle w:val="32"/>
        <w:ind w:firstLine="720"/>
        <w:rPr>
          <w:rFonts w:hint="eastAsia"/>
          <w:lang w:eastAsia="zh-CN"/>
        </w:rPr>
      </w:pPr>
      <w:r>
        <w:rPr>
          <w:rFonts w:hint="eastAsia"/>
          <w:lang w:eastAsia="zh-CN"/>
        </w:rPr>
        <w:t>使用荒山荒地和其他土地的，每户用地面积不超过180平方米，建筑占地面积不超过120平方米。</w:t>
      </w:r>
    </w:p>
    <w:p>
      <w:pPr>
        <w:pStyle w:val="32"/>
        <w:ind w:firstLine="720"/>
        <w:rPr>
          <w:rFonts w:hint="eastAsia"/>
          <w:lang w:eastAsia="zh-CN"/>
        </w:rPr>
      </w:pPr>
      <w:r>
        <w:rPr>
          <w:rFonts w:hint="eastAsia"/>
          <w:lang w:eastAsia="zh-CN"/>
        </w:rPr>
        <w:t>村（居）民建房建筑层数原则上不超过3层，总建筑面积控制在300平方米以内。</w:t>
      </w:r>
    </w:p>
    <w:p>
      <w:pPr>
        <w:pStyle w:val="32"/>
        <w:ind w:firstLine="720"/>
        <w:rPr>
          <w:rFonts w:hint="default"/>
          <w:lang w:eastAsia="zh-CN"/>
        </w:rPr>
      </w:pPr>
      <w:r>
        <w:rPr>
          <w:rFonts w:hint="eastAsia"/>
          <w:lang w:eastAsia="zh-CN"/>
        </w:rPr>
        <w:t>在其用地范围内有条件建设生产性附属用房的，占地面积控制在60平方米以内，建筑层数为1层。</w:t>
      </w:r>
      <w:r>
        <w:rPr>
          <w:lang w:eastAsia="zh-CN"/>
        </w:rPr>
        <w:t>。</w:t>
      </w:r>
    </w:p>
    <w:p>
      <w:pPr>
        <w:kinsoku/>
        <w:autoSpaceDE/>
        <w:autoSpaceDN/>
        <w:adjustRightInd/>
        <w:snapToGrid/>
        <w:spacing w:line="240" w:lineRule="auto"/>
        <w:textAlignment w:val="auto"/>
        <w:rPr>
          <w:rFonts w:hint="eastAsia" w:ascii="仿宋" w:hAnsi="仿宋" w:cs="仿宋"/>
          <w:color w:val="auto"/>
          <w:szCs w:val="24"/>
          <w:lang w:eastAsia="zh-CN"/>
        </w:rPr>
      </w:pPr>
      <w:r>
        <w:rPr>
          <w:color w:val="auto"/>
          <w:lang w:eastAsia="zh-CN"/>
        </w:rPr>
        <w:br w:type="page"/>
      </w:r>
    </w:p>
    <w:p>
      <w:pPr>
        <w:pStyle w:val="2"/>
        <w:spacing w:before="326" w:after="326"/>
        <w:rPr>
          <w:lang w:eastAsia="zh-CN"/>
        </w:rPr>
      </w:pPr>
      <w:bookmarkStart w:id="39" w:name="_Toc28778"/>
      <w:r>
        <w:rPr>
          <w:rFonts w:hint="eastAsia"/>
          <w:lang w:eastAsia="zh-CN"/>
        </w:rPr>
        <w:t>第九章 重点项目计划</w:t>
      </w:r>
      <w:bookmarkEnd w:id="39"/>
    </w:p>
    <w:p>
      <w:pPr>
        <w:pStyle w:val="32"/>
        <w:ind w:firstLine="720"/>
        <w:rPr>
          <w:rFonts w:hint="default"/>
          <w:lang w:eastAsia="zh-CN"/>
        </w:rPr>
      </w:pPr>
      <w:r>
        <w:rPr>
          <w:rFonts w:hint="eastAsia"/>
          <w:lang w:eastAsia="zh-CN"/>
        </w:rPr>
        <w:t>规划充分衔接“十四五”国民经济发展规划、</w:t>
      </w:r>
      <w:r>
        <w:rPr>
          <w:rFonts w:hint="eastAsia"/>
          <w:lang w:val="en-US" w:eastAsia="zh-CN"/>
        </w:rPr>
        <w:t>正在编制的《衡阳县西渡镇全域土地综合整治实施方案</w:t>
      </w:r>
      <w:r>
        <w:rPr>
          <w:rFonts w:hint="eastAsia" w:ascii="Times New Roman" w:eastAsia="宋体"/>
          <w:lang w:val="en-US" w:eastAsia="zh-CN"/>
        </w:rPr>
        <w:t>》</w:t>
      </w:r>
      <w:r>
        <w:rPr>
          <w:rFonts w:hint="eastAsia"/>
          <w:lang w:val="en-US" w:eastAsia="zh-CN"/>
        </w:rPr>
        <w:t>，</w:t>
      </w:r>
      <w:r>
        <w:rPr>
          <w:rFonts w:hint="eastAsia"/>
          <w:lang w:eastAsia="zh-CN"/>
        </w:rPr>
        <w:t>根据国土空间规划总体建设目标和任务，重点落实各部门、街道及乡镇的重点建设项目，从交通、水利、能源、通讯、环保生态、旅游、民生、产业以及其他等方面列出重大项目清单，对项目布局和时序做出统筹安排</w:t>
      </w:r>
      <w:r>
        <w:rPr>
          <w:lang w:eastAsia="zh-CN"/>
        </w:rPr>
        <w:t>。</w:t>
      </w:r>
    </w:p>
    <w:p>
      <w:pPr>
        <w:pStyle w:val="32"/>
        <w:ind w:firstLine="720"/>
        <w:rPr>
          <w:rFonts w:hint="default"/>
          <w:lang w:eastAsia="zh-CN"/>
        </w:rPr>
      </w:pPr>
      <w:r>
        <w:rPr>
          <w:lang w:eastAsia="zh-CN"/>
        </w:rPr>
        <w:drawing>
          <wp:anchor distT="0" distB="0" distL="114300" distR="114300" simplePos="0" relativeHeight="251668480" behindDoc="0" locked="0" layoutInCell="1" allowOverlap="1">
            <wp:simplePos x="0" y="0"/>
            <wp:positionH relativeFrom="column">
              <wp:posOffset>862965</wp:posOffset>
            </wp:positionH>
            <wp:positionV relativeFrom="paragraph">
              <wp:posOffset>153035</wp:posOffset>
            </wp:positionV>
            <wp:extent cx="4283710" cy="6054725"/>
            <wp:effectExtent l="0" t="0" r="2540" b="3175"/>
            <wp:wrapTopAndBottom/>
            <wp:docPr id="8" name="图片 8" descr="19 重大项目用地布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9 重大项目用地布局图"/>
                    <pic:cNvPicPr>
                      <a:picLocks noChangeAspect="1"/>
                    </pic:cNvPicPr>
                  </pic:nvPicPr>
                  <pic:blipFill>
                    <a:blip r:embed="rId35"/>
                    <a:stretch>
                      <a:fillRect/>
                    </a:stretch>
                  </pic:blipFill>
                  <pic:spPr>
                    <a:xfrm>
                      <a:off x="0" y="0"/>
                      <a:ext cx="4283710" cy="6054725"/>
                    </a:xfrm>
                    <a:prstGeom prst="rect">
                      <a:avLst/>
                    </a:prstGeom>
                  </pic:spPr>
                </pic:pic>
              </a:graphicData>
            </a:graphic>
          </wp:anchor>
        </w:drawing>
      </w:r>
      <w:r>
        <w:rPr>
          <w:lang w:eastAsia="zh-CN"/>
        </w:rPr>
        <w:br w:type="page"/>
      </w:r>
    </w:p>
    <w:p>
      <w:pPr>
        <w:pStyle w:val="2"/>
        <w:spacing w:before="326" w:after="326"/>
        <w:rPr>
          <w:lang w:eastAsia="zh-CN"/>
        </w:rPr>
      </w:pPr>
      <w:bookmarkStart w:id="40" w:name="_Toc10026"/>
      <w:r>
        <w:rPr>
          <w:rFonts w:hint="eastAsia"/>
          <w:lang w:eastAsia="zh-CN"/>
        </w:rPr>
        <w:t>第十章 规划实施保障</w:t>
      </w:r>
      <w:bookmarkEnd w:id="40"/>
    </w:p>
    <w:p>
      <w:pPr>
        <w:pStyle w:val="3"/>
      </w:pPr>
      <w:bookmarkStart w:id="41" w:name="_Toc22561"/>
      <w:r>
        <w:rPr>
          <w:rFonts w:hint="eastAsia"/>
        </w:rPr>
        <w:t>第一节 组织机制</w:t>
      </w:r>
      <w:bookmarkEnd w:id="41"/>
    </w:p>
    <w:p>
      <w:pPr>
        <w:pStyle w:val="32"/>
        <w:ind w:firstLine="720"/>
        <w:rPr>
          <w:rFonts w:hint="default"/>
          <w:b/>
          <w:lang w:eastAsia="zh-CN"/>
        </w:rPr>
      </w:pPr>
      <w:r>
        <w:rPr>
          <w:lang w:eastAsia="zh-CN"/>
        </w:rPr>
        <w:t>由</w:t>
      </w:r>
      <w:r>
        <w:rPr>
          <w:rFonts w:hint="eastAsia"/>
          <w:lang w:eastAsia="zh-CN"/>
        </w:rPr>
        <w:t>衡阳县</w:t>
      </w:r>
      <w:r>
        <w:rPr>
          <w:lang w:eastAsia="zh-CN"/>
        </w:rPr>
        <w:t>人民政府与</w:t>
      </w:r>
      <w:r>
        <w:rPr>
          <w:rFonts w:hint="eastAsia"/>
          <w:lang w:eastAsia="zh-CN"/>
        </w:rPr>
        <w:t>西渡镇</w:t>
      </w:r>
      <w:r>
        <w:rPr>
          <w:lang w:eastAsia="zh-CN"/>
        </w:rPr>
        <w:t>人民政府共同负责规划实施建立政府负责、部门协同、公众参与、上下联动的工作机制，制定推进乡镇规划的实施措施，按照近期项目计划制定乡镇年度工作安排及重点项目的部署，监督检查各年度工作的推进、执行情况。</w:t>
      </w:r>
    </w:p>
    <w:p>
      <w:pPr>
        <w:pStyle w:val="3"/>
      </w:pPr>
      <w:bookmarkStart w:id="42" w:name="_Toc4233"/>
      <w:r>
        <w:rPr>
          <w:rFonts w:hint="eastAsia"/>
        </w:rPr>
        <w:t>第二节 政策支持</w:t>
      </w:r>
      <w:bookmarkEnd w:id="42"/>
    </w:p>
    <w:p>
      <w:pPr>
        <w:pStyle w:val="32"/>
        <w:ind w:firstLine="720"/>
        <w:rPr>
          <w:rFonts w:hint="default"/>
          <w:b/>
          <w:lang w:eastAsia="zh-CN"/>
        </w:rPr>
      </w:pPr>
      <w:r>
        <w:rPr>
          <w:lang w:eastAsia="zh-CN"/>
        </w:rPr>
        <w:t>由</w:t>
      </w:r>
      <w:r>
        <w:rPr>
          <w:rFonts w:hint="eastAsia"/>
          <w:lang w:eastAsia="zh-CN"/>
        </w:rPr>
        <w:t>衡阳县</w:t>
      </w:r>
      <w:r>
        <w:rPr>
          <w:lang w:eastAsia="zh-CN"/>
        </w:rPr>
        <w:t>人民政府与</w:t>
      </w:r>
      <w:r>
        <w:rPr>
          <w:rFonts w:hint="eastAsia"/>
          <w:lang w:eastAsia="zh-CN"/>
        </w:rPr>
        <w:t>西渡镇</w:t>
      </w:r>
      <w:r>
        <w:rPr>
          <w:lang w:eastAsia="zh-CN"/>
        </w:rPr>
        <w:t>人民政府牵头制定相关激励、资金筹措、帮扶政策，保障民生工程及重点项目的推进。建立国土空间用途管制、监测评估及实施管理机制，确保规划的落实与保障。</w:t>
      </w:r>
    </w:p>
    <w:p>
      <w:pPr>
        <w:pStyle w:val="3"/>
      </w:pPr>
      <w:bookmarkStart w:id="43" w:name="_Toc25752"/>
      <w:r>
        <w:rPr>
          <w:rFonts w:hint="eastAsia"/>
        </w:rPr>
        <w:t>第三节 宣传引导</w:t>
      </w:r>
      <w:bookmarkEnd w:id="43"/>
    </w:p>
    <w:p>
      <w:pPr>
        <w:pStyle w:val="32"/>
        <w:ind w:firstLine="720"/>
        <w:rPr>
          <w:rFonts w:hint="default"/>
          <w:b/>
          <w:lang w:eastAsia="zh-CN"/>
        </w:rPr>
      </w:pPr>
      <w:r>
        <w:rPr>
          <w:lang w:eastAsia="zh-CN"/>
        </w:rPr>
        <w:t>充分利用各种媒介向社会公布和宣传乡镇国土空间规划，建立规划宣传和交流互动机制，将规划核心内容纳入村规民约，增强公众对生态环境保护、国土空间合理开发、自然资源节约集约利用重要性的认识。</w:t>
      </w:r>
    </w:p>
    <w:p>
      <w:pPr>
        <w:widowControl w:val="0"/>
        <w:kinsoku/>
        <w:autoSpaceDE/>
        <w:autoSpaceDN/>
        <w:adjustRightInd/>
        <w:snapToGrid/>
        <w:spacing w:line="240" w:lineRule="auto"/>
        <w:jc w:val="both"/>
        <w:textAlignment w:val="auto"/>
        <w:rPr>
          <w:rFonts w:hint="eastAsia" w:ascii="仿宋_GB2312" w:hAnsi="仿宋" w:eastAsia="仿宋_GB2312"/>
          <w:szCs w:val="24"/>
          <w:lang w:val="en-US" w:eastAsia="zh-CN"/>
        </w:rPr>
      </w:pPr>
    </w:p>
    <w:sectPr>
      <w:headerReference r:id="rId20" w:type="first"/>
      <w:footerReference r:id="rId22" w:type="first"/>
      <w:headerReference r:id="rId19" w:type="default"/>
      <w:footerReference r:id="rId21" w:type="default"/>
      <w:pgSz w:w="11906" w:h="16838"/>
      <w:pgMar w:top="1440" w:right="1080" w:bottom="1440" w:left="1080" w:header="822" w:footer="907" w:gutter="0"/>
      <w:pgNumType w:fmt="decimal"/>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
    <w:altName w:val="方正楷体_GBK"/>
    <w:panose1 w:val="02010609060101010101"/>
    <w:charset w:val="86"/>
    <w:family w:val="modern"/>
    <w:pitch w:val="default"/>
    <w:sig w:usb0="00000000" w:usb1="00000000" w:usb2="00000016" w:usb3="00000000" w:csb0="00040001" w:csb1="00000000"/>
  </w:font>
  <w:font w:name="Segoe UI Emoji">
    <w:altName w:val="Noto Sans"/>
    <w:panose1 w:val="020B0502040204020203"/>
    <w:charset w:val="00"/>
    <w:family w:val="auto"/>
    <w:pitch w:val="default"/>
    <w:sig w:usb0="00000000" w:usb1="00000000" w:usb2="00000000" w:usb3="00000000" w:csb0="0000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Noto Sans">
    <w:panose1 w:val="020B0502040504020204"/>
    <w:charset w:val="00"/>
    <w:family w:val="auto"/>
    <w:pitch w:val="default"/>
    <w:sig w:usb0="E00002FF" w:usb1="4000201F" w:usb2="08000029" w:usb3="001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1920"/>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4338"/>
      <w:docPartObj>
        <w:docPartGallery w:val="autotext"/>
      </w:docPartObj>
    </w:sdtPr>
    <w:sdtContent>
      <w:p>
        <w:pPr>
          <w:pStyle w:val="16"/>
          <w:jc w:val="center"/>
        </w:pPr>
        <w:r>
          <w:fldChar w:fldCharType="begin"/>
        </w:r>
        <w:r>
          <w:instrText xml:space="preserve">PAGE   \* MERGEFORMAT</w:instrText>
        </w:r>
        <w:r>
          <w:fldChar w:fldCharType="separate"/>
        </w:r>
        <w:r>
          <w:rPr>
            <w:lang w:val="zh-CN" w:eastAsia="zh-CN"/>
          </w:rPr>
          <w:t>2</w:t>
        </w:r>
        <w:r>
          <w:fldChar w:fldCharType="end"/>
        </w:r>
      </w:p>
    </w:sdtContent>
  </w:sdt>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U02ZMgIAAGM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ZTTZkyAgAAYwQAAA4AAAAAAAAAAQAgAAAA&#10;NQEAAGRycy9lMm9Eb2MueG1sUEsFBgAAAAAGAAYAWQEAANk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C5WZn4yAgAAYwQAAA4AAAAAAAAAAQAgAAAA&#10;NQEAAGRycy9lMm9Eb2MueG1sUEsFBgAAAAAGAAYAWQEAANk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192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985"/>
                          </w:sdtPr>
                          <w:sdtContent>
                            <w:p>
                              <w:pPr>
                                <w:pStyle w:val="16"/>
                                <w:ind w:left="1920"/>
                                <w:jc w:val="center"/>
                              </w:pPr>
                              <w:r>
                                <w:fldChar w:fldCharType="begin"/>
                              </w:r>
                              <w:r>
                                <w:instrText xml:space="preserve">PAGE   \* MERGEFORMAT</w:instrText>
                              </w:r>
                              <w:r>
                                <w:fldChar w:fldCharType="separate"/>
                              </w:r>
                              <w:r>
                                <w:rPr>
                                  <w:lang w:val="zh-CN"/>
                                </w:rPr>
                                <w:t>1</w:t>
                              </w:r>
                              <w:r>
                                <w:fldChar w:fldCharType="end"/>
                              </w:r>
                              <w:r>
                                <w:ptab w:relativeTo="margin" w:alignment="center" w:leader="none"/>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sdt>
                    <w:sdtPr>
                      <w:id w:val="147451985"/>
                    </w:sdtPr>
                    <w:sdtContent>
                      <w:p>
                        <w:pPr>
                          <w:pStyle w:val="16"/>
                          <w:ind w:left="1920"/>
                          <w:jc w:val="center"/>
                        </w:pPr>
                        <w:r>
                          <w:fldChar w:fldCharType="begin"/>
                        </w:r>
                        <w:r>
                          <w:instrText xml:space="preserve">PAGE   \* MERGEFORMAT</w:instrText>
                        </w:r>
                        <w:r>
                          <w:fldChar w:fldCharType="separate"/>
                        </w:r>
                        <w:r>
                          <w:rPr>
                            <w:lang w:val="zh-CN"/>
                          </w:rPr>
                          <w:t>1</w:t>
                        </w:r>
                        <w:r>
                          <w:fldChar w:fldCharType="end"/>
                        </w:r>
                        <w:r>
                          <w:ptab w:relativeTo="margin" w:alignment="center" w:leader="none"/>
                        </w:r>
                      </w:p>
                    </w:sdtContent>
                  </w:sdt>
                  <w:p/>
                </w:txbxContent>
              </v:textbox>
            </v:shape>
          </w:pict>
        </mc:Fallback>
      </mc:AlternateContent>
    </w:r>
  </w:p>
  <w:p>
    <w:pPr>
      <w:pStyle w:val="1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0201"/>
                            <w:docPartObj>
                              <w:docPartGallery w:val="autotext"/>
                            </w:docPartObj>
                          </w:sdtPr>
                          <w:sdtContent>
                            <w:p>
                              <w:pPr>
                                <w:pStyle w:val="16"/>
                                <w:jc w:val="center"/>
                              </w:pPr>
                              <w:r>
                                <w:fldChar w:fldCharType="begin"/>
                              </w:r>
                              <w:r>
                                <w:instrText xml:space="preserve">PAGE   \* MERGEFORMAT</w:instrText>
                              </w:r>
                              <w:r>
                                <w:fldChar w:fldCharType="separate"/>
                              </w:r>
                              <w:r>
                                <w:rPr>
                                  <w:lang w:val="zh-CN" w:eastAsia="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sdt>
                    <w:sdtPr>
                      <w:id w:val="147470201"/>
                      <w:docPartObj>
                        <w:docPartGallery w:val="autotext"/>
                      </w:docPartObj>
                    </w:sdtPr>
                    <w:sdtContent>
                      <w:p>
                        <w:pPr>
                          <w:pStyle w:val="16"/>
                          <w:jc w:val="center"/>
                        </w:pPr>
                        <w:r>
                          <w:fldChar w:fldCharType="begin"/>
                        </w:r>
                        <w:r>
                          <w:instrText xml:space="preserve">PAGE   \* MERGEFORMAT</w:instrText>
                        </w:r>
                        <w:r>
                          <w:fldChar w:fldCharType="separate"/>
                        </w:r>
                        <w:r>
                          <w:rPr>
                            <w:lang w:val="zh-CN" w:eastAsia="zh-CN"/>
                          </w:rPr>
                          <w:t>2</w:t>
                        </w:r>
                        <w:r>
                          <w:fldChar w:fldCharType="end"/>
                        </w:r>
                      </w:p>
                    </w:sdtContent>
                  </w:sdt>
                  <w:p/>
                </w:txbxContent>
              </v:textbox>
            </v:shape>
          </w:pict>
        </mc:Fallback>
      </mc:AlternateContent>
    </w:r>
    <w:r>
      <w:rPr>
        <w:rFonts w:hint="eastAsia"/>
        <w:lang w:val="en-US" w:eastAsia="zh-CN"/>
      </w:rPr>
      <w:t>60</w:t>
    </w:r>
  </w:p>
  <w:p>
    <w:pPr>
      <w:pStyle w:val="1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rPr>
        <w:u w:val="single"/>
        <w:lang w:eastAsia="zh-CN"/>
      </w:rPr>
    </w:pPr>
    <w:r>
      <w:rPr>
        <w:rFonts w:hint="eastAsia"/>
        <w:u w:val="single"/>
        <w:lang w:eastAsia="zh-CN"/>
      </w:rPr>
      <w:t xml:space="preserve"> </w:t>
    </w:r>
    <w:r>
      <w:rPr>
        <w:u w:val="single"/>
        <w:lang w:eastAsia="zh-CN"/>
      </w:rPr>
      <w:t xml:space="preserve">              </w:t>
    </w:r>
    <w:r>
      <w:rPr>
        <w:rFonts w:hint="eastAsia"/>
        <w:u w:val="single"/>
        <w:lang w:eastAsia="zh-CN"/>
      </w:rPr>
      <w:t xml:space="preserve">衡阳县西渡镇乡镇国土空间总体规划 （2021-2035年）文本 </w:t>
    </w:r>
    <w:r>
      <w:rPr>
        <w:u w:val="single"/>
        <w:lang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r>
      <w:rPr>
        <w:rFonts w:hint="eastAsia"/>
        <w:u w:val="single"/>
        <w:lang w:eastAsia="zh-CN"/>
      </w:rPr>
      <w:t xml:space="preserve">西渡镇国土空间规划（2021-2035年）                                                               </w:t>
    </w:r>
    <w:r>
      <w:rPr>
        <w:rFonts w:hint="eastAsia"/>
        <w:u w:val="single"/>
        <w:lang w:val="en-US" w:eastAsia="zh-CN"/>
      </w:rPr>
      <w:t xml:space="preserve">     </w:t>
    </w:r>
    <w:r>
      <w:rPr>
        <w:rFonts w:hint="eastAsia"/>
        <w:u w:val="single"/>
        <w:lang w:eastAsia="zh-CN"/>
      </w:rPr>
      <w:t xml:space="preserve">  文本 </w:t>
    </w:r>
  </w:p>
  <w:p>
    <w:pPr>
      <w:pStyle w:val="17"/>
      <w:rPr>
        <w:lang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r>
      <w:rPr>
        <w:rFonts w:hint="eastAsia"/>
        <w:u w:val="single"/>
        <w:lang w:eastAsia="zh-CN"/>
      </w:rPr>
      <w:t xml:space="preserve">西渡镇国土空间规划（2021-2035年）                                                         </w:t>
    </w:r>
    <w:r>
      <w:rPr>
        <w:rFonts w:hint="eastAsia"/>
        <w:u w:val="single"/>
        <w:lang w:val="en-US" w:eastAsia="zh-CN"/>
      </w:rPr>
      <w:t xml:space="preserve">     </w:t>
    </w:r>
    <w:r>
      <w:rPr>
        <w:rFonts w:hint="eastAsia"/>
        <w:u w:val="single"/>
        <w:lang w:eastAsia="zh-CN"/>
      </w:rPr>
      <w:t xml:space="preserve">        文本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F51D15"/>
    <w:multiLevelType w:val="multilevel"/>
    <w:tmpl w:val="41F51D15"/>
    <w:lvl w:ilvl="0" w:tentative="0">
      <w:start w:val="1"/>
      <w:numFmt w:val="chineseCountingThousand"/>
      <w:lvlText w:val="第%1章 "/>
      <w:lvlJc w:val="center"/>
      <w:pPr>
        <w:ind w:left="567" w:firstLine="0"/>
      </w:pPr>
      <w:rPr>
        <w:rFonts w:hint="eastAsia"/>
      </w:rPr>
    </w:lvl>
    <w:lvl w:ilvl="1" w:tentative="0">
      <w:start w:val="1"/>
      <w:numFmt w:val="chineseCountingThousand"/>
      <w:lvlText w:val="第%2节"/>
      <w:lvlJc w:val="center"/>
      <w:pPr>
        <w:ind w:left="4677" w:firstLine="0"/>
      </w:pPr>
      <w:rPr>
        <w:rFonts w:hint="eastAsia"/>
      </w:rPr>
    </w:lvl>
    <w:lvl w:ilvl="2" w:tentative="0">
      <w:start w:val="1"/>
      <w:numFmt w:val="decimal"/>
      <w:lvlRestart w:val="1"/>
      <w:pStyle w:val="60"/>
      <w:isLgl/>
      <w:lvlText w:val="专栏%1-%3"/>
      <w:lvlJc w:val="left"/>
      <w:pPr>
        <w:ind w:left="0" w:firstLine="0"/>
      </w:pPr>
      <w:rPr>
        <w:rFonts w:hint="default" w:ascii="Times New Roman" w:hAnsi="Times New Roman" w:eastAsia="黑体"/>
        <w:sz w:val="24"/>
      </w:rPr>
    </w:lvl>
    <w:lvl w:ilvl="3" w:tentative="0">
      <w:start w:val="1"/>
      <w:numFmt w:val="none"/>
      <w:lvlRestart w:val="1"/>
      <w:isLgl/>
      <w:lvlText w:val=""/>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45773782"/>
    <w:multiLevelType w:val="multilevel"/>
    <w:tmpl w:val="45773782"/>
    <w:lvl w:ilvl="0" w:tentative="0">
      <w:start w:val="1"/>
      <w:numFmt w:val="japaneseCounting"/>
      <w:pStyle w:val="4"/>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oNotDisplayPageBoundaries w:val="1"/>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xMDBlNzliZDI0OTFkZjdmYzMwMjUzOTI0OWJlNTAifQ=="/>
    <w:docVar w:name="OPFI" w:val="{&quot;ThemeFontContent-516&quot;:{&quot;cnName&quot;:&quot;Times New Roman&quot;,&quot;enName&quot;:&quot;Times New Roman&quot;,&quot;id&quot;:&quot;ThemeFontContent-516&quot;,&quot;paymentType&quot;:0,&quot;isSystemFont&quot;:true,&quot;name&quot;:&quot;Times New Roman&quot;}}"/>
  </w:docVars>
  <w:rsids>
    <w:rsidRoot w:val="00172A27"/>
    <w:rsid w:val="00016A78"/>
    <w:rsid w:val="000211B3"/>
    <w:rsid w:val="00025843"/>
    <w:rsid w:val="00033C81"/>
    <w:rsid w:val="00042E31"/>
    <w:rsid w:val="00050969"/>
    <w:rsid w:val="0005138F"/>
    <w:rsid w:val="0006662D"/>
    <w:rsid w:val="000716D8"/>
    <w:rsid w:val="00073910"/>
    <w:rsid w:val="0007577D"/>
    <w:rsid w:val="00076791"/>
    <w:rsid w:val="00085665"/>
    <w:rsid w:val="00087C80"/>
    <w:rsid w:val="0009495E"/>
    <w:rsid w:val="00096246"/>
    <w:rsid w:val="000A637A"/>
    <w:rsid w:val="000C3ECF"/>
    <w:rsid w:val="000C6D52"/>
    <w:rsid w:val="000E1901"/>
    <w:rsid w:val="000F4797"/>
    <w:rsid w:val="000F5C0B"/>
    <w:rsid w:val="000F799F"/>
    <w:rsid w:val="00110EF7"/>
    <w:rsid w:val="00125DAA"/>
    <w:rsid w:val="00135DC8"/>
    <w:rsid w:val="00145555"/>
    <w:rsid w:val="001479B7"/>
    <w:rsid w:val="00154DDF"/>
    <w:rsid w:val="00162DBB"/>
    <w:rsid w:val="0016302D"/>
    <w:rsid w:val="00172A27"/>
    <w:rsid w:val="0018799F"/>
    <w:rsid w:val="001916A5"/>
    <w:rsid w:val="00192EF0"/>
    <w:rsid w:val="001A325E"/>
    <w:rsid w:val="001A669D"/>
    <w:rsid w:val="001C2B75"/>
    <w:rsid w:val="001C332C"/>
    <w:rsid w:val="001C35FA"/>
    <w:rsid w:val="001C6775"/>
    <w:rsid w:val="001D7D2C"/>
    <w:rsid w:val="001E6759"/>
    <w:rsid w:val="001E7C25"/>
    <w:rsid w:val="001F4AE9"/>
    <w:rsid w:val="00203563"/>
    <w:rsid w:val="002123F4"/>
    <w:rsid w:val="00215856"/>
    <w:rsid w:val="002213F8"/>
    <w:rsid w:val="00222C9E"/>
    <w:rsid w:val="0023766C"/>
    <w:rsid w:val="002538A0"/>
    <w:rsid w:val="00254D1A"/>
    <w:rsid w:val="00256A8E"/>
    <w:rsid w:val="00265A8E"/>
    <w:rsid w:val="002733C5"/>
    <w:rsid w:val="00277CD4"/>
    <w:rsid w:val="002A1AFB"/>
    <w:rsid w:val="002A507C"/>
    <w:rsid w:val="002B0628"/>
    <w:rsid w:val="002B21FB"/>
    <w:rsid w:val="002B4DBA"/>
    <w:rsid w:val="002B520B"/>
    <w:rsid w:val="002B59DD"/>
    <w:rsid w:val="002B7E4B"/>
    <w:rsid w:val="002C0F5C"/>
    <w:rsid w:val="002C2DC2"/>
    <w:rsid w:val="002C52F6"/>
    <w:rsid w:val="002E13BC"/>
    <w:rsid w:val="002E2601"/>
    <w:rsid w:val="003100C1"/>
    <w:rsid w:val="00320329"/>
    <w:rsid w:val="00321D6C"/>
    <w:rsid w:val="00331AD1"/>
    <w:rsid w:val="003511C8"/>
    <w:rsid w:val="00352AB3"/>
    <w:rsid w:val="003639FA"/>
    <w:rsid w:val="003738DB"/>
    <w:rsid w:val="00374852"/>
    <w:rsid w:val="00376605"/>
    <w:rsid w:val="003768E7"/>
    <w:rsid w:val="00383D01"/>
    <w:rsid w:val="00384FE6"/>
    <w:rsid w:val="00390C67"/>
    <w:rsid w:val="00392A1C"/>
    <w:rsid w:val="003964C3"/>
    <w:rsid w:val="003A196F"/>
    <w:rsid w:val="003B0171"/>
    <w:rsid w:val="003B0E27"/>
    <w:rsid w:val="003B2642"/>
    <w:rsid w:val="003C0CAB"/>
    <w:rsid w:val="003C4F73"/>
    <w:rsid w:val="003D0B47"/>
    <w:rsid w:val="003E267A"/>
    <w:rsid w:val="003E4227"/>
    <w:rsid w:val="003F0651"/>
    <w:rsid w:val="003F14B9"/>
    <w:rsid w:val="003F659C"/>
    <w:rsid w:val="003F72C7"/>
    <w:rsid w:val="004021B6"/>
    <w:rsid w:val="00406746"/>
    <w:rsid w:val="004161AA"/>
    <w:rsid w:val="00430BDF"/>
    <w:rsid w:val="00430C7F"/>
    <w:rsid w:val="00434390"/>
    <w:rsid w:val="004347AA"/>
    <w:rsid w:val="00441F71"/>
    <w:rsid w:val="00453D9C"/>
    <w:rsid w:val="00456D77"/>
    <w:rsid w:val="004574E1"/>
    <w:rsid w:val="00460FA5"/>
    <w:rsid w:val="0046459B"/>
    <w:rsid w:val="00466704"/>
    <w:rsid w:val="00470A94"/>
    <w:rsid w:val="00476D80"/>
    <w:rsid w:val="00477BE4"/>
    <w:rsid w:val="00484C22"/>
    <w:rsid w:val="004903F4"/>
    <w:rsid w:val="00490DA8"/>
    <w:rsid w:val="00492621"/>
    <w:rsid w:val="004978EF"/>
    <w:rsid w:val="004A76CC"/>
    <w:rsid w:val="004B32FB"/>
    <w:rsid w:val="004B73E9"/>
    <w:rsid w:val="004C7B65"/>
    <w:rsid w:val="004D7AAF"/>
    <w:rsid w:val="004F49A7"/>
    <w:rsid w:val="004F4D90"/>
    <w:rsid w:val="0050701F"/>
    <w:rsid w:val="00510028"/>
    <w:rsid w:val="0053009D"/>
    <w:rsid w:val="00547517"/>
    <w:rsid w:val="0055181C"/>
    <w:rsid w:val="005652C0"/>
    <w:rsid w:val="00577036"/>
    <w:rsid w:val="00577E17"/>
    <w:rsid w:val="00594C9B"/>
    <w:rsid w:val="005A016C"/>
    <w:rsid w:val="005A45D0"/>
    <w:rsid w:val="005B2908"/>
    <w:rsid w:val="005B6AED"/>
    <w:rsid w:val="005B72E2"/>
    <w:rsid w:val="005C32E9"/>
    <w:rsid w:val="005C4CAF"/>
    <w:rsid w:val="005D0C6C"/>
    <w:rsid w:val="005D1991"/>
    <w:rsid w:val="005D53CF"/>
    <w:rsid w:val="00600478"/>
    <w:rsid w:val="0061094D"/>
    <w:rsid w:val="00624238"/>
    <w:rsid w:val="00627914"/>
    <w:rsid w:val="00631A80"/>
    <w:rsid w:val="00636D8A"/>
    <w:rsid w:val="006374D6"/>
    <w:rsid w:val="00640ADC"/>
    <w:rsid w:val="00651988"/>
    <w:rsid w:val="00673F5E"/>
    <w:rsid w:val="00674572"/>
    <w:rsid w:val="00682095"/>
    <w:rsid w:val="00682A21"/>
    <w:rsid w:val="00682F8C"/>
    <w:rsid w:val="00685EBC"/>
    <w:rsid w:val="006860DE"/>
    <w:rsid w:val="00687AEE"/>
    <w:rsid w:val="00694F96"/>
    <w:rsid w:val="00695AC8"/>
    <w:rsid w:val="006A6BCA"/>
    <w:rsid w:val="006C0F5F"/>
    <w:rsid w:val="006C3AB8"/>
    <w:rsid w:val="006C704E"/>
    <w:rsid w:val="006E2C2D"/>
    <w:rsid w:val="006E5E84"/>
    <w:rsid w:val="006F1AEA"/>
    <w:rsid w:val="006F4BE7"/>
    <w:rsid w:val="0070005C"/>
    <w:rsid w:val="00703AFF"/>
    <w:rsid w:val="00717743"/>
    <w:rsid w:val="0072798B"/>
    <w:rsid w:val="00730D56"/>
    <w:rsid w:val="00760193"/>
    <w:rsid w:val="00763632"/>
    <w:rsid w:val="00774A18"/>
    <w:rsid w:val="00782604"/>
    <w:rsid w:val="00785E4C"/>
    <w:rsid w:val="00787758"/>
    <w:rsid w:val="007914F0"/>
    <w:rsid w:val="00792870"/>
    <w:rsid w:val="007A73B2"/>
    <w:rsid w:val="007B7AEF"/>
    <w:rsid w:val="007C5778"/>
    <w:rsid w:val="0080118E"/>
    <w:rsid w:val="00813C25"/>
    <w:rsid w:val="00815D15"/>
    <w:rsid w:val="00815FB1"/>
    <w:rsid w:val="0082103A"/>
    <w:rsid w:val="00825029"/>
    <w:rsid w:val="00844791"/>
    <w:rsid w:val="008464C9"/>
    <w:rsid w:val="00866C66"/>
    <w:rsid w:val="008714A7"/>
    <w:rsid w:val="00874BE3"/>
    <w:rsid w:val="00876BE4"/>
    <w:rsid w:val="008800CF"/>
    <w:rsid w:val="008836E9"/>
    <w:rsid w:val="00887535"/>
    <w:rsid w:val="00894F03"/>
    <w:rsid w:val="0089774A"/>
    <w:rsid w:val="00897FDB"/>
    <w:rsid w:val="008B3030"/>
    <w:rsid w:val="008B5F2C"/>
    <w:rsid w:val="008B76C9"/>
    <w:rsid w:val="008C1D3F"/>
    <w:rsid w:val="008C6533"/>
    <w:rsid w:val="008D797A"/>
    <w:rsid w:val="00904FA0"/>
    <w:rsid w:val="0091464C"/>
    <w:rsid w:val="00926597"/>
    <w:rsid w:val="00931499"/>
    <w:rsid w:val="00931A2C"/>
    <w:rsid w:val="0094310D"/>
    <w:rsid w:val="00947F3B"/>
    <w:rsid w:val="009516E3"/>
    <w:rsid w:val="00956C48"/>
    <w:rsid w:val="00967E3D"/>
    <w:rsid w:val="00971508"/>
    <w:rsid w:val="00974A6A"/>
    <w:rsid w:val="00993225"/>
    <w:rsid w:val="009A1245"/>
    <w:rsid w:val="009A1EBF"/>
    <w:rsid w:val="009C2E47"/>
    <w:rsid w:val="009D26EF"/>
    <w:rsid w:val="009E2B44"/>
    <w:rsid w:val="009E3DC2"/>
    <w:rsid w:val="009E43EF"/>
    <w:rsid w:val="009F2A97"/>
    <w:rsid w:val="00A10D1E"/>
    <w:rsid w:val="00A162B2"/>
    <w:rsid w:val="00A34477"/>
    <w:rsid w:val="00A35A3A"/>
    <w:rsid w:val="00A40E59"/>
    <w:rsid w:val="00A5369E"/>
    <w:rsid w:val="00A569FD"/>
    <w:rsid w:val="00A605DB"/>
    <w:rsid w:val="00A6684B"/>
    <w:rsid w:val="00A73321"/>
    <w:rsid w:val="00A77302"/>
    <w:rsid w:val="00A82CC2"/>
    <w:rsid w:val="00A848F1"/>
    <w:rsid w:val="00A93817"/>
    <w:rsid w:val="00A96003"/>
    <w:rsid w:val="00A96DA0"/>
    <w:rsid w:val="00AC70D8"/>
    <w:rsid w:val="00AD252A"/>
    <w:rsid w:val="00AE1F27"/>
    <w:rsid w:val="00AE472E"/>
    <w:rsid w:val="00AE6177"/>
    <w:rsid w:val="00AF6ACC"/>
    <w:rsid w:val="00B00512"/>
    <w:rsid w:val="00B13585"/>
    <w:rsid w:val="00B20351"/>
    <w:rsid w:val="00B24257"/>
    <w:rsid w:val="00B33EB9"/>
    <w:rsid w:val="00B37879"/>
    <w:rsid w:val="00B41208"/>
    <w:rsid w:val="00B45597"/>
    <w:rsid w:val="00B46391"/>
    <w:rsid w:val="00B46795"/>
    <w:rsid w:val="00B54374"/>
    <w:rsid w:val="00B55740"/>
    <w:rsid w:val="00B6104F"/>
    <w:rsid w:val="00B67E51"/>
    <w:rsid w:val="00B75423"/>
    <w:rsid w:val="00B81432"/>
    <w:rsid w:val="00B817AC"/>
    <w:rsid w:val="00B83BEA"/>
    <w:rsid w:val="00B923DF"/>
    <w:rsid w:val="00B938BF"/>
    <w:rsid w:val="00B93C22"/>
    <w:rsid w:val="00B94611"/>
    <w:rsid w:val="00B97431"/>
    <w:rsid w:val="00BA01A5"/>
    <w:rsid w:val="00BA3503"/>
    <w:rsid w:val="00BA3EF9"/>
    <w:rsid w:val="00BB437F"/>
    <w:rsid w:val="00BB4AF5"/>
    <w:rsid w:val="00BB6B51"/>
    <w:rsid w:val="00BB74F8"/>
    <w:rsid w:val="00BE3E0F"/>
    <w:rsid w:val="00BE5730"/>
    <w:rsid w:val="00BF0881"/>
    <w:rsid w:val="00BF3E68"/>
    <w:rsid w:val="00BF756B"/>
    <w:rsid w:val="00C05195"/>
    <w:rsid w:val="00C200CB"/>
    <w:rsid w:val="00C249DF"/>
    <w:rsid w:val="00C24BC6"/>
    <w:rsid w:val="00C34700"/>
    <w:rsid w:val="00C56E08"/>
    <w:rsid w:val="00C62057"/>
    <w:rsid w:val="00C62726"/>
    <w:rsid w:val="00C7598B"/>
    <w:rsid w:val="00C75A0B"/>
    <w:rsid w:val="00C76AA9"/>
    <w:rsid w:val="00C80FFE"/>
    <w:rsid w:val="00C918E8"/>
    <w:rsid w:val="00CA3A39"/>
    <w:rsid w:val="00CB1F46"/>
    <w:rsid w:val="00CB4338"/>
    <w:rsid w:val="00CB6DF1"/>
    <w:rsid w:val="00CE2D09"/>
    <w:rsid w:val="00CE6D33"/>
    <w:rsid w:val="00CF57D5"/>
    <w:rsid w:val="00CF73C0"/>
    <w:rsid w:val="00D030DC"/>
    <w:rsid w:val="00D03B97"/>
    <w:rsid w:val="00D106C4"/>
    <w:rsid w:val="00D11D8B"/>
    <w:rsid w:val="00D140C3"/>
    <w:rsid w:val="00D25272"/>
    <w:rsid w:val="00D25A4D"/>
    <w:rsid w:val="00D25AD3"/>
    <w:rsid w:val="00D34191"/>
    <w:rsid w:val="00D3664B"/>
    <w:rsid w:val="00D401D6"/>
    <w:rsid w:val="00D415E1"/>
    <w:rsid w:val="00D41779"/>
    <w:rsid w:val="00D45C94"/>
    <w:rsid w:val="00D51932"/>
    <w:rsid w:val="00D52FA6"/>
    <w:rsid w:val="00D64C08"/>
    <w:rsid w:val="00D64EC3"/>
    <w:rsid w:val="00D72C08"/>
    <w:rsid w:val="00D73B75"/>
    <w:rsid w:val="00D75FFD"/>
    <w:rsid w:val="00D762F1"/>
    <w:rsid w:val="00D867B0"/>
    <w:rsid w:val="00D87841"/>
    <w:rsid w:val="00D87983"/>
    <w:rsid w:val="00D9326D"/>
    <w:rsid w:val="00DA3542"/>
    <w:rsid w:val="00DA3CB0"/>
    <w:rsid w:val="00DA43F5"/>
    <w:rsid w:val="00DB0A60"/>
    <w:rsid w:val="00DC5842"/>
    <w:rsid w:val="00DD29B3"/>
    <w:rsid w:val="00DD50FC"/>
    <w:rsid w:val="00DE6E7E"/>
    <w:rsid w:val="00DF05C0"/>
    <w:rsid w:val="00DF35F0"/>
    <w:rsid w:val="00DF684A"/>
    <w:rsid w:val="00E03E90"/>
    <w:rsid w:val="00E04E8D"/>
    <w:rsid w:val="00E144AD"/>
    <w:rsid w:val="00E157A2"/>
    <w:rsid w:val="00E202CF"/>
    <w:rsid w:val="00E227F8"/>
    <w:rsid w:val="00E30513"/>
    <w:rsid w:val="00E3619D"/>
    <w:rsid w:val="00E36527"/>
    <w:rsid w:val="00E37F0E"/>
    <w:rsid w:val="00E40880"/>
    <w:rsid w:val="00E41FC5"/>
    <w:rsid w:val="00E433F8"/>
    <w:rsid w:val="00E439B0"/>
    <w:rsid w:val="00E46DBD"/>
    <w:rsid w:val="00E50F91"/>
    <w:rsid w:val="00E51161"/>
    <w:rsid w:val="00E60CFB"/>
    <w:rsid w:val="00E67E12"/>
    <w:rsid w:val="00E724BB"/>
    <w:rsid w:val="00E80899"/>
    <w:rsid w:val="00E84529"/>
    <w:rsid w:val="00E876D4"/>
    <w:rsid w:val="00E91996"/>
    <w:rsid w:val="00E93E81"/>
    <w:rsid w:val="00E94C82"/>
    <w:rsid w:val="00E9763F"/>
    <w:rsid w:val="00EA3256"/>
    <w:rsid w:val="00EB3145"/>
    <w:rsid w:val="00EB61D1"/>
    <w:rsid w:val="00EC4A48"/>
    <w:rsid w:val="00EC5065"/>
    <w:rsid w:val="00EE1864"/>
    <w:rsid w:val="00EF2504"/>
    <w:rsid w:val="00EF3B86"/>
    <w:rsid w:val="00F17264"/>
    <w:rsid w:val="00F27D77"/>
    <w:rsid w:val="00F3568B"/>
    <w:rsid w:val="00F35F45"/>
    <w:rsid w:val="00F40B88"/>
    <w:rsid w:val="00F43AAD"/>
    <w:rsid w:val="00F47156"/>
    <w:rsid w:val="00F50EB8"/>
    <w:rsid w:val="00F532A2"/>
    <w:rsid w:val="00F6207E"/>
    <w:rsid w:val="00F7217E"/>
    <w:rsid w:val="00F855DA"/>
    <w:rsid w:val="00F93D76"/>
    <w:rsid w:val="00FB38F2"/>
    <w:rsid w:val="00FC24F9"/>
    <w:rsid w:val="00FC5585"/>
    <w:rsid w:val="00FE3284"/>
    <w:rsid w:val="00FE43A8"/>
    <w:rsid w:val="00FE7B10"/>
    <w:rsid w:val="00FF07A8"/>
    <w:rsid w:val="00FF31EE"/>
    <w:rsid w:val="00FF659F"/>
    <w:rsid w:val="01CD6AEE"/>
    <w:rsid w:val="01D24989"/>
    <w:rsid w:val="021838DD"/>
    <w:rsid w:val="021B342F"/>
    <w:rsid w:val="02C72207"/>
    <w:rsid w:val="032C1844"/>
    <w:rsid w:val="038B263E"/>
    <w:rsid w:val="038F4CB8"/>
    <w:rsid w:val="039E04D2"/>
    <w:rsid w:val="03E14A56"/>
    <w:rsid w:val="046229F4"/>
    <w:rsid w:val="047A39D5"/>
    <w:rsid w:val="05083AE7"/>
    <w:rsid w:val="05510126"/>
    <w:rsid w:val="05AF0186"/>
    <w:rsid w:val="060C5DEF"/>
    <w:rsid w:val="062B764F"/>
    <w:rsid w:val="06527A7A"/>
    <w:rsid w:val="06AD64E3"/>
    <w:rsid w:val="06B37672"/>
    <w:rsid w:val="06CB390E"/>
    <w:rsid w:val="071E795E"/>
    <w:rsid w:val="077D3BFA"/>
    <w:rsid w:val="07B43F5A"/>
    <w:rsid w:val="087A7ABA"/>
    <w:rsid w:val="08A53F2A"/>
    <w:rsid w:val="08F55D20"/>
    <w:rsid w:val="091B0781"/>
    <w:rsid w:val="0A115A1D"/>
    <w:rsid w:val="0A4B4C26"/>
    <w:rsid w:val="0A757080"/>
    <w:rsid w:val="0AC34EA8"/>
    <w:rsid w:val="0AEE7C6F"/>
    <w:rsid w:val="0B095A35"/>
    <w:rsid w:val="0B554D13"/>
    <w:rsid w:val="0BB91287"/>
    <w:rsid w:val="0BF262CB"/>
    <w:rsid w:val="0BFA7CB4"/>
    <w:rsid w:val="0BFC0B13"/>
    <w:rsid w:val="0C183B03"/>
    <w:rsid w:val="0C2030B4"/>
    <w:rsid w:val="0C9C697E"/>
    <w:rsid w:val="0CD619C5"/>
    <w:rsid w:val="0D1C7878"/>
    <w:rsid w:val="0D86245E"/>
    <w:rsid w:val="0E486D42"/>
    <w:rsid w:val="0F2140B2"/>
    <w:rsid w:val="0F504D9C"/>
    <w:rsid w:val="0FA967B3"/>
    <w:rsid w:val="0FBA06D1"/>
    <w:rsid w:val="105F52C2"/>
    <w:rsid w:val="107422DE"/>
    <w:rsid w:val="111E32A8"/>
    <w:rsid w:val="11266C75"/>
    <w:rsid w:val="11934328"/>
    <w:rsid w:val="11B06C88"/>
    <w:rsid w:val="11EB3836"/>
    <w:rsid w:val="12170866"/>
    <w:rsid w:val="13477BCD"/>
    <w:rsid w:val="13AD3113"/>
    <w:rsid w:val="13F55EAC"/>
    <w:rsid w:val="142F54B7"/>
    <w:rsid w:val="14D23A4D"/>
    <w:rsid w:val="151B4CF4"/>
    <w:rsid w:val="15205444"/>
    <w:rsid w:val="15FB249C"/>
    <w:rsid w:val="161B72FA"/>
    <w:rsid w:val="16B40F3C"/>
    <w:rsid w:val="177A307F"/>
    <w:rsid w:val="182E0907"/>
    <w:rsid w:val="1863523F"/>
    <w:rsid w:val="18693423"/>
    <w:rsid w:val="186F758E"/>
    <w:rsid w:val="19B33E37"/>
    <w:rsid w:val="19CF6119"/>
    <w:rsid w:val="19E04835"/>
    <w:rsid w:val="1A1A2FAC"/>
    <w:rsid w:val="1A43311F"/>
    <w:rsid w:val="1A474774"/>
    <w:rsid w:val="1A983BBC"/>
    <w:rsid w:val="1AA401A9"/>
    <w:rsid w:val="1B3D1235"/>
    <w:rsid w:val="1B46065D"/>
    <w:rsid w:val="1BEA10E3"/>
    <w:rsid w:val="1C45128F"/>
    <w:rsid w:val="1C945615"/>
    <w:rsid w:val="1D4F1A4B"/>
    <w:rsid w:val="1D864D41"/>
    <w:rsid w:val="1DAB4274"/>
    <w:rsid w:val="1DF53E0B"/>
    <w:rsid w:val="1F16523B"/>
    <w:rsid w:val="1F4E030E"/>
    <w:rsid w:val="1F605854"/>
    <w:rsid w:val="1FD60202"/>
    <w:rsid w:val="200D36E0"/>
    <w:rsid w:val="201032C0"/>
    <w:rsid w:val="2022639D"/>
    <w:rsid w:val="209F4216"/>
    <w:rsid w:val="20E21967"/>
    <w:rsid w:val="21254871"/>
    <w:rsid w:val="217C219C"/>
    <w:rsid w:val="21EC1473"/>
    <w:rsid w:val="22355B6E"/>
    <w:rsid w:val="225B4FBE"/>
    <w:rsid w:val="22673393"/>
    <w:rsid w:val="229647DF"/>
    <w:rsid w:val="22B3352F"/>
    <w:rsid w:val="231C4AC9"/>
    <w:rsid w:val="23344139"/>
    <w:rsid w:val="246C707C"/>
    <w:rsid w:val="248A5C83"/>
    <w:rsid w:val="24B108F5"/>
    <w:rsid w:val="24F320C9"/>
    <w:rsid w:val="251827FB"/>
    <w:rsid w:val="251B0006"/>
    <w:rsid w:val="258D7446"/>
    <w:rsid w:val="2672231C"/>
    <w:rsid w:val="26854172"/>
    <w:rsid w:val="268838D8"/>
    <w:rsid w:val="26C70FE6"/>
    <w:rsid w:val="278D7BBD"/>
    <w:rsid w:val="27B055DB"/>
    <w:rsid w:val="28090A48"/>
    <w:rsid w:val="282B6C11"/>
    <w:rsid w:val="285B059A"/>
    <w:rsid w:val="287F6FD1"/>
    <w:rsid w:val="288F754B"/>
    <w:rsid w:val="29235B3A"/>
    <w:rsid w:val="29F2365B"/>
    <w:rsid w:val="2A0D16FB"/>
    <w:rsid w:val="2A2B45F4"/>
    <w:rsid w:val="2A2E6F54"/>
    <w:rsid w:val="2ADB4165"/>
    <w:rsid w:val="2B4A5B06"/>
    <w:rsid w:val="2B507971"/>
    <w:rsid w:val="2B762EF6"/>
    <w:rsid w:val="2B922FA2"/>
    <w:rsid w:val="2BC2190E"/>
    <w:rsid w:val="2C3F0EDD"/>
    <w:rsid w:val="2C6C77F8"/>
    <w:rsid w:val="2C737E18"/>
    <w:rsid w:val="2CF92FDA"/>
    <w:rsid w:val="2D7E0173"/>
    <w:rsid w:val="2E1E0A26"/>
    <w:rsid w:val="2E280A1D"/>
    <w:rsid w:val="2E984B00"/>
    <w:rsid w:val="2EFB4534"/>
    <w:rsid w:val="2F2A7CFD"/>
    <w:rsid w:val="2F4D3828"/>
    <w:rsid w:val="2FE72A11"/>
    <w:rsid w:val="2FEF70D9"/>
    <w:rsid w:val="2FFB5892"/>
    <w:rsid w:val="2FFD5E42"/>
    <w:rsid w:val="30177308"/>
    <w:rsid w:val="306C6D34"/>
    <w:rsid w:val="306E22EC"/>
    <w:rsid w:val="30BA5A7F"/>
    <w:rsid w:val="30FF6765"/>
    <w:rsid w:val="31DD2EF2"/>
    <w:rsid w:val="322D4F5F"/>
    <w:rsid w:val="327271F7"/>
    <w:rsid w:val="32A93397"/>
    <w:rsid w:val="331E47FA"/>
    <w:rsid w:val="33231264"/>
    <w:rsid w:val="34044B4F"/>
    <w:rsid w:val="34157A5B"/>
    <w:rsid w:val="343414C9"/>
    <w:rsid w:val="36252EF1"/>
    <w:rsid w:val="36616A86"/>
    <w:rsid w:val="369938DF"/>
    <w:rsid w:val="36C456AD"/>
    <w:rsid w:val="371B2546"/>
    <w:rsid w:val="372F7F76"/>
    <w:rsid w:val="373A1053"/>
    <w:rsid w:val="37494C15"/>
    <w:rsid w:val="37E56E19"/>
    <w:rsid w:val="38234165"/>
    <w:rsid w:val="38412771"/>
    <w:rsid w:val="38806BDA"/>
    <w:rsid w:val="38A5656B"/>
    <w:rsid w:val="38C474F4"/>
    <w:rsid w:val="38E74774"/>
    <w:rsid w:val="38F31AFC"/>
    <w:rsid w:val="38F46C7D"/>
    <w:rsid w:val="390474B1"/>
    <w:rsid w:val="393D32C5"/>
    <w:rsid w:val="394249CF"/>
    <w:rsid w:val="395B12C8"/>
    <w:rsid w:val="39A35CDF"/>
    <w:rsid w:val="39C565CC"/>
    <w:rsid w:val="3A1C460B"/>
    <w:rsid w:val="3A2E1983"/>
    <w:rsid w:val="3A306C93"/>
    <w:rsid w:val="3A7601BF"/>
    <w:rsid w:val="3A903FE3"/>
    <w:rsid w:val="3ABC3041"/>
    <w:rsid w:val="3B635C74"/>
    <w:rsid w:val="3BC806AC"/>
    <w:rsid w:val="3BD02117"/>
    <w:rsid w:val="3C434A81"/>
    <w:rsid w:val="3C4E40BB"/>
    <w:rsid w:val="3CBB45AF"/>
    <w:rsid w:val="3CBF2D02"/>
    <w:rsid w:val="3CC53D52"/>
    <w:rsid w:val="3D3A734A"/>
    <w:rsid w:val="3D5F1103"/>
    <w:rsid w:val="3DFE185C"/>
    <w:rsid w:val="3E05150E"/>
    <w:rsid w:val="3E320D93"/>
    <w:rsid w:val="3E3D025B"/>
    <w:rsid w:val="3EDE5944"/>
    <w:rsid w:val="3FC76E88"/>
    <w:rsid w:val="3FF57DD8"/>
    <w:rsid w:val="402F1BF6"/>
    <w:rsid w:val="403361F4"/>
    <w:rsid w:val="40472C6E"/>
    <w:rsid w:val="40657F8B"/>
    <w:rsid w:val="40AC6806"/>
    <w:rsid w:val="42283963"/>
    <w:rsid w:val="42BD5DDB"/>
    <w:rsid w:val="436B4229"/>
    <w:rsid w:val="43A66696"/>
    <w:rsid w:val="43D23F8D"/>
    <w:rsid w:val="44290E08"/>
    <w:rsid w:val="442C0116"/>
    <w:rsid w:val="446C05D0"/>
    <w:rsid w:val="449D193D"/>
    <w:rsid w:val="44A040E0"/>
    <w:rsid w:val="45623E32"/>
    <w:rsid w:val="45670639"/>
    <w:rsid w:val="45FD12CF"/>
    <w:rsid w:val="467A7CCA"/>
    <w:rsid w:val="46B66679"/>
    <w:rsid w:val="46E0038F"/>
    <w:rsid w:val="470E6D90"/>
    <w:rsid w:val="475660D2"/>
    <w:rsid w:val="47A8312E"/>
    <w:rsid w:val="47B70889"/>
    <w:rsid w:val="47B71E17"/>
    <w:rsid w:val="47D619D6"/>
    <w:rsid w:val="4819770B"/>
    <w:rsid w:val="483952A2"/>
    <w:rsid w:val="485B09F4"/>
    <w:rsid w:val="49124E75"/>
    <w:rsid w:val="49366D6C"/>
    <w:rsid w:val="49933A6C"/>
    <w:rsid w:val="499A6EDE"/>
    <w:rsid w:val="49C44E12"/>
    <w:rsid w:val="49D94728"/>
    <w:rsid w:val="4A170F8C"/>
    <w:rsid w:val="4A8408BE"/>
    <w:rsid w:val="4ADF49FD"/>
    <w:rsid w:val="4B65383D"/>
    <w:rsid w:val="4B7047B7"/>
    <w:rsid w:val="4BFA4492"/>
    <w:rsid w:val="4C9C089C"/>
    <w:rsid w:val="4D784DA1"/>
    <w:rsid w:val="4E1738D6"/>
    <w:rsid w:val="4E921A5C"/>
    <w:rsid w:val="4EFF588F"/>
    <w:rsid w:val="4FD66FB7"/>
    <w:rsid w:val="4FE36B61"/>
    <w:rsid w:val="50310D99"/>
    <w:rsid w:val="50373AAF"/>
    <w:rsid w:val="505C4098"/>
    <w:rsid w:val="50B303DB"/>
    <w:rsid w:val="50CE60F5"/>
    <w:rsid w:val="50D834FD"/>
    <w:rsid w:val="513149E8"/>
    <w:rsid w:val="5149499E"/>
    <w:rsid w:val="516C7728"/>
    <w:rsid w:val="51F74E5C"/>
    <w:rsid w:val="523574FF"/>
    <w:rsid w:val="54497256"/>
    <w:rsid w:val="547E642B"/>
    <w:rsid w:val="549C516E"/>
    <w:rsid w:val="54B90E10"/>
    <w:rsid w:val="55216B22"/>
    <w:rsid w:val="55554FC3"/>
    <w:rsid w:val="55C2295F"/>
    <w:rsid w:val="56176C08"/>
    <w:rsid w:val="56C525EC"/>
    <w:rsid w:val="570C4261"/>
    <w:rsid w:val="571903F8"/>
    <w:rsid w:val="572F5526"/>
    <w:rsid w:val="575A0325"/>
    <w:rsid w:val="57AE0B41"/>
    <w:rsid w:val="57D96C32"/>
    <w:rsid w:val="589E6E07"/>
    <w:rsid w:val="58B26F0C"/>
    <w:rsid w:val="58FB4DF7"/>
    <w:rsid w:val="593A2650"/>
    <w:rsid w:val="59FE28B9"/>
    <w:rsid w:val="5A101D90"/>
    <w:rsid w:val="5A2C0443"/>
    <w:rsid w:val="5AC1460F"/>
    <w:rsid w:val="5B1D0568"/>
    <w:rsid w:val="5B2C7885"/>
    <w:rsid w:val="5B306409"/>
    <w:rsid w:val="5B7142C6"/>
    <w:rsid w:val="5B8E4424"/>
    <w:rsid w:val="5BA97BE4"/>
    <w:rsid w:val="5BB00466"/>
    <w:rsid w:val="5BB57425"/>
    <w:rsid w:val="5BC85F49"/>
    <w:rsid w:val="5BF63AEB"/>
    <w:rsid w:val="5C464613"/>
    <w:rsid w:val="5D296EBB"/>
    <w:rsid w:val="5D472F1D"/>
    <w:rsid w:val="5D495DC6"/>
    <w:rsid w:val="5DDF7248"/>
    <w:rsid w:val="5EAE58CA"/>
    <w:rsid w:val="5EE30B2E"/>
    <w:rsid w:val="5FF34F89"/>
    <w:rsid w:val="601259E5"/>
    <w:rsid w:val="60D52454"/>
    <w:rsid w:val="61594884"/>
    <w:rsid w:val="616672E8"/>
    <w:rsid w:val="61C650A3"/>
    <w:rsid w:val="61F21F72"/>
    <w:rsid w:val="622D4AA2"/>
    <w:rsid w:val="62377F97"/>
    <w:rsid w:val="62B33E70"/>
    <w:rsid w:val="636F4C8D"/>
    <w:rsid w:val="63FB6B7E"/>
    <w:rsid w:val="644E048C"/>
    <w:rsid w:val="649F229D"/>
    <w:rsid w:val="64A276AE"/>
    <w:rsid w:val="655B5652"/>
    <w:rsid w:val="656A50F4"/>
    <w:rsid w:val="65A86685"/>
    <w:rsid w:val="65B35574"/>
    <w:rsid w:val="66A20B46"/>
    <w:rsid w:val="66CA2DF6"/>
    <w:rsid w:val="67B45192"/>
    <w:rsid w:val="68356714"/>
    <w:rsid w:val="68670447"/>
    <w:rsid w:val="6870550A"/>
    <w:rsid w:val="687253AB"/>
    <w:rsid w:val="68851407"/>
    <w:rsid w:val="68896CC6"/>
    <w:rsid w:val="68A6196D"/>
    <w:rsid w:val="69032982"/>
    <w:rsid w:val="695B03FD"/>
    <w:rsid w:val="69966EAA"/>
    <w:rsid w:val="6A154A4F"/>
    <w:rsid w:val="6A5F013C"/>
    <w:rsid w:val="6B383F7F"/>
    <w:rsid w:val="6B3C5CBC"/>
    <w:rsid w:val="6B5E3407"/>
    <w:rsid w:val="6B754807"/>
    <w:rsid w:val="6B781A16"/>
    <w:rsid w:val="6B8005EE"/>
    <w:rsid w:val="6BA74F22"/>
    <w:rsid w:val="6BB535ED"/>
    <w:rsid w:val="6BBB1DB5"/>
    <w:rsid w:val="6BC0798B"/>
    <w:rsid w:val="6C3B62C3"/>
    <w:rsid w:val="6C7F2654"/>
    <w:rsid w:val="6C9F43D9"/>
    <w:rsid w:val="6D8223FC"/>
    <w:rsid w:val="6DE47A03"/>
    <w:rsid w:val="6F010B1F"/>
    <w:rsid w:val="6F097C10"/>
    <w:rsid w:val="6F863CF9"/>
    <w:rsid w:val="6F982E2E"/>
    <w:rsid w:val="6FDD4A14"/>
    <w:rsid w:val="701D465E"/>
    <w:rsid w:val="70433998"/>
    <w:rsid w:val="70701EBA"/>
    <w:rsid w:val="70925A5C"/>
    <w:rsid w:val="70956AB2"/>
    <w:rsid w:val="71314ABD"/>
    <w:rsid w:val="715C4315"/>
    <w:rsid w:val="715C745A"/>
    <w:rsid w:val="715D7E77"/>
    <w:rsid w:val="718376B4"/>
    <w:rsid w:val="72834520"/>
    <w:rsid w:val="729130E1"/>
    <w:rsid w:val="72D166CB"/>
    <w:rsid w:val="737F63F3"/>
    <w:rsid w:val="745056A7"/>
    <w:rsid w:val="7481459E"/>
    <w:rsid w:val="74EB67FE"/>
    <w:rsid w:val="761207A0"/>
    <w:rsid w:val="769251DC"/>
    <w:rsid w:val="76937428"/>
    <w:rsid w:val="77C5330C"/>
    <w:rsid w:val="77FA5F49"/>
    <w:rsid w:val="78063C29"/>
    <w:rsid w:val="78D40E93"/>
    <w:rsid w:val="78DA0134"/>
    <w:rsid w:val="790C2BC7"/>
    <w:rsid w:val="793A09A0"/>
    <w:rsid w:val="79440281"/>
    <w:rsid w:val="796F30C0"/>
    <w:rsid w:val="79A566FF"/>
    <w:rsid w:val="79D54ED7"/>
    <w:rsid w:val="7A9C5099"/>
    <w:rsid w:val="7ACF5E9B"/>
    <w:rsid w:val="7B977F85"/>
    <w:rsid w:val="7BE557F5"/>
    <w:rsid w:val="7BE95D3C"/>
    <w:rsid w:val="7C1521EF"/>
    <w:rsid w:val="7CA8482B"/>
    <w:rsid w:val="7CB32CE4"/>
    <w:rsid w:val="7D5B1CA0"/>
    <w:rsid w:val="7DA822AF"/>
    <w:rsid w:val="7EB732D9"/>
    <w:rsid w:val="7EBF43DA"/>
    <w:rsid w:val="7FE21D5C"/>
    <w:rsid w:val="FECBC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360" w:lineRule="auto"/>
      <w:textAlignment w:val="baseline"/>
    </w:pPr>
    <w:rPr>
      <w:rFonts w:ascii="Times New Roman" w:hAnsi="Times New Roman" w:eastAsia="仿宋" w:cs="Arial"/>
      <w:snapToGrid w:val="0"/>
      <w:color w:val="000000"/>
      <w:sz w:val="24"/>
      <w:szCs w:val="21"/>
      <w:lang w:val="en-US" w:eastAsia="en-US" w:bidi="ar-SA"/>
    </w:rPr>
  </w:style>
  <w:style w:type="paragraph" w:styleId="2">
    <w:name w:val="heading 1"/>
    <w:basedOn w:val="1"/>
    <w:next w:val="1"/>
    <w:qFormat/>
    <w:uiPriority w:val="0"/>
    <w:pPr>
      <w:keepNext/>
      <w:keepLines/>
      <w:spacing w:before="360" w:after="120"/>
      <w:jc w:val="center"/>
      <w:outlineLvl w:val="0"/>
    </w:pPr>
    <w:rPr>
      <w:rFonts w:eastAsia="方正小标宋简体"/>
      <w:b/>
      <w:kern w:val="44"/>
      <w:sz w:val="44"/>
    </w:rPr>
  </w:style>
  <w:style w:type="paragraph" w:styleId="3">
    <w:name w:val="heading 2"/>
    <w:basedOn w:val="1"/>
    <w:next w:val="1"/>
    <w:link w:val="35"/>
    <w:unhideWhenUsed/>
    <w:qFormat/>
    <w:uiPriority w:val="0"/>
    <w:pPr>
      <w:keepNext/>
      <w:keepLines/>
      <w:spacing w:before="163" w:beforeLines="50" w:after="120"/>
      <w:jc w:val="center"/>
      <w:outlineLvl w:val="1"/>
    </w:pPr>
    <w:rPr>
      <w:rFonts w:eastAsia="黑体" w:cs="Times New Roman"/>
      <w:b/>
      <w:sz w:val="36"/>
      <w:szCs w:val="20"/>
      <w:lang w:eastAsia="zh-CN"/>
    </w:rPr>
  </w:style>
  <w:style w:type="paragraph" w:styleId="4">
    <w:name w:val="heading 3"/>
    <w:basedOn w:val="1"/>
    <w:next w:val="1"/>
    <w:link w:val="34"/>
    <w:unhideWhenUsed/>
    <w:qFormat/>
    <w:uiPriority w:val="0"/>
    <w:pPr>
      <w:keepNext/>
      <w:keepLines/>
      <w:numPr>
        <w:ilvl w:val="0"/>
        <w:numId w:val="1"/>
      </w:numPr>
      <w:spacing w:before="163" w:beforeLines="50"/>
      <w:outlineLvl w:val="2"/>
    </w:pPr>
    <w:rPr>
      <w:rFonts w:eastAsia="仿宋_GB2312"/>
      <w:b/>
      <w:sz w:val="36"/>
      <w:lang w:eastAsia="zh-CN"/>
    </w:rPr>
  </w:style>
  <w:style w:type="paragraph" w:styleId="5">
    <w:name w:val="heading 4"/>
    <w:basedOn w:val="1"/>
    <w:next w:val="1"/>
    <w:unhideWhenUsed/>
    <w:qFormat/>
    <w:uiPriority w:val="0"/>
    <w:pPr>
      <w:keepNext/>
      <w:keepLines/>
      <w:spacing w:before="163" w:beforeLines="50"/>
      <w:ind w:firstLine="723" w:firstLineChars="200"/>
      <w:outlineLvl w:val="3"/>
    </w:pPr>
    <w:rPr>
      <w:rFonts w:eastAsia="仿宋_GB2312"/>
      <w:b/>
      <w:sz w:val="36"/>
    </w:rPr>
  </w:style>
  <w:style w:type="character" w:default="1" w:styleId="28">
    <w:name w:val="Default Paragraph Font"/>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widowControl w:val="0"/>
      <w:kinsoku/>
      <w:autoSpaceDE/>
      <w:autoSpaceDN/>
      <w:adjustRightInd/>
      <w:snapToGrid/>
      <w:spacing w:line="240" w:lineRule="auto"/>
      <w:ind w:left="2520" w:leftChars="1200"/>
      <w:jc w:val="both"/>
      <w:textAlignment w:val="auto"/>
    </w:pPr>
    <w:rPr>
      <w:rFonts w:asciiTheme="minorHAnsi" w:hAnsiTheme="minorHAnsi" w:eastAsiaTheme="minorEastAsia" w:cstheme="minorBidi"/>
      <w:snapToGrid/>
      <w:color w:val="auto"/>
      <w:kern w:val="2"/>
      <w:sz w:val="21"/>
      <w:szCs w:val="22"/>
      <w:lang w:eastAsia="zh-CN"/>
    </w:rPr>
  </w:style>
  <w:style w:type="paragraph" w:styleId="7">
    <w:name w:val="Normal Indent"/>
    <w:basedOn w:val="1"/>
    <w:next w:val="1"/>
    <w:qFormat/>
    <w:uiPriority w:val="0"/>
    <w:pPr>
      <w:ind w:firstLine="420"/>
    </w:pPr>
  </w:style>
  <w:style w:type="paragraph" w:styleId="8">
    <w:name w:val="annotation text"/>
    <w:basedOn w:val="1"/>
    <w:link w:val="39"/>
    <w:qFormat/>
    <w:uiPriority w:val="0"/>
  </w:style>
  <w:style w:type="paragraph" w:styleId="9">
    <w:name w:val="Body Text"/>
    <w:basedOn w:val="1"/>
    <w:next w:val="1"/>
    <w:semiHidden/>
    <w:qFormat/>
    <w:uiPriority w:val="0"/>
    <w:rPr>
      <w:rFonts w:eastAsia="Arial"/>
      <w:sz w:val="21"/>
    </w:rPr>
  </w:style>
  <w:style w:type="paragraph" w:styleId="10">
    <w:name w:val="Body Text Indent"/>
    <w:basedOn w:val="1"/>
    <w:next w:val="11"/>
    <w:unhideWhenUsed/>
    <w:qFormat/>
    <w:uiPriority w:val="99"/>
    <w:pPr>
      <w:spacing w:after="120"/>
      <w:ind w:left="420" w:leftChars="200"/>
    </w:pPr>
  </w:style>
  <w:style w:type="paragraph" w:styleId="11">
    <w:name w:val="Body Text Indent 2"/>
    <w:basedOn w:val="1"/>
    <w:qFormat/>
    <w:uiPriority w:val="0"/>
    <w:pPr>
      <w:spacing w:after="120" w:line="480" w:lineRule="auto"/>
      <w:ind w:left="420" w:leftChars="200"/>
    </w:pPr>
  </w:style>
  <w:style w:type="paragraph" w:styleId="12">
    <w:name w:val="toc 5"/>
    <w:basedOn w:val="1"/>
    <w:next w:val="1"/>
    <w:unhideWhenUsed/>
    <w:qFormat/>
    <w:uiPriority w:val="39"/>
    <w:pPr>
      <w:widowControl w:val="0"/>
      <w:kinsoku/>
      <w:autoSpaceDE/>
      <w:autoSpaceDN/>
      <w:adjustRightInd/>
      <w:snapToGrid/>
      <w:spacing w:line="240" w:lineRule="auto"/>
      <w:ind w:left="1680" w:leftChars="800"/>
      <w:jc w:val="both"/>
      <w:textAlignment w:val="auto"/>
    </w:pPr>
    <w:rPr>
      <w:rFonts w:asciiTheme="minorHAnsi" w:hAnsiTheme="minorHAnsi" w:eastAsiaTheme="minorEastAsia" w:cstheme="minorBidi"/>
      <w:snapToGrid/>
      <w:color w:val="auto"/>
      <w:kern w:val="2"/>
      <w:sz w:val="21"/>
      <w:szCs w:val="22"/>
      <w:lang w:eastAsia="zh-CN"/>
    </w:rPr>
  </w:style>
  <w:style w:type="paragraph" w:styleId="13">
    <w:name w:val="toc 3"/>
    <w:basedOn w:val="1"/>
    <w:next w:val="1"/>
    <w:unhideWhenUsed/>
    <w:qFormat/>
    <w:uiPriority w:val="39"/>
    <w:pPr>
      <w:ind w:left="840" w:leftChars="400"/>
    </w:pPr>
  </w:style>
  <w:style w:type="paragraph" w:styleId="14">
    <w:name w:val="toc 8"/>
    <w:basedOn w:val="1"/>
    <w:next w:val="1"/>
    <w:unhideWhenUsed/>
    <w:qFormat/>
    <w:uiPriority w:val="39"/>
    <w:pPr>
      <w:widowControl w:val="0"/>
      <w:kinsoku/>
      <w:autoSpaceDE/>
      <w:autoSpaceDN/>
      <w:adjustRightInd/>
      <w:snapToGrid/>
      <w:spacing w:line="240" w:lineRule="auto"/>
      <w:ind w:left="2940" w:leftChars="1400"/>
      <w:jc w:val="both"/>
      <w:textAlignment w:val="auto"/>
    </w:pPr>
    <w:rPr>
      <w:rFonts w:asciiTheme="minorHAnsi" w:hAnsiTheme="minorHAnsi" w:eastAsiaTheme="minorEastAsia" w:cstheme="minorBidi"/>
      <w:snapToGrid/>
      <w:color w:val="auto"/>
      <w:kern w:val="2"/>
      <w:sz w:val="21"/>
      <w:szCs w:val="22"/>
      <w:lang w:eastAsia="zh-CN"/>
    </w:rPr>
  </w:style>
  <w:style w:type="paragraph" w:styleId="15">
    <w:name w:val="Balloon Text"/>
    <w:basedOn w:val="1"/>
    <w:link w:val="33"/>
    <w:qFormat/>
    <w:uiPriority w:val="0"/>
    <w:pPr>
      <w:spacing w:line="240" w:lineRule="auto"/>
    </w:pPr>
    <w:rPr>
      <w:sz w:val="18"/>
      <w:szCs w:val="18"/>
    </w:rPr>
  </w:style>
  <w:style w:type="paragraph" w:styleId="16">
    <w:name w:val="footer"/>
    <w:basedOn w:val="1"/>
    <w:link w:val="48"/>
    <w:qFormat/>
    <w:uiPriority w:val="99"/>
    <w:pPr>
      <w:tabs>
        <w:tab w:val="center" w:pos="4153"/>
        <w:tab w:val="right" w:pos="8306"/>
      </w:tabs>
    </w:pPr>
    <w:rPr>
      <w:sz w:val="18"/>
    </w:rPr>
  </w:style>
  <w:style w:type="paragraph" w:styleId="17">
    <w:name w:val="header"/>
    <w:basedOn w:val="1"/>
    <w:link w:val="42"/>
    <w:qFormat/>
    <w:uiPriority w:val="99"/>
    <w:pPr>
      <w:pBdr>
        <w:top w:val="none" w:color="auto" w:sz="0" w:space="1"/>
        <w:left w:val="none" w:color="auto" w:sz="0" w:space="4"/>
        <w:bottom w:val="none" w:color="auto" w:sz="0" w:space="1"/>
        <w:right w:val="none" w:color="auto" w:sz="0" w:space="4"/>
      </w:pBdr>
      <w:tabs>
        <w:tab w:val="center" w:pos="4153"/>
        <w:tab w:val="right" w:pos="8306"/>
      </w:tabs>
      <w:spacing w:line="240" w:lineRule="auto"/>
      <w:jc w:val="both"/>
    </w:pPr>
    <w:rPr>
      <w:sz w:val="18"/>
    </w:rPr>
  </w:style>
  <w:style w:type="paragraph" w:styleId="18">
    <w:name w:val="toc 1"/>
    <w:basedOn w:val="1"/>
    <w:next w:val="1"/>
    <w:unhideWhenUsed/>
    <w:qFormat/>
    <w:uiPriority w:val="39"/>
    <w:pPr>
      <w:tabs>
        <w:tab w:val="right" w:leader="dot" w:pos="8296"/>
      </w:tabs>
      <w:jc w:val="center"/>
    </w:pPr>
    <w:rPr>
      <w:rFonts w:ascii="黑体" w:hAnsi="黑体" w:eastAsia="黑体"/>
      <w:b/>
      <w:lang w:eastAsia="zh-CN"/>
    </w:rPr>
  </w:style>
  <w:style w:type="paragraph" w:styleId="19">
    <w:name w:val="toc 4"/>
    <w:basedOn w:val="1"/>
    <w:next w:val="1"/>
    <w:unhideWhenUsed/>
    <w:qFormat/>
    <w:uiPriority w:val="39"/>
    <w:pPr>
      <w:widowControl w:val="0"/>
      <w:kinsoku/>
      <w:autoSpaceDE/>
      <w:autoSpaceDN/>
      <w:adjustRightInd/>
      <w:snapToGrid/>
      <w:spacing w:line="240" w:lineRule="auto"/>
      <w:ind w:left="1260" w:leftChars="600"/>
      <w:jc w:val="both"/>
      <w:textAlignment w:val="auto"/>
    </w:pPr>
    <w:rPr>
      <w:rFonts w:asciiTheme="minorHAnsi" w:hAnsiTheme="minorHAnsi" w:eastAsiaTheme="minorEastAsia" w:cstheme="minorBidi"/>
      <w:snapToGrid/>
      <w:color w:val="auto"/>
      <w:kern w:val="2"/>
      <w:sz w:val="21"/>
      <w:szCs w:val="22"/>
      <w:lang w:eastAsia="zh-CN"/>
    </w:rPr>
  </w:style>
  <w:style w:type="paragraph" w:styleId="20">
    <w:name w:val="Subtitle"/>
    <w:basedOn w:val="1"/>
    <w:next w:val="1"/>
    <w:link w:val="59"/>
    <w:qFormat/>
    <w:uiPriority w:val="11"/>
    <w:pPr>
      <w:jc w:val="center"/>
    </w:pPr>
    <w:rPr>
      <w:b/>
      <w:bCs/>
      <w:kern w:val="28"/>
      <w:szCs w:val="32"/>
    </w:rPr>
  </w:style>
  <w:style w:type="paragraph" w:styleId="21">
    <w:name w:val="toc 6"/>
    <w:basedOn w:val="1"/>
    <w:next w:val="1"/>
    <w:unhideWhenUsed/>
    <w:qFormat/>
    <w:uiPriority w:val="39"/>
    <w:pPr>
      <w:widowControl w:val="0"/>
      <w:kinsoku/>
      <w:autoSpaceDE/>
      <w:autoSpaceDN/>
      <w:adjustRightInd/>
      <w:snapToGrid/>
      <w:spacing w:line="240" w:lineRule="auto"/>
      <w:ind w:left="2100" w:leftChars="1000"/>
      <w:jc w:val="both"/>
      <w:textAlignment w:val="auto"/>
    </w:pPr>
    <w:rPr>
      <w:rFonts w:asciiTheme="minorHAnsi" w:hAnsiTheme="minorHAnsi" w:eastAsiaTheme="minorEastAsia" w:cstheme="minorBidi"/>
      <w:snapToGrid/>
      <w:color w:val="auto"/>
      <w:kern w:val="2"/>
      <w:sz w:val="21"/>
      <w:szCs w:val="22"/>
      <w:lang w:eastAsia="zh-CN"/>
    </w:r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widowControl w:val="0"/>
      <w:kinsoku/>
      <w:autoSpaceDE/>
      <w:autoSpaceDN/>
      <w:adjustRightInd/>
      <w:snapToGrid/>
      <w:spacing w:line="240" w:lineRule="auto"/>
      <w:ind w:left="3360" w:leftChars="1600"/>
      <w:jc w:val="both"/>
      <w:textAlignment w:val="auto"/>
    </w:pPr>
    <w:rPr>
      <w:rFonts w:asciiTheme="minorHAnsi" w:hAnsiTheme="minorHAnsi" w:eastAsiaTheme="minorEastAsia" w:cstheme="minorBidi"/>
      <w:snapToGrid/>
      <w:color w:val="auto"/>
      <w:kern w:val="2"/>
      <w:sz w:val="21"/>
      <w:szCs w:val="22"/>
      <w:lang w:eastAsia="zh-CN"/>
    </w:rPr>
  </w:style>
  <w:style w:type="paragraph" w:styleId="24">
    <w:name w:val="Body Text 2"/>
    <w:basedOn w:val="1"/>
    <w:link w:val="50"/>
    <w:semiHidden/>
    <w:unhideWhenUsed/>
    <w:qFormat/>
    <w:uiPriority w:val="0"/>
    <w:pPr>
      <w:spacing w:after="120" w:line="480" w:lineRule="auto"/>
    </w:pPr>
  </w:style>
  <w:style w:type="paragraph" w:styleId="25">
    <w:name w:val="Normal (Web)"/>
    <w:basedOn w:val="1"/>
    <w:qFormat/>
    <w:uiPriority w:val="99"/>
    <w:pPr>
      <w:spacing w:beforeAutospacing="1" w:afterAutospacing="1"/>
    </w:pPr>
    <w:rPr>
      <w:rFonts w:cs="Times New Roman"/>
      <w:lang w:eastAsia="zh-CN"/>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rPr>
  </w:style>
  <w:style w:type="character" w:styleId="30">
    <w:name w:val="Hyperlink"/>
    <w:basedOn w:val="28"/>
    <w:unhideWhenUsed/>
    <w:qFormat/>
    <w:uiPriority w:val="99"/>
    <w:rPr>
      <w:color w:val="0026E5" w:themeColor="hyperlink"/>
      <w:u w:val="single"/>
      <w14:textFill>
        <w14:solidFill>
          <w14:schemeClr w14:val="hlink"/>
        </w14:solidFill>
      </w14:textFill>
    </w:rPr>
  </w:style>
  <w:style w:type="paragraph" w:styleId="31">
    <w:name w:val="List Paragraph"/>
    <w:basedOn w:val="1"/>
    <w:qFormat/>
    <w:uiPriority w:val="34"/>
    <w:pPr>
      <w:kinsoku/>
      <w:spacing w:line="240" w:lineRule="auto"/>
      <w:ind w:firstLine="240" w:firstLineChars="100"/>
      <w:jc w:val="center"/>
    </w:pPr>
    <w:rPr>
      <w:rFonts w:ascii="仿宋_GB2312" w:hAnsi="仿宋" w:eastAsia="仿宋_GB2312" w:cs="仿宋"/>
      <w:szCs w:val="24"/>
      <w:lang w:eastAsia="zh-CN"/>
    </w:rPr>
  </w:style>
  <w:style w:type="paragraph" w:customStyle="1" w:styleId="32">
    <w:name w:val="表格文本"/>
    <w:basedOn w:val="1"/>
    <w:qFormat/>
    <w:uiPriority w:val="0"/>
    <w:pPr>
      <w:kinsoku/>
      <w:spacing w:line="600" w:lineRule="exact"/>
      <w:ind w:firstLine="723" w:firstLineChars="200"/>
      <w:jc w:val="both"/>
    </w:pPr>
    <w:rPr>
      <w:rFonts w:hint="eastAsia" w:eastAsia="仿宋_GB2312"/>
      <w:sz w:val="36"/>
    </w:rPr>
  </w:style>
  <w:style w:type="character" w:customStyle="1" w:styleId="33">
    <w:name w:val="批注框文本 字符"/>
    <w:basedOn w:val="28"/>
    <w:link w:val="15"/>
    <w:qFormat/>
    <w:uiPriority w:val="0"/>
    <w:rPr>
      <w:rFonts w:ascii="Arial" w:hAnsi="Arial" w:eastAsia="仿宋" w:cs="Arial"/>
      <w:snapToGrid w:val="0"/>
      <w:color w:val="000000"/>
      <w:sz w:val="18"/>
      <w:szCs w:val="18"/>
      <w:lang w:eastAsia="en-US"/>
    </w:rPr>
  </w:style>
  <w:style w:type="character" w:customStyle="1" w:styleId="34">
    <w:name w:val="标题 3 字符"/>
    <w:link w:val="4"/>
    <w:qFormat/>
    <w:uiPriority w:val="0"/>
    <w:rPr>
      <w:rFonts w:ascii="Arial" w:hAnsi="Arial" w:eastAsia="仿宋_GB2312" w:cs="Arial"/>
      <w:b/>
      <w:snapToGrid w:val="0"/>
      <w:color w:val="000000"/>
      <w:sz w:val="36"/>
      <w:szCs w:val="21"/>
    </w:rPr>
  </w:style>
  <w:style w:type="character" w:customStyle="1" w:styleId="35">
    <w:name w:val="标题 2 字符"/>
    <w:link w:val="3"/>
    <w:qFormat/>
    <w:uiPriority w:val="0"/>
    <w:rPr>
      <w:rFonts w:ascii="Arial" w:hAnsi="Arial" w:eastAsia="黑体"/>
      <w:b/>
      <w:snapToGrid w:val="0"/>
      <w:color w:val="000000"/>
      <w:sz w:val="36"/>
    </w:rPr>
  </w:style>
  <w:style w:type="table" w:customStyle="1" w:styleId="36">
    <w:name w:val="网格型浅色1"/>
    <w:basedOn w:val="26"/>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37">
    <w:name w:val="图表标题"/>
    <w:basedOn w:val="1"/>
    <w:link w:val="38"/>
    <w:qFormat/>
    <w:uiPriority w:val="0"/>
    <w:pPr>
      <w:widowControl w:val="0"/>
      <w:kinsoku/>
      <w:autoSpaceDE/>
      <w:autoSpaceDN/>
      <w:adjustRightInd/>
      <w:snapToGrid/>
      <w:jc w:val="center"/>
      <w:textAlignment w:val="auto"/>
    </w:pPr>
    <w:rPr>
      <w:rFonts w:ascii="宋体" w:hAnsi="宋体" w:eastAsiaTheme="minorEastAsia" w:cstheme="minorBidi"/>
      <w:b/>
      <w:snapToGrid/>
      <w:color w:val="auto"/>
      <w:kern w:val="2"/>
      <w:sz w:val="21"/>
      <w:szCs w:val="22"/>
      <w:lang w:eastAsia="zh-CN"/>
    </w:rPr>
  </w:style>
  <w:style w:type="character" w:customStyle="1" w:styleId="38">
    <w:name w:val="图表标题 字符"/>
    <w:basedOn w:val="28"/>
    <w:link w:val="37"/>
    <w:qFormat/>
    <w:uiPriority w:val="0"/>
    <w:rPr>
      <w:rFonts w:ascii="宋体" w:hAnsi="宋体" w:eastAsiaTheme="minorEastAsia" w:cstheme="minorBidi"/>
      <w:b/>
      <w:kern w:val="2"/>
      <w:sz w:val="21"/>
      <w:szCs w:val="22"/>
    </w:rPr>
  </w:style>
  <w:style w:type="character" w:customStyle="1" w:styleId="39">
    <w:name w:val="批注文字 字符"/>
    <w:basedOn w:val="28"/>
    <w:link w:val="8"/>
    <w:qFormat/>
    <w:uiPriority w:val="0"/>
    <w:rPr>
      <w:rFonts w:ascii="Arial" w:hAnsi="Arial" w:eastAsia="仿宋" w:cs="Arial"/>
      <w:snapToGrid w:val="0"/>
      <w:color w:val="000000"/>
      <w:sz w:val="24"/>
      <w:szCs w:val="21"/>
      <w:lang w:eastAsia="en-US"/>
    </w:rPr>
  </w:style>
  <w:style w:type="paragraph" w:customStyle="1" w:styleId="40">
    <w:name w:val="图片"/>
    <w:basedOn w:val="1"/>
    <w:link w:val="41"/>
    <w:qFormat/>
    <w:uiPriority w:val="0"/>
    <w:pPr>
      <w:widowControl w:val="0"/>
      <w:kinsoku/>
      <w:autoSpaceDE/>
      <w:autoSpaceDN/>
      <w:adjustRightInd/>
      <w:snapToGrid/>
      <w:spacing w:line="240" w:lineRule="auto"/>
      <w:jc w:val="center"/>
      <w:textAlignment w:val="auto"/>
    </w:pPr>
    <w:rPr>
      <w:rFonts w:asciiTheme="minorHAnsi" w:hAnsiTheme="minorHAnsi" w:eastAsiaTheme="minorEastAsia" w:cstheme="minorBidi"/>
      <w:snapToGrid/>
      <w:color w:val="auto"/>
      <w:kern w:val="2"/>
      <w:sz w:val="21"/>
      <w:szCs w:val="22"/>
      <w:lang w:eastAsia="zh-CN"/>
    </w:rPr>
  </w:style>
  <w:style w:type="character" w:customStyle="1" w:styleId="41">
    <w:name w:val="图片 字符"/>
    <w:basedOn w:val="28"/>
    <w:link w:val="40"/>
    <w:qFormat/>
    <w:uiPriority w:val="0"/>
    <w:rPr>
      <w:rFonts w:asciiTheme="minorHAnsi" w:hAnsiTheme="minorHAnsi" w:eastAsiaTheme="minorEastAsia" w:cstheme="minorBidi"/>
      <w:kern w:val="2"/>
      <w:sz w:val="21"/>
      <w:szCs w:val="22"/>
    </w:rPr>
  </w:style>
  <w:style w:type="character" w:customStyle="1" w:styleId="42">
    <w:name w:val="页眉 字符"/>
    <w:basedOn w:val="28"/>
    <w:link w:val="17"/>
    <w:qFormat/>
    <w:uiPriority w:val="99"/>
    <w:rPr>
      <w:rFonts w:ascii="Arial" w:hAnsi="Arial" w:eastAsia="仿宋" w:cs="Arial"/>
      <w:snapToGrid w:val="0"/>
      <w:color w:val="000000"/>
      <w:sz w:val="18"/>
      <w:szCs w:val="21"/>
      <w:lang w:eastAsia="en-US"/>
    </w:rPr>
  </w:style>
  <w:style w:type="paragraph" w:customStyle="1" w:styleId="43">
    <w:name w:val="Table Paragraph"/>
    <w:basedOn w:val="1"/>
    <w:qFormat/>
    <w:uiPriority w:val="1"/>
    <w:rPr>
      <w:rFonts w:ascii="宋体" w:hAnsi="宋体" w:eastAsia="宋体" w:cs="宋体"/>
      <w:lang w:eastAsia="zh-CN"/>
    </w:rPr>
  </w:style>
  <w:style w:type="paragraph" w:customStyle="1" w:styleId="44">
    <w:name w:val="表名图名"/>
    <w:basedOn w:val="1"/>
    <w:qFormat/>
    <w:uiPriority w:val="0"/>
    <w:pPr>
      <w:keepNext/>
      <w:widowControl w:val="0"/>
      <w:kinsoku/>
      <w:autoSpaceDE/>
      <w:autoSpaceDN/>
      <w:adjustRightInd/>
      <w:snapToGrid/>
      <w:jc w:val="center"/>
      <w:textAlignment w:val="auto"/>
    </w:pPr>
    <w:rPr>
      <w:rFonts w:cs="Times New Roman"/>
      <w:b/>
      <w:snapToGrid/>
      <w:color w:val="auto"/>
      <w:kern w:val="2"/>
      <w:szCs w:val="24"/>
      <w:lang w:eastAsia="zh-CN"/>
    </w:rPr>
  </w:style>
  <w:style w:type="paragraph" w:customStyle="1" w:styleId="45">
    <w:name w:val="小标题"/>
    <w:basedOn w:val="1"/>
    <w:qFormat/>
    <w:uiPriority w:val="0"/>
    <w:pPr>
      <w:keepNext/>
      <w:keepLines/>
      <w:widowControl w:val="0"/>
      <w:kinsoku/>
      <w:autoSpaceDE/>
      <w:autoSpaceDN/>
      <w:adjustRightInd/>
      <w:snapToGrid/>
      <w:ind w:firstLine="883" w:firstLineChars="200"/>
      <w:jc w:val="both"/>
      <w:textAlignment w:val="auto"/>
      <w:outlineLvl w:val="2"/>
    </w:pPr>
    <w:rPr>
      <w:rFonts w:cs="Times New Roman"/>
      <w:b/>
      <w:snapToGrid/>
      <w:color w:val="auto"/>
      <w:kern w:val="2"/>
      <w:sz w:val="28"/>
      <w:szCs w:val="24"/>
      <w:lang w:eastAsia="zh-CN"/>
    </w:rPr>
  </w:style>
  <w:style w:type="paragraph" w:customStyle="1" w:styleId="46">
    <w:name w:val="表内文字"/>
    <w:basedOn w:val="1"/>
    <w:qFormat/>
    <w:uiPriority w:val="0"/>
    <w:pPr>
      <w:keepNext/>
      <w:widowControl w:val="0"/>
      <w:kinsoku/>
      <w:autoSpaceDE/>
      <w:autoSpaceDN/>
      <w:adjustRightInd/>
      <w:snapToGrid/>
      <w:spacing w:line="240" w:lineRule="auto"/>
      <w:jc w:val="center"/>
      <w:textAlignment w:val="auto"/>
    </w:pPr>
    <w:rPr>
      <w:rFonts w:cs="Times New Roman"/>
      <w:snapToGrid/>
      <w:color w:val="auto"/>
      <w:kern w:val="2"/>
      <w:sz w:val="21"/>
      <w:szCs w:val="24"/>
      <w:lang w:eastAsia="zh-CN"/>
    </w:rPr>
  </w:style>
  <w:style w:type="paragraph" w:customStyle="1" w:styleId="47">
    <w:name w:val="TOC 标题1"/>
    <w:basedOn w:val="2"/>
    <w:next w:val="1"/>
    <w:unhideWhenUsed/>
    <w:qFormat/>
    <w:uiPriority w:val="39"/>
    <w:pPr>
      <w:kinsoku/>
      <w:autoSpaceDE/>
      <w:autoSpaceDN/>
      <w:adjustRightInd/>
      <w:snapToGrid/>
      <w:spacing w:before="240" w:after="0" w:line="259" w:lineRule="auto"/>
      <w:jc w:val="left"/>
      <w:textAlignment w:val="auto"/>
      <w:outlineLvl w:val="9"/>
    </w:pPr>
    <w:rPr>
      <w:rFonts w:asciiTheme="majorHAnsi" w:hAnsiTheme="majorHAnsi" w:eastAsiaTheme="majorEastAsia" w:cstheme="majorBidi"/>
      <w:b w:val="0"/>
      <w:snapToGrid/>
      <w:color w:val="2E54A1" w:themeColor="accent1" w:themeShade="BF"/>
      <w:kern w:val="0"/>
      <w:sz w:val="32"/>
      <w:szCs w:val="32"/>
      <w:lang w:eastAsia="zh-CN"/>
    </w:rPr>
  </w:style>
  <w:style w:type="character" w:customStyle="1" w:styleId="48">
    <w:name w:val="页脚 字符"/>
    <w:basedOn w:val="28"/>
    <w:link w:val="16"/>
    <w:qFormat/>
    <w:uiPriority w:val="99"/>
    <w:rPr>
      <w:rFonts w:ascii="Arial" w:hAnsi="Arial" w:eastAsia="仿宋" w:cs="Arial"/>
      <w:snapToGrid w:val="0"/>
      <w:color w:val="000000"/>
      <w:sz w:val="18"/>
      <w:szCs w:val="21"/>
      <w:lang w:eastAsia="en-US"/>
    </w:rPr>
  </w:style>
  <w:style w:type="paragraph" w:customStyle="1" w:styleId="49">
    <w:name w:val="文本条款"/>
    <w:basedOn w:val="1"/>
    <w:qFormat/>
    <w:uiPriority w:val="0"/>
    <w:pPr>
      <w:widowControl w:val="0"/>
      <w:kinsoku/>
      <w:snapToGrid/>
      <w:spacing w:before="50" w:beforeLines="50" w:after="50" w:afterLines="50" w:line="240" w:lineRule="auto"/>
      <w:textAlignment w:val="auto"/>
      <w:outlineLvl w:val="3"/>
    </w:pPr>
    <w:rPr>
      <w:rFonts w:hint="eastAsia" w:ascii="宋体" w:hAnsi="宋体" w:eastAsia="楷体" w:cs="Times New Roman"/>
      <w:snapToGrid/>
      <w:color w:val="auto"/>
      <w:sz w:val="28"/>
      <w:szCs w:val="20"/>
      <w:lang w:eastAsia="zh-CN"/>
    </w:rPr>
  </w:style>
  <w:style w:type="character" w:customStyle="1" w:styleId="50">
    <w:name w:val="正文文本 2 字符"/>
    <w:basedOn w:val="28"/>
    <w:link w:val="24"/>
    <w:qFormat/>
    <w:uiPriority w:val="99"/>
    <w:rPr>
      <w:rFonts w:ascii="Arial" w:hAnsi="Arial" w:eastAsia="仿宋" w:cs="Arial"/>
      <w:snapToGrid w:val="0"/>
      <w:color w:val="000000"/>
      <w:sz w:val="24"/>
      <w:szCs w:val="21"/>
      <w:lang w:eastAsia="en-US"/>
    </w:rPr>
  </w:style>
  <w:style w:type="paragraph" w:customStyle="1" w:styleId="51">
    <w:name w:val="专栏文字"/>
    <w:qFormat/>
    <w:uiPriority w:val="0"/>
    <w:pPr>
      <w:ind w:firstLine="200" w:firstLineChars="200"/>
    </w:pPr>
    <w:rPr>
      <w:rFonts w:ascii="Calibri" w:hAnsi="Calibri" w:eastAsia="仿宋" w:cs="Times New Roman"/>
      <w:sz w:val="22"/>
      <w:lang w:val="en-US" w:eastAsia="zh-CN" w:bidi="ar-SA"/>
    </w:rPr>
  </w:style>
  <w:style w:type="character" w:customStyle="1" w:styleId="52">
    <w:name w:val="font31"/>
    <w:basedOn w:val="28"/>
    <w:qFormat/>
    <w:uiPriority w:val="0"/>
    <w:rPr>
      <w:rFonts w:hint="eastAsia" w:ascii="仿宋" w:hAnsi="仿宋" w:eastAsia="仿宋"/>
      <w:color w:val="000000"/>
      <w:sz w:val="24"/>
      <w:szCs w:val="24"/>
      <w:u w:val="none"/>
    </w:rPr>
  </w:style>
  <w:style w:type="character" w:customStyle="1" w:styleId="53">
    <w:name w:val="font41"/>
    <w:basedOn w:val="28"/>
    <w:qFormat/>
    <w:uiPriority w:val="0"/>
    <w:rPr>
      <w:rFonts w:hint="eastAsia" w:ascii="仿宋" w:hAnsi="仿宋" w:eastAsia="仿宋"/>
      <w:color w:val="000000"/>
      <w:sz w:val="18"/>
      <w:szCs w:val="18"/>
      <w:u w:val="none"/>
    </w:rPr>
  </w:style>
  <w:style w:type="character" w:customStyle="1" w:styleId="54">
    <w:name w:val="font01"/>
    <w:basedOn w:val="28"/>
    <w:qFormat/>
    <w:uiPriority w:val="0"/>
    <w:rPr>
      <w:rFonts w:hint="eastAsia" w:ascii="仿宋" w:hAnsi="仿宋" w:eastAsia="仿宋"/>
      <w:color w:val="000000"/>
      <w:sz w:val="22"/>
      <w:szCs w:val="22"/>
      <w:u w:val="none"/>
    </w:rPr>
  </w:style>
  <w:style w:type="character" w:customStyle="1" w:styleId="55">
    <w:name w:val="font21"/>
    <w:basedOn w:val="28"/>
    <w:qFormat/>
    <w:uiPriority w:val="0"/>
    <w:rPr>
      <w:rFonts w:hint="eastAsia" w:ascii="宋体" w:hAnsi="宋体" w:eastAsia="宋体"/>
      <w:color w:val="000000"/>
      <w:sz w:val="22"/>
      <w:szCs w:val="22"/>
      <w:u w:val="none"/>
    </w:rPr>
  </w:style>
  <w:style w:type="character" w:customStyle="1" w:styleId="56">
    <w:name w:val="font11"/>
    <w:basedOn w:val="28"/>
    <w:qFormat/>
    <w:uiPriority w:val="0"/>
    <w:rPr>
      <w:rFonts w:hint="eastAsia" w:ascii="仿宋" w:hAnsi="仿宋" w:eastAsia="仿宋" w:cs="仿宋"/>
      <w:b/>
      <w:bCs/>
      <w:color w:val="000000"/>
      <w:sz w:val="21"/>
      <w:szCs w:val="21"/>
      <w:u w:val="none"/>
    </w:rPr>
  </w:style>
  <w:style w:type="character" w:customStyle="1" w:styleId="57">
    <w:name w:val="font51"/>
    <w:basedOn w:val="28"/>
    <w:qFormat/>
    <w:uiPriority w:val="0"/>
    <w:rPr>
      <w:rFonts w:hint="eastAsia" w:ascii="宋体" w:hAnsi="宋体" w:eastAsia="宋体" w:cs="宋体"/>
      <w:color w:val="000000"/>
      <w:sz w:val="24"/>
      <w:szCs w:val="24"/>
      <w:u w:val="none"/>
    </w:rPr>
  </w:style>
  <w:style w:type="character" w:customStyle="1" w:styleId="58">
    <w:name w:val="未处理的提及1"/>
    <w:basedOn w:val="28"/>
    <w:semiHidden/>
    <w:unhideWhenUsed/>
    <w:qFormat/>
    <w:uiPriority w:val="99"/>
    <w:rPr>
      <w:color w:val="605E5C"/>
      <w:shd w:val="clear" w:color="auto" w:fill="E1DFDD"/>
    </w:rPr>
  </w:style>
  <w:style w:type="character" w:customStyle="1" w:styleId="59">
    <w:name w:val="副标题 字符"/>
    <w:link w:val="20"/>
    <w:qFormat/>
    <w:uiPriority w:val="11"/>
    <w:rPr>
      <w:b/>
      <w:bCs/>
      <w:kern w:val="28"/>
      <w:szCs w:val="32"/>
    </w:rPr>
  </w:style>
  <w:style w:type="paragraph" w:customStyle="1" w:styleId="60">
    <w:name w:val="专栏名"/>
    <w:basedOn w:val="1"/>
    <w:next w:val="1"/>
    <w:qFormat/>
    <w:uiPriority w:val="0"/>
    <w:pPr>
      <w:numPr>
        <w:ilvl w:val="2"/>
        <w:numId w:val="2"/>
      </w:numPr>
      <w:spacing w:line="240" w:lineRule="auto"/>
      <w:ind w:firstLine="0" w:firstLineChars="0"/>
      <w:jc w:val="center"/>
    </w:pPr>
    <w:rPr>
      <w:rFonts w:eastAsia="黑体"/>
      <w:sz w:val="24"/>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2.jpeg"/><Relationship Id="rId34" Type="http://schemas.openxmlformats.org/officeDocument/2006/relationships/image" Target="media/image11.jpeg"/><Relationship Id="rId33" Type="http://schemas.openxmlformats.org/officeDocument/2006/relationships/image" Target="media/image10.jpeg"/><Relationship Id="rId32" Type="http://schemas.openxmlformats.org/officeDocument/2006/relationships/image" Target="media/image9.jpeg"/><Relationship Id="rId31" Type="http://schemas.openxmlformats.org/officeDocument/2006/relationships/image" Target="media/image8.jpeg"/><Relationship Id="rId30" Type="http://schemas.openxmlformats.org/officeDocument/2006/relationships/image" Target="media/image7.jpeg"/><Relationship Id="rId3" Type="http://schemas.openxmlformats.org/officeDocument/2006/relationships/footnotes" Target="footnotes.xml"/><Relationship Id="rId29" Type="http://schemas.openxmlformats.org/officeDocument/2006/relationships/image" Target="media/image6.jpeg"/><Relationship Id="rId28" Type="http://schemas.openxmlformats.org/officeDocument/2006/relationships/image" Target="media/image5.jpeg"/><Relationship Id="rId27" Type="http://schemas.openxmlformats.org/officeDocument/2006/relationships/image" Target="media/image4.jpeg"/><Relationship Id="rId26" Type="http://schemas.openxmlformats.org/officeDocument/2006/relationships/image" Target="media/image3.jpeg"/><Relationship Id="rId25" Type="http://schemas.openxmlformats.org/officeDocument/2006/relationships/image" Target="media/image2.jpeg"/><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0.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26041</Words>
  <Characters>26973</Characters>
  <Lines>375</Lines>
  <Paragraphs>105</Paragraphs>
  <TotalTime>15</TotalTime>
  <ScaleCrop>false</ScaleCrop>
  <LinksUpToDate>false</LinksUpToDate>
  <CharactersWithSpaces>27147</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2024-11-27T13:30:00Z</dcterms:created>
  <dc:creator>wizard！</dc:creator>
  <cp:lastModifiedBy>kylin</cp:lastModifiedBy>
  <cp:lastPrinted>2024-11-27T13:47:00Z</cp:lastPrinted>
  <dcterms:modified xsi:type="dcterms:W3CDTF">2026-05-19T15:25:01Z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2BEEC5CEF4D945D78F9C8007C37CC695_13</vt:lpwstr>
  </property>
  <property fmtid="{D5CDD505-2E9C-101B-9397-08002B2CF9AE}" pid="4" name="KSOTemplateDocerSaveRecord">
    <vt:lpwstr>eyJoZGlkIjoiMmQ1MjVlZTI5NTdjYjE1ZGM1OGVmYjE3MmRiNTAwZDAiLCJ1c2VySWQiOiI3Mzc4NjQ2ODYifQ==</vt:lpwstr>
  </property>
</Properties>
</file>