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 w:val="36"/>
          <w:szCs w:val="36"/>
          <w:u w:val="none"/>
        </w:rPr>
      </w:pPr>
      <w:bookmarkStart w:id="23" w:name="_GoBack"/>
      <w:bookmarkEnd w:id="23"/>
    </w:p>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 w:val="36"/>
          <w:szCs w:val="36"/>
          <w:u w:val="none"/>
        </w:rPr>
      </w:pPr>
    </w:p>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 w:val="36"/>
          <w:szCs w:val="36"/>
          <w:u w:val="none"/>
        </w:rPr>
      </w:pPr>
    </w:p>
    <w:p>
      <w:pPr>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bCs/>
          <w:color w:val="auto"/>
          <w:sz w:val="72"/>
          <w:szCs w:val="72"/>
          <w:u w:val="none"/>
        </w:rPr>
      </w:pPr>
      <w:r>
        <w:rPr>
          <w:rFonts w:hint="default" w:ascii="Times New Roman" w:hAnsi="Times New Roman" w:eastAsia="宋体" w:cs="Times New Roman"/>
          <w:bCs/>
          <w:color w:val="auto"/>
          <w:sz w:val="72"/>
          <w:szCs w:val="72"/>
          <w:u w:val="none"/>
        </w:rPr>
        <w:t>建设项目环境影响报告表</w:t>
      </w:r>
    </w:p>
    <w:p>
      <w:pPr>
        <w:keepNext w:val="0"/>
        <w:keepLines w:val="0"/>
        <w:pageBreakBefore w:val="0"/>
        <w:kinsoku/>
        <w:wordWrap/>
        <w:overflowPunct/>
        <w:topLinePunct w:val="0"/>
        <w:bidi w:val="0"/>
        <w:adjustRightInd/>
        <w:snapToGrid/>
        <w:spacing w:before="192" w:beforeLines="80"/>
        <w:jc w:val="center"/>
        <w:rPr>
          <w:rFonts w:hint="default" w:ascii="Times New Roman" w:hAnsi="Times New Roman" w:eastAsia="宋体" w:cs="Times New Roman"/>
          <w:bCs/>
          <w:color w:val="auto"/>
          <w:sz w:val="48"/>
          <w:szCs w:val="48"/>
          <w:u w:val="none"/>
        </w:rPr>
      </w:pPr>
      <w:r>
        <w:rPr>
          <w:rFonts w:hint="default" w:ascii="Times New Roman" w:hAnsi="Times New Roman" w:eastAsia="宋体" w:cs="Times New Roman"/>
          <w:bCs/>
          <w:color w:val="auto"/>
          <w:sz w:val="48"/>
          <w:szCs w:val="48"/>
          <w:u w:val="none"/>
        </w:rPr>
        <w:t>（污染影响类）</w:t>
      </w:r>
    </w:p>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 w:val="36"/>
          <w:szCs w:val="36"/>
          <w:u w:val="none"/>
        </w:rPr>
      </w:pPr>
    </w:p>
    <w:p>
      <w:pPr>
        <w:keepNext w:val="0"/>
        <w:keepLines w:val="0"/>
        <w:pageBreakBefore w:val="0"/>
        <w:kinsoku/>
        <w:wordWrap/>
        <w:overflowPunct/>
        <w:topLinePunct w:val="0"/>
        <w:bidi w:val="0"/>
        <w:adjustRightInd/>
        <w:snapToGrid/>
        <w:spacing w:line="288" w:lineRule="auto"/>
        <w:jc w:val="center"/>
        <w:outlineLvl w:val="9"/>
        <w:rPr>
          <w:rFonts w:hint="default" w:ascii="Times New Roman" w:hAnsi="Times New Roman" w:eastAsia="宋体" w:cs="Times New Roman"/>
          <w:color w:val="auto"/>
          <w:kern w:val="44"/>
          <w:sz w:val="44"/>
          <w:szCs w:val="44"/>
          <w:u w:val="none"/>
        </w:rPr>
      </w:pP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52"/>
          <w:szCs w:val="52"/>
          <w:u w:val="none"/>
        </w:rPr>
      </w:pPr>
    </w:p>
    <w:p>
      <w:pPr>
        <w:keepNext w:val="0"/>
        <w:keepLines w:val="0"/>
        <w:pageBreakBefore w:val="0"/>
        <w:kinsoku/>
        <w:wordWrap/>
        <w:overflowPunct/>
        <w:topLinePunct w:val="0"/>
        <w:bidi w:val="0"/>
        <w:adjustRightInd/>
        <w:snapToGrid/>
        <w:ind w:firstLine="1040"/>
        <w:rPr>
          <w:rFonts w:hint="default" w:ascii="Times New Roman" w:hAnsi="Times New Roman" w:eastAsia="宋体" w:cs="Times New Roman"/>
          <w:color w:val="auto"/>
          <w:sz w:val="44"/>
          <w:szCs w:val="44"/>
          <w:u w:val="none"/>
        </w:rPr>
      </w:pPr>
    </w:p>
    <w:p>
      <w:pPr>
        <w:keepNext w:val="0"/>
        <w:keepLines w:val="0"/>
        <w:pageBreakBefore w:val="0"/>
        <w:kinsoku/>
        <w:wordWrap/>
        <w:overflowPunct/>
        <w:topLinePunct w:val="0"/>
        <w:bidi w:val="0"/>
        <w:adjustRightInd/>
        <w:snapToGrid/>
        <w:ind w:firstLine="1040"/>
        <w:rPr>
          <w:rFonts w:hint="default" w:ascii="Times New Roman" w:hAnsi="Times New Roman" w:eastAsia="宋体" w:cs="Times New Roman"/>
          <w:color w:val="auto"/>
          <w:sz w:val="44"/>
          <w:szCs w:val="44"/>
          <w:u w:val="none"/>
        </w:rPr>
      </w:pPr>
    </w:p>
    <w:p>
      <w:pPr>
        <w:keepNext w:val="0"/>
        <w:keepLines w:val="0"/>
        <w:pageBreakBefore w:val="0"/>
        <w:kinsoku/>
        <w:wordWrap/>
        <w:overflowPunct/>
        <w:topLinePunct w:val="0"/>
        <w:bidi w:val="0"/>
        <w:adjustRightInd/>
        <w:snapToGrid/>
        <w:ind w:firstLine="1040"/>
        <w:rPr>
          <w:rFonts w:hint="default" w:ascii="Times New Roman" w:hAnsi="Times New Roman" w:eastAsia="宋体" w:cs="Times New Roman"/>
          <w:color w:val="auto"/>
          <w:sz w:val="44"/>
          <w:szCs w:val="44"/>
          <w:u w:val="none"/>
        </w:rPr>
      </w:pPr>
    </w:p>
    <w:p>
      <w:pPr>
        <w:keepNext w:val="0"/>
        <w:keepLines w:val="0"/>
        <w:pageBreakBefore w:val="0"/>
        <w:kinsoku/>
        <w:wordWrap/>
        <w:overflowPunct/>
        <w:topLinePunct w:val="0"/>
        <w:bidi w:val="0"/>
        <w:adjustRightInd/>
        <w:snapToGrid/>
        <w:spacing w:line="288" w:lineRule="auto"/>
        <w:ind w:firstLine="1040"/>
        <w:rPr>
          <w:rFonts w:hint="default" w:ascii="Times New Roman" w:hAnsi="Times New Roman" w:eastAsia="宋体" w:cs="Times New Roman"/>
          <w:color w:val="auto"/>
          <w:sz w:val="36"/>
          <w:szCs w:val="36"/>
          <w:u w:val="none"/>
        </w:rPr>
      </w:pPr>
      <w:r>
        <w:rPr>
          <w:rFonts w:hint="default" w:ascii="Times New Roman" w:hAnsi="Times New Roman" w:eastAsia="宋体" w:cs="Times New Roman"/>
          <w:color w:val="auto"/>
          <w:sz w:val="36"/>
          <w:szCs w:val="36"/>
          <w:u w:val="none"/>
        </w:rPr>
        <w:t>项目名称：</w:t>
      </w:r>
      <w:r>
        <w:rPr>
          <w:rFonts w:hint="default" w:ascii="Times New Roman" w:hAnsi="Times New Roman" w:eastAsia="宋体" w:cs="Times New Roman"/>
          <w:color w:val="auto"/>
          <w:sz w:val="36"/>
          <w:szCs w:val="36"/>
          <w:u w:val="single"/>
          <w:lang w:val="en-US" w:eastAsia="zh-CN"/>
        </w:rPr>
        <w:t xml:space="preserve"> </w:t>
      </w:r>
      <w:r>
        <w:rPr>
          <w:rFonts w:hint="eastAsia" w:ascii="Times New Roman" w:hAnsi="Times New Roman" w:eastAsia="宋体" w:cs="Times New Roman"/>
          <w:color w:val="auto"/>
          <w:sz w:val="36"/>
          <w:szCs w:val="36"/>
          <w:u w:val="single"/>
          <w:lang w:eastAsia="zh-CN"/>
        </w:rPr>
        <w:t>衡阳蒸水报废汽车回收拆解有限公司报废汽车回收拆解建设项目</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none"/>
          <w:lang w:val="en-US" w:eastAsia="zh-CN"/>
        </w:rPr>
        <w:t xml:space="preserve"> </w:t>
      </w:r>
      <w:r>
        <w:rPr>
          <w:rFonts w:hint="default" w:ascii="Times New Roman" w:hAnsi="Times New Roman" w:eastAsia="宋体" w:cs="Times New Roman"/>
          <w:color w:val="auto"/>
          <w:sz w:val="36"/>
          <w:szCs w:val="36"/>
          <w:u w:val="none"/>
        </w:rPr>
        <w:t xml:space="preserve"> </w:t>
      </w:r>
    </w:p>
    <w:p>
      <w:pPr>
        <w:keepNext w:val="0"/>
        <w:keepLines w:val="0"/>
        <w:pageBreakBefore w:val="0"/>
        <w:kinsoku/>
        <w:wordWrap/>
        <w:overflowPunct/>
        <w:topLinePunct w:val="0"/>
        <w:bidi w:val="0"/>
        <w:adjustRightInd/>
        <w:snapToGrid/>
        <w:spacing w:line="288" w:lineRule="auto"/>
        <w:ind w:firstLine="104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u w:val="none"/>
        </w:rPr>
        <w:t>建设单位（盖章）：</w:t>
      </w:r>
      <w:r>
        <w:rPr>
          <w:rFonts w:hint="default" w:ascii="Times New Roman" w:hAnsi="Times New Roman" w:eastAsia="宋体" w:cs="Times New Roman"/>
          <w:color w:val="auto"/>
          <w:sz w:val="36"/>
          <w:szCs w:val="36"/>
          <w:u w:val="single"/>
          <w:lang w:val="en-US" w:eastAsia="zh-CN"/>
        </w:rPr>
        <w:t xml:space="preserve"> </w:t>
      </w:r>
      <w:r>
        <w:rPr>
          <w:rFonts w:hint="eastAsia" w:ascii="Times New Roman" w:hAnsi="Times New Roman" w:eastAsia="宋体" w:cs="Times New Roman"/>
          <w:color w:val="auto"/>
          <w:sz w:val="36"/>
          <w:szCs w:val="36"/>
          <w:u w:val="single"/>
          <w:lang w:eastAsia="zh-CN"/>
        </w:rPr>
        <w:t>衡阳蒸水报废汽车回收拆解有限公司</w:t>
      </w:r>
      <w:r>
        <w:rPr>
          <w:rFonts w:hint="default" w:ascii="Times New Roman" w:hAnsi="Times New Roman" w:eastAsia="宋体" w:cs="Times New Roman"/>
          <w:color w:val="auto"/>
          <w:sz w:val="36"/>
          <w:szCs w:val="36"/>
          <w:u w:val="single"/>
        </w:rPr>
        <w:t xml:space="preserve"> </w:t>
      </w:r>
    </w:p>
    <w:p>
      <w:pPr>
        <w:keepNext w:val="0"/>
        <w:keepLines w:val="0"/>
        <w:pageBreakBefore w:val="0"/>
        <w:kinsoku/>
        <w:wordWrap/>
        <w:overflowPunct/>
        <w:topLinePunct w:val="0"/>
        <w:bidi w:val="0"/>
        <w:adjustRightInd/>
        <w:snapToGrid/>
        <w:spacing w:line="288" w:lineRule="auto"/>
        <w:ind w:firstLine="1040"/>
        <w:rPr>
          <w:rFonts w:hint="default" w:ascii="Times New Roman" w:hAnsi="Times New Roman" w:eastAsia="宋体" w:cs="Times New Roman"/>
          <w:color w:val="auto"/>
          <w:sz w:val="36"/>
          <w:szCs w:val="36"/>
          <w:u w:val="single"/>
        </w:rPr>
      </w:pPr>
      <w:r>
        <w:rPr>
          <w:rFonts w:hint="default" w:ascii="Times New Roman" w:hAnsi="Times New Roman" w:eastAsia="宋体" w:cs="Times New Roman"/>
          <w:color w:val="auto"/>
          <w:sz w:val="36"/>
          <w:szCs w:val="36"/>
          <w:u w:val="none"/>
        </w:rPr>
        <w:t>编制日期</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202</w:t>
      </w:r>
      <w:r>
        <w:rPr>
          <w:rFonts w:hint="eastAsia" w:ascii="Times New Roman" w:hAnsi="Times New Roman" w:eastAsia="宋体" w:cs="Times New Roman"/>
          <w:color w:val="auto"/>
          <w:sz w:val="36"/>
          <w:szCs w:val="36"/>
          <w:u w:val="single"/>
          <w:lang w:val="en-US" w:eastAsia="zh-CN"/>
        </w:rPr>
        <w:t>6</w:t>
      </w:r>
      <w:r>
        <w:rPr>
          <w:rFonts w:hint="default" w:ascii="Times New Roman" w:hAnsi="Times New Roman" w:eastAsia="宋体" w:cs="Times New Roman"/>
          <w:color w:val="auto"/>
          <w:sz w:val="36"/>
          <w:szCs w:val="36"/>
          <w:u w:val="single"/>
          <w:lang w:val="en-US" w:eastAsia="zh-CN"/>
        </w:rPr>
        <w:t>年</w:t>
      </w:r>
      <w:r>
        <w:rPr>
          <w:rFonts w:hint="eastAsia" w:cs="Times New Roman"/>
          <w:color w:val="auto"/>
          <w:sz w:val="36"/>
          <w:szCs w:val="36"/>
          <w:u w:val="single"/>
          <w:lang w:val="en-US" w:eastAsia="zh-CN"/>
        </w:rPr>
        <w:t>4</w:t>
      </w:r>
      <w:r>
        <w:rPr>
          <w:rFonts w:hint="default" w:ascii="Times New Roman" w:hAnsi="Times New Roman" w:eastAsia="宋体" w:cs="Times New Roman"/>
          <w:color w:val="auto"/>
          <w:sz w:val="36"/>
          <w:szCs w:val="36"/>
          <w:u w:val="single"/>
          <w:lang w:val="en-US" w:eastAsia="zh-CN"/>
        </w:rPr>
        <w:t>月</w:t>
      </w:r>
      <w:r>
        <w:rPr>
          <w:rFonts w:hint="default" w:ascii="Times New Roman" w:hAnsi="Times New Roman" w:eastAsia="宋体" w:cs="Times New Roman"/>
          <w:color w:val="auto"/>
          <w:sz w:val="36"/>
          <w:szCs w:val="36"/>
          <w:u w:val="single"/>
        </w:rPr>
        <w:t xml:space="preserve">   </w:t>
      </w:r>
      <w:r>
        <w:rPr>
          <w:rFonts w:hint="default" w:ascii="Times New Roman" w:hAnsi="Times New Roman" w:eastAsia="宋体" w:cs="Times New Roman"/>
          <w:color w:val="auto"/>
          <w:sz w:val="36"/>
          <w:szCs w:val="36"/>
          <w:u w:val="single"/>
          <w:lang w:val="en-US" w:eastAsia="zh-CN"/>
        </w:rPr>
        <w:t xml:space="preserve">      </w:t>
      </w:r>
      <w:r>
        <w:rPr>
          <w:rFonts w:hint="default" w:ascii="Times New Roman" w:hAnsi="Times New Roman" w:eastAsia="宋体" w:cs="Times New Roman"/>
          <w:color w:val="auto"/>
          <w:sz w:val="36"/>
          <w:szCs w:val="36"/>
          <w:u w:val="single"/>
        </w:rPr>
        <w:t xml:space="preserve">   </w:t>
      </w:r>
    </w:p>
    <w:p>
      <w:pPr>
        <w:keepNext w:val="0"/>
        <w:keepLines w:val="0"/>
        <w:pageBreakBefore w:val="0"/>
        <w:kinsoku/>
        <w:wordWrap/>
        <w:overflowPunct/>
        <w:topLinePunct w:val="0"/>
        <w:bidi w:val="0"/>
        <w:adjustRightInd/>
        <w:snapToGrid/>
        <w:spacing w:line="288" w:lineRule="auto"/>
        <w:ind w:firstLine="1040"/>
        <w:rPr>
          <w:rFonts w:hint="default" w:ascii="Times New Roman" w:hAnsi="Times New Roman" w:eastAsia="宋体" w:cs="Times New Roman"/>
          <w:color w:val="auto"/>
          <w:sz w:val="36"/>
          <w:szCs w:val="36"/>
          <w:u w:val="none"/>
          <w:lang w:val="en-US" w:eastAsia="zh-CN"/>
        </w:rPr>
      </w:pPr>
      <w:bookmarkStart w:id="0" w:name="_Hlk57884087"/>
    </w:p>
    <w:p>
      <w:pPr>
        <w:keepNext w:val="0"/>
        <w:keepLines w:val="0"/>
        <w:pageBreakBefore w:val="0"/>
        <w:kinsoku/>
        <w:wordWrap/>
        <w:overflowPunct/>
        <w:topLinePunct w:val="0"/>
        <w:bidi w:val="0"/>
        <w:adjustRightInd/>
        <w:snapToGrid/>
        <w:spacing w:line="288" w:lineRule="auto"/>
        <w:ind w:firstLine="1040"/>
        <w:rPr>
          <w:rFonts w:hint="default" w:ascii="Times New Roman" w:hAnsi="Times New Roman" w:eastAsia="宋体" w:cs="Times New Roman"/>
          <w:color w:val="auto"/>
          <w:sz w:val="36"/>
          <w:szCs w:val="36"/>
          <w:u w:val="none"/>
        </w:rPr>
      </w:pPr>
    </w:p>
    <w:p>
      <w:pPr>
        <w:keepNext w:val="0"/>
        <w:keepLines w:val="0"/>
        <w:pageBreakBefore w:val="0"/>
        <w:kinsoku/>
        <w:wordWrap/>
        <w:overflowPunct/>
        <w:topLinePunct w:val="0"/>
        <w:bidi w:val="0"/>
        <w:adjustRightInd/>
        <w:snapToGrid/>
        <w:spacing w:line="288" w:lineRule="auto"/>
        <w:ind w:firstLine="1040"/>
        <w:rPr>
          <w:rFonts w:hint="default" w:ascii="Times New Roman" w:hAnsi="Times New Roman" w:eastAsia="宋体" w:cs="Times New Roman"/>
          <w:color w:val="auto"/>
          <w:sz w:val="36"/>
          <w:szCs w:val="36"/>
          <w:u w:val="none"/>
        </w:rPr>
      </w:pPr>
    </w:p>
    <w:bookmarkEnd w:id="0"/>
    <w:p>
      <w:pPr>
        <w:keepNext w:val="0"/>
        <w:keepLines w:val="0"/>
        <w:pageBreakBefore w:val="0"/>
        <w:kinsoku/>
        <w:wordWrap/>
        <w:overflowPunct/>
        <w:topLinePunct w:val="0"/>
        <w:bidi w:val="0"/>
        <w:adjustRightInd/>
        <w:snapToGrid/>
        <w:spacing w:line="288" w:lineRule="auto"/>
        <w:jc w:val="center"/>
        <w:rPr>
          <w:rFonts w:hint="default" w:ascii="Times New Roman" w:hAnsi="Times New Roman" w:eastAsia="宋体" w:cs="Times New Roman"/>
          <w:color w:val="auto"/>
          <w:sz w:val="36"/>
          <w:szCs w:val="36"/>
          <w:u w:val="none"/>
        </w:rPr>
        <w:sectPr>
          <w:footerReference r:id="rId3" w:type="default"/>
          <w:footerReference r:id="rId4" w:type="even"/>
          <w:pgSz w:w="11905" w:h="16838"/>
          <w:pgMar w:top="1701" w:right="1531" w:bottom="1701" w:left="1531" w:header="851" w:footer="850" w:gutter="0"/>
          <w:pgBorders>
            <w:top w:val="none" w:sz="0" w:space="0"/>
            <w:left w:val="none" w:sz="0" w:space="0"/>
            <w:bottom w:val="none" w:sz="0" w:space="0"/>
            <w:right w:val="none" w:sz="0" w:space="0"/>
          </w:pgBorders>
          <w:pgNumType w:start="3"/>
          <w:cols w:space="720" w:num="1"/>
          <w:rtlGutter w:val="0"/>
          <w:docGrid w:type="lines" w:linePitch="312" w:charSpace="0"/>
        </w:sectPr>
      </w:pPr>
      <w:r>
        <w:rPr>
          <w:rFonts w:hint="default" w:ascii="Times New Roman" w:hAnsi="Times New Roman" w:eastAsia="宋体" w:cs="Times New Roman"/>
          <w:color w:val="auto"/>
          <w:sz w:val="36"/>
          <w:szCs w:val="36"/>
          <w:u w:val="none"/>
        </w:rPr>
        <w:t>中华人民共和国生态环境部制</w:t>
      </w:r>
    </w:p>
    <w:p>
      <w:pPr>
        <w:pStyle w:val="68"/>
        <w:rPr>
          <w:rFonts w:hint="eastAsia" w:eastAsia="宋体"/>
          <w:color w:val="auto"/>
          <w:u w:val="none"/>
          <w:lang w:eastAsia="zh-CN"/>
        </w:rPr>
      </w:pPr>
    </w:p>
    <w:p>
      <w:pPr>
        <w:keepNext w:val="0"/>
        <w:keepLines w:val="0"/>
        <w:pageBreakBefore w:val="0"/>
        <w:kinsoku/>
        <w:wordWrap/>
        <w:overflowPunct/>
        <w:topLinePunct w:val="0"/>
        <w:bidi w:val="0"/>
        <w:adjustRightInd/>
        <w:snapToGrid/>
        <w:spacing w:line="288" w:lineRule="auto"/>
        <w:jc w:val="both"/>
        <w:rPr>
          <w:rFonts w:hint="eastAsia" w:ascii="Times New Roman" w:hAnsi="Times New Roman" w:eastAsia="宋体" w:cs="Times New Roman"/>
          <w:color w:val="auto"/>
          <w:sz w:val="36"/>
          <w:szCs w:val="36"/>
          <w:u w:val="none"/>
          <w:lang w:eastAsia="zh-CN"/>
        </w:rPr>
        <w:sectPr>
          <w:pgSz w:w="11905" w:h="16838"/>
          <w:pgMar w:top="1701" w:right="1531" w:bottom="1701" w:left="1531" w:header="851" w:footer="850" w:gutter="0"/>
          <w:pgBorders>
            <w:top w:val="none" w:sz="0" w:space="0"/>
            <w:left w:val="none" w:sz="0" w:space="0"/>
            <w:bottom w:val="none" w:sz="0" w:space="0"/>
            <w:right w:val="none" w:sz="0" w:space="0"/>
          </w:pgBorders>
          <w:pgNumType w:start="3"/>
          <w:cols w:space="720" w:num="1"/>
          <w:rtlGutter w:val="0"/>
          <w:docGrid w:type="lines" w:linePitch="312" w:charSpace="0"/>
        </w:sectPr>
      </w:pPr>
    </w:p>
    <w:p>
      <w:pPr>
        <w:pStyle w:val="21"/>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b/>
          <w:bCs/>
          <w:snapToGrid w:val="0"/>
          <w:color w:val="auto"/>
          <w:sz w:val="30"/>
          <w:szCs w:val="30"/>
          <w:u w:val="none"/>
        </w:rPr>
      </w:pPr>
      <w:r>
        <w:rPr>
          <w:rFonts w:hint="default" w:ascii="Times New Roman" w:hAnsi="Times New Roman" w:eastAsia="宋体" w:cs="Times New Roman"/>
          <w:b/>
          <w:bCs/>
          <w:snapToGrid w:val="0"/>
          <w:color w:val="auto"/>
          <w:sz w:val="30"/>
          <w:szCs w:val="30"/>
          <w:u w:val="none"/>
        </w:rPr>
        <w:t>一、建设项目基本情况</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16"/>
        <w:gridCol w:w="753"/>
        <w:gridCol w:w="2249"/>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建设项目名称</w:t>
            </w:r>
          </w:p>
        </w:tc>
        <w:tc>
          <w:tcPr>
            <w:tcW w:w="7100" w:type="dxa"/>
            <w:gridSpan w:val="3"/>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eastAsia="zh-CN"/>
              </w:rPr>
            </w:pPr>
            <w:r>
              <w:rPr>
                <w:rFonts w:hint="eastAsia" w:ascii="Times New Roman" w:hAnsi="Times New Roman" w:eastAsia="宋体" w:cs="Times New Roman"/>
                <w:color w:val="auto"/>
                <w:szCs w:val="21"/>
                <w:u w:val="none"/>
                <w:lang w:eastAsia="zh-CN"/>
              </w:rPr>
              <w:t>衡阳蒸水报废汽车回收拆解有限公司报废汽车回收拆解建设项目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项目代码</w:t>
            </w:r>
          </w:p>
        </w:tc>
        <w:tc>
          <w:tcPr>
            <w:tcW w:w="7100" w:type="dxa"/>
            <w:gridSpan w:val="3"/>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2512-430421-04-01-506445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建设单位联系人</w:t>
            </w:r>
          </w:p>
        </w:tc>
        <w:tc>
          <w:tcPr>
            <w:tcW w:w="224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eastAsia="zh-CN"/>
              </w:rPr>
              <w:t>林立挺</w:t>
            </w:r>
          </w:p>
        </w:tc>
        <w:tc>
          <w:tcPr>
            <w:tcW w:w="2212"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联系方式</w:t>
            </w:r>
          </w:p>
        </w:tc>
        <w:tc>
          <w:tcPr>
            <w:tcW w:w="263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13974773420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建设地点</w:t>
            </w:r>
          </w:p>
        </w:tc>
        <w:tc>
          <w:tcPr>
            <w:tcW w:w="7100" w:type="dxa"/>
            <w:gridSpan w:val="3"/>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eastAsia="zh-CN"/>
              </w:rPr>
              <w:t>湖南</w:t>
            </w:r>
            <w:r>
              <w:rPr>
                <w:rFonts w:hint="default" w:ascii="Times New Roman" w:hAnsi="Times New Roman" w:eastAsia="宋体" w:cs="Times New Roman"/>
                <w:color w:val="auto"/>
                <w:szCs w:val="21"/>
                <w:u w:val="none"/>
              </w:rPr>
              <w:t>省</w:t>
            </w:r>
            <w:r>
              <w:rPr>
                <w:rFonts w:hint="default" w:ascii="Times New Roman" w:hAnsi="Times New Roman" w:eastAsia="宋体" w:cs="Times New Roman"/>
                <w:color w:val="auto"/>
                <w:szCs w:val="21"/>
                <w:u w:val="none"/>
                <w:lang w:eastAsia="zh-CN"/>
              </w:rPr>
              <w:t>衡阳</w:t>
            </w:r>
            <w:r>
              <w:rPr>
                <w:rFonts w:hint="default" w:ascii="Times New Roman" w:hAnsi="Times New Roman" w:eastAsia="宋体" w:cs="Times New Roman"/>
                <w:color w:val="auto"/>
                <w:szCs w:val="21"/>
                <w:u w:val="none"/>
              </w:rPr>
              <w:t>市</w:t>
            </w:r>
            <w:r>
              <w:rPr>
                <w:rFonts w:hint="default" w:ascii="Times New Roman" w:hAnsi="Times New Roman" w:cs="Times New Roman"/>
                <w:color w:val="auto"/>
                <w:sz w:val="21"/>
                <w:szCs w:val="21"/>
              </w:rPr>
              <w:t>衡阳县</w:t>
            </w:r>
            <w:r>
              <w:rPr>
                <w:rFonts w:hint="eastAsia" w:ascii="Times New Roman" w:hAnsi="Times New Roman" w:cs="Times New Roman"/>
                <w:color w:val="auto"/>
                <w:sz w:val="21"/>
                <w:szCs w:val="21"/>
                <w:lang w:eastAsia="zh-CN"/>
              </w:rPr>
              <w:t>阳古社区湖南衡利丰陶瓷有限公司内（属于</w:t>
            </w:r>
            <w:bookmarkStart w:id="1" w:name="OLE_LINK1"/>
            <w:r>
              <w:rPr>
                <w:rFonts w:hint="eastAsia" w:ascii="Times New Roman" w:hAnsi="Times New Roman" w:cs="Times New Roman"/>
                <w:color w:val="auto"/>
                <w:sz w:val="21"/>
                <w:szCs w:val="21"/>
                <w:lang w:eastAsia="zh-CN"/>
              </w:rPr>
              <w:t>湖南衡阳西渡高新技术产业开发园区</w:t>
            </w:r>
            <w:bookmarkEnd w:id="1"/>
            <w:r>
              <w:rPr>
                <w:rFonts w:hint="eastAsia" w:ascii="Times New Roman" w:hAnsi="Times New Roman" w:cs="Times New Roman"/>
                <w:color w:val="auto"/>
                <w:sz w:val="21"/>
                <w:szCs w:val="21"/>
                <w:lang w:eastAsia="zh-CN"/>
              </w:rPr>
              <w:t>范围内）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地理坐标</w:t>
            </w:r>
          </w:p>
        </w:tc>
        <w:tc>
          <w:tcPr>
            <w:tcW w:w="7100" w:type="dxa"/>
            <w:gridSpan w:val="3"/>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w:t>
            </w:r>
            <w:r>
              <w:rPr>
                <w:rFonts w:hint="default" w:ascii="Times New Roman" w:hAnsi="Times New Roman" w:eastAsia="宋体" w:cs="Times New Roman"/>
                <w:color w:val="auto"/>
                <w:szCs w:val="21"/>
                <w:u w:val="none"/>
                <w:lang w:val="en-US" w:eastAsia="zh-CN"/>
              </w:rPr>
              <w:t>北纬</w:t>
            </w:r>
            <w:r>
              <w:rPr>
                <w:rFonts w:hint="eastAsia" w:ascii="Times New Roman" w:hAnsi="Times New Roman" w:eastAsia="宋体" w:cs="Times New Roman"/>
                <w:color w:val="auto"/>
                <w:szCs w:val="21"/>
                <w:u w:val="single"/>
                <w:lang w:val="en-US" w:eastAsia="zh-CN"/>
              </w:rPr>
              <w:t>26</w:t>
            </w:r>
            <w:r>
              <w:rPr>
                <w:rFonts w:hint="default" w:ascii="Times New Roman" w:hAnsi="Times New Roman" w:eastAsia="宋体" w:cs="Times New Roman"/>
                <w:color w:val="auto"/>
                <w:szCs w:val="21"/>
                <w:u w:val="none"/>
              </w:rPr>
              <w:t>度</w:t>
            </w:r>
            <w:r>
              <w:rPr>
                <w:rFonts w:hint="eastAsia" w:ascii="Times New Roman" w:hAnsi="Times New Roman" w:eastAsia="宋体" w:cs="Times New Roman"/>
                <w:color w:val="auto"/>
                <w:szCs w:val="21"/>
                <w:u w:val="single"/>
                <w:lang w:val="en-US" w:eastAsia="zh-CN"/>
              </w:rPr>
              <w:t>56</w:t>
            </w:r>
            <w:r>
              <w:rPr>
                <w:rFonts w:hint="default" w:ascii="Times New Roman" w:hAnsi="Times New Roman" w:eastAsia="宋体" w:cs="Times New Roman"/>
                <w:color w:val="auto"/>
                <w:szCs w:val="21"/>
                <w:u w:val="none"/>
              </w:rPr>
              <w:t>分</w:t>
            </w:r>
            <w:r>
              <w:rPr>
                <w:rFonts w:hint="eastAsia" w:ascii="Times New Roman" w:hAnsi="Times New Roman" w:eastAsia="宋体" w:cs="Times New Roman"/>
                <w:color w:val="auto"/>
                <w:szCs w:val="21"/>
                <w:u w:val="single"/>
                <w:lang w:val="en-US" w:eastAsia="zh-CN"/>
              </w:rPr>
              <w:t>42.075</w:t>
            </w:r>
            <w:r>
              <w:rPr>
                <w:rFonts w:hint="default" w:ascii="Times New Roman" w:hAnsi="Times New Roman" w:eastAsia="宋体" w:cs="Times New Roman"/>
                <w:color w:val="auto"/>
                <w:szCs w:val="21"/>
                <w:u w:val="none"/>
              </w:rPr>
              <w:t>秒，</w:t>
            </w:r>
            <w:r>
              <w:rPr>
                <w:rFonts w:hint="default" w:ascii="Times New Roman" w:hAnsi="Times New Roman" w:eastAsia="宋体" w:cs="Times New Roman"/>
                <w:color w:val="auto"/>
                <w:szCs w:val="21"/>
                <w:u w:val="none"/>
                <w:lang w:val="en-US" w:eastAsia="zh-CN"/>
              </w:rPr>
              <w:t>东经</w:t>
            </w:r>
            <w:r>
              <w:rPr>
                <w:rFonts w:hint="default" w:ascii="Times New Roman" w:hAnsi="Times New Roman" w:eastAsia="宋体" w:cs="Times New Roman"/>
                <w:color w:val="auto"/>
                <w:szCs w:val="21"/>
                <w:u w:val="single"/>
                <w:lang w:val="en-US" w:eastAsia="zh-CN"/>
              </w:rPr>
              <w:t>112</w:t>
            </w:r>
            <w:r>
              <w:rPr>
                <w:rFonts w:hint="default" w:ascii="Times New Roman" w:hAnsi="Times New Roman" w:eastAsia="宋体" w:cs="Times New Roman"/>
                <w:color w:val="auto"/>
                <w:szCs w:val="21"/>
                <w:u w:val="none"/>
              </w:rPr>
              <w:t>度</w:t>
            </w:r>
            <w:r>
              <w:rPr>
                <w:rFonts w:hint="eastAsia" w:ascii="Times New Roman" w:hAnsi="Times New Roman" w:eastAsia="宋体" w:cs="Times New Roman"/>
                <w:color w:val="auto"/>
                <w:szCs w:val="21"/>
                <w:u w:val="single"/>
                <w:lang w:val="en-US" w:eastAsia="zh-CN"/>
              </w:rPr>
              <w:t>27</w:t>
            </w:r>
            <w:r>
              <w:rPr>
                <w:rFonts w:hint="default" w:ascii="Times New Roman" w:hAnsi="Times New Roman" w:eastAsia="宋体" w:cs="Times New Roman"/>
                <w:color w:val="auto"/>
                <w:szCs w:val="21"/>
                <w:u w:val="none"/>
              </w:rPr>
              <w:t>分</w:t>
            </w:r>
            <w:r>
              <w:rPr>
                <w:rFonts w:hint="eastAsia" w:ascii="Times New Roman" w:hAnsi="Times New Roman" w:eastAsia="宋体" w:cs="Times New Roman"/>
                <w:color w:val="auto"/>
                <w:szCs w:val="21"/>
                <w:u w:val="single"/>
                <w:lang w:val="en-US" w:eastAsia="zh-CN"/>
              </w:rPr>
              <w:t>17.715</w:t>
            </w:r>
            <w:r>
              <w:rPr>
                <w:rFonts w:hint="default" w:ascii="Times New Roman" w:hAnsi="Times New Roman" w:eastAsia="宋体" w:cs="Times New Roman"/>
                <w:color w:val="auto"/>
                <w:szCs w:val="21"/>
                <w:u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国民经济</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行业类别</w:t>
            </w:r>
          </w:p>
        </w:tc>
        <w:tc>
          <w:tcPr>
            <w:tcW w:w="224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default" w:ascii="Times New Roman" w:hAnsi="Times New Roman" w:eastAsia="宋体" w:cs="Times New Roman"/>
                <w:color w:val="auto"/>
                <w:szCs w:val="21"/>
                <w:u w:val="none"/>
                <w:lang w:val="en-US" w:eastAsia="zh-CN"/>
              </w:rPr>
              <w:t>C</w:t>
            </w:r>
            <w:r>
              <w:rPr>
                <w:rFonts w:hint="eastAsia" w:ascii="Times New Roman" w:hAnsi="Times New Roman" w:eastAsia="宋体" w:cs="Times New Roman"/>
                <w:color w:val="auto"/>
                <w:szCs w:val="21"/>
                <w:u w:val="none"/>
                <w:lang w:val="en-US" w:eastAsia="zh-CN"/>
              </w:rPr>
              <w:t>4210金属废料和碎屑加工处理</w:t>
            </w:r>
          </w:p>
        </w:tc>
        <w:tc>
          <w:tcPr>
            <w:tcW w:w="2212"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bookmarkStart w:id="2" w:name="_Hlk49843745"/>
            <w:r>
              <w:rPr>
                <w:rFonts w:hint="default" w:ascii="Times New Roman" w:hAnsi="Times New Roman" w:eastAsia="宋体" w:cs="Times New Roman"/>
                <w:color w:val="auto"/>
                <w:szCs w:val="21"/>
                <w:u w:val="none"/>
              </w:rPr>
              <w:t>建设项目</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行业类别</w:t>
            </w:r>
            <w:bookmarkEnd w:id="2"/>
          </w:p>
        </w:tc>
        <w:tc>
          <w:tcPr>
            <w:tcW w:w="2639" w:type="dxa"/>
            <w:noWrap w:val="0"/>
            <w:vAlign w:val="center"/>
          </w:tcPr>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三十九</w:t>
            </w:r>
            <w:r>
              <w:rPr>
                <w:rFonts w:hint="default" w:ascii="Times New Roman" w:hAnsi="Times New Roman" w:eastAsia="宋体" w:cs="Times New Roman"/>
                <w:color w:val="auto"/>
                <w:szCs w:val="21"/>
                <w:u w:val="none"/>
                <w:lang w:eastAsia="zh-CN"/>
              </w:rPr>
              <w:t>、</w:t>
            </w:r>
            <w:r>
              <w:rPr>
                <w:rFonts w:hint="eastAsia" w:ascii="Times New Roman" w:hAnsi="Times New Roman" w:eastAsia="宋体" w:cs="Times New Roman"/>
                <w:color w:val="auto"/>
                <w:szCs w:val="21"/>
                <w:u w:val="none"/>
                <w:lang w:eastAsia="zh-CN"/>
              </w:rPr>
              <w:t>废弃资源综合利用</w:t>
            </w:r>
            <w:r>
              <w:rPr>
                <w:rFonts w:hint="eastAsia" w:ascii="Times New Roman" w:hAnsi="Times New Roman" w:eastAsia="宋体" w:cs="Times New Roman"/>
                <w:color w:val="auto"/>
                <w:szCs w:val="21"/>
                <w:u w:val="none"/>
                <w:lang w:val="en-US" w:eastAsia="zh-CN"/>
              </w:rPr>
              <w:t>42</w:t>
            </w:r>
          </w:p>
          <w:p>
            <w:pPr>
              <w:keepNext w:val="0"/>
              <w:keepLines w:val="0"/>
              <w:pageBreakBefore w:val="0"/>
              <w:numPr>
                <w:ilvl w:val="0"/>
                <w:numId w:val="0"/>
              </w:numPr>
              <w:kinsoku/>
              <w:wordWrap/>
              <w:overflowPunct/>
              <w:topLinePunct w:val="0"/>
              <w:bidi w:val="0"/>
              <w:adjustRightInd/>
              <w:snapToGrid/>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 xml:space="preserve">85 </w:t>
            </w:r>
            <w:bookmarkStart w:id="3" w:name="OLE_LINK16"/>
            <w:r>
              <w:rPr>
                <w:rFonts w:hint="eastAsia" w:ascii="Times New Roman" w:hAnsi="Times New Roman" w:eastAsia="宋体" w:cs="Times New Roman"/>
                <w:color w:val="auto"/>
                <w:szCs w:val="21"/>
                <w:u w:val="none"/>
                <w:lang w:val="en-US" w:eastAsia="zh-CN"/>
              </w:rPr>
              <w:t>金属废料</w:t>
            </w:r>
            <w:bookmarkEnd w:id="3"/>
            <w:r>
              <w:rPr>
                <w:rFonts w:hint="eastAsia" w:ascii="Times New Roman" w:hAnsi="Times New Roman" w:eastAsia="宋体" w:cs="Times New Roman"/>
                <w:color w:val="auto"/>
                <w:szCs w:val="21"/>
                <w:u w:val="none"/>
                <w:lang w:val="en-US" w:eastAsia="zh-CN"/>
              </w:rPr>
              <w:t>和碎屑加工处理 421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建设性质</w:t>
            </w:r>
          </w:p>
        </w:tc>
        <w:tc>
          <w:tcPr>
            <w:tcW w:w="2249" w:type="dxa"/>
            <w:noWrap w:val="0"/>
            <w:vAlign w:val="center"/>
          </w:tcPr>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新建（迁建）</w:t>
            </w:r>
          </w:p>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改建</w:t>
            </w:r>
          </w:p>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扩建</w:t>
            </w:r>
          </w:p>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技术改造</w:t>
            </w:r>
          </w:p>
        </w:tc>
        <w:tc>
          <w:tcPr>
            <w:tcW w:w="2212"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建设项目</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申报情形</w:t>
            </w:r>
          </w:p>
        </w:tc>
        <w:tc>
          <w:tcPr>
            <w:tcW w:w="2639" w:type="dxa"/>
            <w:noWrap w:val="0"/>
            <w:vAlign w:val="center"/>
          </w:tcPr>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 xml:space="preserve">首次申报项目             </w:t>
            </w:r>
          </w:p>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不予批准后再次申报项目</w:t>
            </w:r>
          </w:p>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 xml:space="preserve">超五年重新审核项目     </w:t>
            </w:r>
          </w:p>
          <w:p>
            <w:pPr>
              <w:keepNext w:val="0"/>
              <w:keepLines w:val="0"/>
              <w:pageBreakBefore w:val="0"/>
              <w:kinsoku/>
              <w:wordWrap/>
              <w:overflowPunct/>
              <w:topLinePunct w:val="0"/>
              <w:bidi w:val="0"/>
              <w:adjustRightInd/>
              <w:snapToGrid/>
              <w:jc w:val="left"/>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项目审批（核准/</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备案）部门（选填）</w:t>
            </w:r>
          </w:p>
        </w:tc>
        <w:tc>
          <w:tcPr>
            <w:tcW w:w="224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衡阳县发展和改革局</w:t>
            </w:r>
          </w:p>
        </w:tc>
        <w:tc>
          <w:tcPr>
            <w:tcW w:w="2212"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项目审批（核准/</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备案）文号（选填）</w:t>
            </w:r>
          </w:p>
        </w:tc>
        <w:tc>
          <w:tcPr>
            <w:tcW w:w="2639" w:type="dxa"/>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总投资（万元）</w:t>
            </w:r>
          </w:p>
        </w:tc>
        <w:tc>
          <w:tcPr>
            <w:tcW w:w="224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1000</w:t>
            </w:r>
          </w:p>
        </w:tc>
        <w:tc>
          <w:tcPr>
            <w:tcW w:w="2212" w:type="dxa"/>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环保投资（万元）</w:t>
            </w:r>
          </w:p>
        </w:tc>
        <w:tc>
          <w:tcPr>
            <w:tcW w:w="263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u w:val="none"/>
                <w:lang w:val="en-US" w:eastAsia="zh-CN"/>
              </w:rPr>
              <w:t>125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环保投资占比（%）</w:t>
            </w:r>
          </w:p>
        </w:tc>
        <w:tc>
          <w:tcPr>
            <w:tcW w:w="224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12.5</w:t>
            </w:r>
          </w:p>
        </w:tc>
        <w:tc>
          <w:tcPr>
            <w:tcW w:w="2212" w:type="dxa"/>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施工工期</w:t>
            </w:r>
          </w:p>
        </w:tc>
        <w:tc>
          <w:tcPr>
            <w:tcW w:w="263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12</w:t>
            </w:r>
            <w:r>
              <w:rPr>
                <w:rFonts w:hint="default" w:ascii="Times New Roman" w:hAnsi="Times New Roman" w:eastAsia="宋体" w:cs="Times New Roman"/>
                <w:color w:val="auto"/>
                <w:szCs w:val="21"/>
                <w:u w:val="none"/>
                <w:lang w:val="en-US" w:eastAsia="zh-CN"/>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69"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是否开工建设</w:t>
            </w:r>
          </w:p>
        </w:tc>
        <w:tc>
          <w:tcPr>
            <w:tcW w:w="2249" w:type="dxa"/>
            <w:noWrap w:val="0"/>
            <w:vAlign w:val="center"/>
          </w:tcPr>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否</w:t>
            </w:r>
          </w:p>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szCs w:val="21"/>
                <w:u w:val="none"/>
              </w:rPr>
            </w:pPr>
            <w:r>
              <w:rPr>
                <w:rFonts w:hint="eastAsia" w:ascii="Times New Roman" w:hAnsi="Times New Roman" w:eastAsia="宋体" w:cs="Times New Roman"/>
                <w:color w:val="auto"/>
                <w:szCs w:val="21"/>
                <w:u w:val="none"/>
                <w:lang w:eastAsia="zh-CN"/>
              </w:rPr>
              <w:t>□</w:t>
            </w:r>
            <w:r>
              <w:rPr>
                <w:rFonts w:hint="default" w:ascii="Times New Roman" w:hAnsi="Times New Roman" w:eastAsia="宋体" w:cs="Times New Roman"/>
                <w:color w:val="auto"/>
                <w:szCs w:val="21"/>
                <w:u w:val="none"/>
              </w:rPr>
              <w:t xml:space="preserve">是：             </w:t>
            </w:r>
          </w:p>
        </w:tc>
        <w:tc>
          <w:tcPr>
            <w:tcW w:w="2212" w:type="dxa"/>
            <w:noWrap w:val="0"/>
            <w:tcMar>
              <w:top w:w="16" w:type="dxa"/>
              <w:left w:w="16" w:type="dxa"/>
              <w:right w:w="16"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pacing w:val="-6"/>
                <w:szCs w:val="21"/>
                <w:u w:val="none"/>
              </w:rPr>
            </w:pPr>
            <w:r>
              <w:rPr>
                <w:rFonts w:hint="default" w:ascii="Times New Roman" w:hAnsi="Times New Roman" w:eastAsia="宋体" w:cs="Times New Roman"/>
                <w:color w:val="auto"/>
                <w:spacing w:val="-6"/>
                <w:szCs w:val="21"/>
                <w:u w:val="none"/>
              </w:rPr>
              <w:t>用地（用海）</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pacing w:val="-6"/>
                <w:szCs w:val="21"/>
                <w:u w:val="none"/>
              </w:rPr>
              <w:t>面积（m</w:t>
            </w:r>
            <w:r>
              <w:rPr>
                <w:rFonts w:hint="default" w:ascii="Times New Roman" w:hAnsi="Times New Roman" w:eastAsia="宋体" w:cs="Times New Roman"/>
                <w:color w:val="auto"/>
                <w:spacing w:val="-6"/>
                <w:szCs w:val="21"/>
                <w:u w:val="none"/>
                <w:vertAlign w:val="superscript"/>
              </w:rPr>
              <w:t>2</w:t>
            </w:r>
            <w:r>
              <w:rPr>
                <w:rFonts w:hint="default" w:ascii="Times New Roman" w:hAnsi="Times New Roman" w:eastAsia="宋体" w:cs="Times New Roman"/>
                <w:color w:val="auto"/>
                <w:spacing w:val="-6"/>
                <w:szCs w:val="21"/>
                <w:u w:val="none"/>
              </w:rPr>
              <w:t>）</w:t>
            </w:r>
          </w:p>
        </w:tc>
        <w:tc>
          <w:tcPr>
            <w:tcW w:w="2639"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lang w:val="en-US" w:eastAsia="zh-CN"/>
              </w:rPr>
            </w:pPr>
            <w:r>
              <w:rPr>
                <w:rFonts w:hint="eastAsia" w:ascii="Times New Roman" w:hAnsi="Times New Roman" w:eastAsia="宋体" w:cs="Times New Roman"/>
                <w:color w:val="auto"/>
                <w:szCs w:val="21"/>
                <w:u w:val="none"/>
                <w:lang w:val="en-US" w:eastAsia="zh-CN"/>
              </w:rPr>
              <w:t>21235.5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69" w:type="dxa"/>
            <w:gridSpan w:val="2"/>
            <w:noWrap w:val="0"/>
            <w:vAlign w:val="center"/>
          </w:tcPr>
          <w:p>
            <w:pPr>
              <w:keepNext w:val="0"/>
              <w:keepLines w:val="0"/>
              <w:pageBreakBefore w:val="0"/>
              <w:kinsoku/>
              <w:wordWrap/>
              <w:overflowPunct/>
              <w:topLinePunct w:val="0"/>
              <w:autoSpaceDE w:val="0"/>
              <w:autoSpaceDN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专项评价设置情况</w:t>
            </w:r>
          </w:p>
        </w:tc>
        <w:tc>
          <w:tcPr>
            <w:tcW w:w="7100" w:type="dxa"/>
            <w:gridSpan w:val="3"/>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color w:val="auto"/>
                <w:sz w:val="24"/>
                <w:szCs w:val="32"/>
                <w:lang w:eastAsia="zh-CN"/>
              </w:rPr>
            </w:pPr>
            <w:r>
              <w:rPr>
                <w:rFonts w:hint="default"/>
                <w:color w:val="auto"/>
                <w:sz w:val="24"/>
                <w:szCs w:val="24"/>
                <w:lang w:eastAsia="zh-CN"/>
              </w:rPr>
              <w:t>根据建设项目环境影响评价分类管理名录（2021版）：项目属于“</w:t>
            </w:r>
            <w:r>
              <w:rPr>
                <w:rFonts w:hint="eastAsia" w:ascii="Times New Roman" w:hAnsi="Times New Roman" w:eastAsia="宋体" w:cs="Times New Roman"/>
                <w:color w:val="auto"/>
                <w:sz w:val="24"/>
                <w:szCs w:val="24"/>
                <w:u w:val="none"/>
                <w:lang w:val="en-US" w:eastAsia="zh-CN"/>
              </w:rPr>
              <w:t>三十九</w:t>
            </w:r>
            <w:r>
              <w:rPr>
                <w:rFonts w:hint="default"/>
                <w:color w:val="auto"/>
                <w:sz w:val="24"/>
                <w:szCs w:val="24"/>
                <w:lang w:eastAsia="zh-CN"/>
              </w:rPr>
              <w:t>、</w:t>
            </w:r>
            <w:r>
              <w:rPr>
                <w:rFonts w:hint="eastAsia" w:ascii="Times New Roman" w:hAnsi="Times New Roman" w:eastAsia="宋体" w:cs="Times New Roman"/>
                <w:color w:val="auto"/>
                <w:sz w:val="24"/>
                <w:szCs w:val="24"/>
                <w:u w:val="none"/>
                <w:lang w:eastAsia="zh-CN"/>
              </w:rPr>
              <w:t>废弃资源综合利用</w:t>
            </w:r>
            <w:r>
              <w:rPr>
                <w:rFonts w:hint="eastAsia" w:ascii="Times New Roman" w:hAnsi="Times New Roman" w:eastAsia="宋体" w:cs="Times New Roman"/>
                <w:color w:val="auto"/>
                <w:sz w:val="24"/>
                <w:szCs w:val="24"/>
                <w:u w:val="none"/>
                <w:lang w:val="en-US" w:eastAsia="zh-CN"/>
              </w:rPr>
              <w:t>42</w:t>
            </w:r>
            <w:r>
              <w:rPr>
                <w:rFonts w:hint="eastAsia"/>
                <w:color w:val="auto"/>
                <w:sz w:val="24"/>
                <w:szCs w:val="24"/>
                <w:lang w:val="en-US" w:eastAsia="zh-CN"/>
              </w:rPr>
              <w:t>-</w:t>
            </w:r>
            <w:r>
              <w:rPr>
                <w:rFonts w:hint="eastAsia" w:ascii="Times New Roman" w:hAnsi="Times New Roman" w:eastAsia="宋体" w:cs="Times New Roman"/>
                <w:color w:val="auto"/>
                <w:sz w:val="24"/>
                <w:szCs w:val="24"/>
                <w:u w:val="none"/>
                <w:lang w:val="en-US" w:eastAsia="zh-CN"/>
              </w:rPr>
              <w:t>85金属废料和碎屑加工处理 421</w:t>
            </w:r>
            <w:r>
              <w:rPr>
                <w:rFonts w:hint="default"/>
                <w:color w:val="auto"/>
                <w:sz w:val="24"/>
                <w:szCs w:val="24"/>
                <w:lang w:eastAsia="zh-CN"/>
              </w:rPr>
              <w:t>-</w:t>
            </w:r>
            <w:r>
              <w:rPr>
                <w:rFonts w:hint="eastAsia"/>
                <w:color w:val="auto"/>
                <w:sz w:val="24"/>
                <w:szCs w:val="24"/>
                <w:lang w:eastAsia="zh-CN"/>
              </w:rPr>
              <w:t>废机动车的其他废料和碎屑加工处理</w:t>
            </w:r>
            <w:r>
              <w:rPr>
                <w:rFonts w:hint="default"/>
                <w:color w:val="auto"/>
                <w:sz w:val="24"/>
                <w:szCs w:val="24"/>
                <w:lang w:eastAsia="zh-CN"/>
              </w:rPr>
              <w:t>”，应当编制环评报告表。</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color w:val="auto"/>
                <w:sz w:val="24"/>
                <w:szCs w:val="32"/>
                <w:lang w:eastAsia="zh-CN"/>
              </w:rPr>
            </w:pPr>
            <w:r>
              <w:rPr>
                <w:rFonts w:hint="default"/>
                <w:color w:val="auto"/>
                <w:sz w:val="24"/>
                <w:szCs w:val="32"/>
                <w:lang w:eastAsia="zh-CN"/>
              </w:rPr>
              <w:t>根据环办环评〔2020〕33号“关于印发建设项目环境影响报告表》 内容、格式及编制技术指南的通知等有关文件”中建设项目环境报告表编制技术指南（污染影响类）（试行）：一般情况下，建设单位应按照本指南要求，组织填写建设项目环境影响报告表。建设项目产生的环境影响需要深入论证的，应参照环境影响评价相关技术导则开展专项评价工作。根据建设项目排污情况及所涉环境敏感程度，确定专项评价的类别。大气、地表水、环境风险、生态和海洋专项评价具体设置原则见表 1-1。</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b/>
                <w:bCs/>
                <w:color w:val="auto"/>
                <w:lang w:eastAsia="zh-CN"/>
              </w:rPr>
            </w:pPr>
            <w:r>
              <w:rPr>
                <w:rFonts w:hint="default"/>
                <w:b/>
                <w:bCs/>
                <w:color w:val="auto"/>
                <w:lang w:eastAsia="zh-CN"/>
              </w:rPr>
              <w:t>表1-1 专项评价设置原则说明表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3651"/>
              <w:gridCol w:w="1185"/>
              <w:gridCol w:w="10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pct"/>
                  <w:noWrap w:val="0"/>
                  <w:vAlign w:val="center"/>
                </w:tcPr>
                <w:p>
                  <w:pPr>
                    <w:pStyle w:val="68"/>
                    <w:jc w:val="center"/>
                    <w:rPr>
                      <w:rFonts w:hint="default" w:ascii="Times New Roman" w:hAnsi="Times New Roman" w:cs="Times New Roman"/>
                      <w:b/>
                      <w:bCs/>
                      <w:color w:val="auto"/>
                      <w:kern w:val="0"/>
                      <w:sz w:val="21"/>
                      <w:szCs w:val="21"/>
                      <w:u w:val="none"/>
                      <w:vertAlign w:val="baseline"/>
                      <w:lang w:val="en-US" w:eastAsia="zh-CN"/>
                    </w:rPr>
                  </w:pPr>
                  <w:r>
                    <w:rPr>
                      <w:rFonts w:hint="eastAsia" w:ascii="Times New Roman" w:hAnsi="Times New Roman" w:cs="Times New Roman"/>
                      <w:b/>
                      <w:bCs/>
                      <w:color w:val="auto"/>
                      <w:kern w:val="0"/>
                      <w:sz w:val="21"/>
                      <w:szCs w:val="21"/>
                      <w:u w:val="none"/>
                      <w:vertAlign w:val="baseline"/>
                      <w:lang w:val="en-US" w:eastAsia="zh-CN"/>
                    </w:rPr>
                    <w:t>专项评价类别</w:t>
                  </w:r>
                </w:p>
              </w:tc>
              <w:tc>
                <w:tcPr>
                  <w:tcW w:w="2653" w:type="pct"/>
                  <w:noWrap w:val="0"/>
                  <w:vAlign w:val="center"/>
                </w:tcPr>
                <w:p>
                  <w:pPr>
                    <w:pStyle w:val="68"/>
                    <w:jc w:val="center"/>
                    <w:rPr>
                      <w:rFonts w:hint="eastAsia" w:ascii="Times New Roman" w:hAnsi="Times New Roman" w:cs="Times New Roman"/>
                      <w:b/>
                      <w:bCs/>
                      <w:color w:val="auto"/>
                      <w:kern w:val="0"/>
                      <w:sz w:val="21"/>
                      <w:szCs w:val="21"/>
                      <w:u w:val="none"/>
                      <w:vertAlign w:val="baseline"/>
                      <w:lang w:val="en-US" w:eastAsia="zh-CN"/>
                    </w:rPr>
                  </w:pPr>
                  <w:r>
                    <w:rPr>
                      <w:rFonts w:hint="eastAsia" w:ascii="Times New Roman" w:hAnsi="Times New Roman" w:cs="Times New Roman"/>
                      <w:b/>
                      <w:bCs/>
                      <w:color w:val="auto"/>
                      <w:kern w:val="0"/>
                      <w:sz w:val="21"/>
                      <w:szCs w:val="21"/>
                      <w:u w:val="none"/>
                      <w:vertAlign w:val="baseline"/>
                      <w:lang w:val="en-US" w:eastAsia="zh-CN"/>
                    </w:rPr>
                    <w:t>设置原则</w:t>
                  </w:r>
                </w:p>
              </w:tc>
              <w:tc>
                <w:tcPr>
                  <w:tcW w:w="861" w:type="pct"/>
                  <w:noWrap w:val="0"/>
                  <w:vAlign w:val="center"/>
                </w:tcPr>
                <w:p>
                  <w:pPr>
                    <w:pStyle w:val="68"/>
                    <w:jc w:val="center"/>
                    <w:rPr>
                      <w:rFonts w:hint="eastAsia" w:ascii="Times New Roman" w:hAnsi="Times New Roman" w:eastAsia="宋体" w:cs="Times New Roman"/>
                      <w:b/>
                      <w:bCs/>
                      <w:color w:val="auto"/>
                      <w:kern w:val="0"/>
                      <w:sz w:val="21"/>
                      <w:szCs w:val="21"/>
                      <w:u w:val="none"/>
                      <w:vertAlign w:val="baseline"/>
                      <w:lang w:val="en-US" w:eastAsia="zh-CN"/>
                    </w:rPr>
                  </w:pPr>
                  <w:r>
                    <w:rPr>
                      <w:rFonts w:hint="default" w:ascii="Times New Roman" w:hAnsi="Times New Roman" w:eastAsia="宋体" w:cs="Times New Roman"/>
                      <w:b/>
                      <w:bCs/>
                      <w:color w:val="auto"/>
                      <w:kern w:val="0"/>
                      <w:sz w:val="21"/>
                      <w:szCs w:val="21"/>
                      <w:u w:val="none"/>
                      <w:vertAlign w:val="baseline"/>
                      <w:lang w:val="en-US" w:eastAsia="zh-CN"/>
                    </w:rPr>
                    <w:t>本项目情况</w:t>
                  </w:r>
                </w:p>
              </w:tc>
              <w:tc>
                <w:tcPr>
                  <w:tcW w:w="736" w:type="pct"/>
                  <w:noWrap w:val="0"/>
                  <w:vAlign w:val="center"/>
                </w:tcPr>
                <w:p>
                  <w:pPr>
                    <w:pStyle w:val="68"/>
                    <w:jc w:val="center"/>
                    <w:rPr>
                      <w:rFonts w:hint="eastAsia" w:ascii="Times New Roman" w:hAnsi="Times New Roman" w:eastAsia="宋体" w:cs="Times New Roman"/>
                      <w:b/>
                      <w:bCs/>
                      <w:color w:val="auto"/>
                      <w:kern w:val="0"/>
                      <w:sz w:val="21"/>
                      <w:szCs w:val="21"/>
                      <w:u w:val="none"/>
                      <w:vertAlign w:val="baseline"/>
                      <w:lang w:val="en-US" w:eastAsia="zh-CN"/>
                    </w:rPr>
                  </w:pPr>
                  <w:r>
                    <w:rPr>
                      <w:rFonts w:hint="default" w:ascii="Times New Roman" w:hAnsi="Times New Roman" w:eastAsia="宋体" w:cs="Times New Roman"/>
                      <w:b/>
                      <w:bCs/>
                      <w:color w:val="auto"/>
                      <w:kern w:val="0"/>
                      <w:sz w:val="21"/>
                      <w:szCs w:val="21"/>
                      <w:u w:val="none"/>
                      <w:vertAlign w:val="baseline"/>
                      <w:lang w:val="en-US" w:eastAsia="zh-CN"/>
                    </w:rPr>
                    <w:t>是否设置专项评价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大气</w:t>
                  </w:r>
                </w:p>
              </w:tc>
              <w:tc>
                <w:tcPr>
                  <w:tcW w:w="2653" w:type="pct"/>
                  <w:noWrap w:val="0"/>
                  <w:vAlign w:val="center"/>
                </w:tcPr>
                <w:p>
                  <w:pPr>
                    <w:pStyle w:val="68"/>
                    <w:jc w:val="both"/>
                    <w:rPr>
                      <w:rFonts w:hint="default"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排放废气含有有毒有害污染物、二</w:t>
                  </w:r>
                  <w:r>
                    <w:rPr>
                      <w:rFonts w:hint="default" w:ascii="Times New Roman" w:hAnsi="Times New Roman" w:cs="Times New Roman"/>
                      <w:color w:val="auto"/>
                      <w:kern w:val="0"/>
                      <w:sz w:val="21"/>
                      <w:szCs w:val="21"/>
                      <w:u w:val="none"/>
                      <w:vertAlign w:val="baseline"/>
                      <w:lang w:val="en-US" w:eastAsia="zh-CN"/>
                    </w:rPr>
                    <w:t>噁英、苯并[α]芘、氰化物、氯气且厂界外500米范围内有环境空气保护目标的建设项目</w:t>
                  </w:r>
                </w:p>
              </w:tc>
              <w:tc>
                <w:tcPr>
                  <w:tcW w:w="861"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本项目不涉及</w:t>
                  </w:r>
                </w:p>
              </w:tc>
              <w:tc>
                <w:tcPr>
                  <w:tcW w:w="736"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地表水</w:t>
                  </w:r>
                </w:p>
              </w:tc>
              <w:tc>
                <w:tcPr>
                  <w:tcW w:w="2653" w:type="pct"/>
                  <w:noWrap w:val="0"/>
                  <w:vAlign w:val="center"/>
                </w:tcPr>
                <w:p>
                  <w:pPr>
                    <w:pStyle w:val="68"/>
                    <w:jc w:val="both"/>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新增工业废水直排建设项目（槽罐车送污水处理厂除外）；新增废水直排的污水集中处理厂</w:t>
                  </w:r>
                </w:p>
              </w:tc>
              <w:tc>
                <w:tcPr>
                  <w:tcW w:w="861" w:type="pct"/>
                  <w:noWrap w:val="0"/>
                  <w:vAlign w:val="center"/>
                </w:tcPr>
                <w:p>
                  <w:pPr>
                    <w:pStyle w:val="56"/>
                    <w:keepLines w:val="0"/>
                    <w:ind w:right="113" w:rightChars="0" w:firstLine="0" w:firstLineChars="0"/>
                    <w:rPr>
                      <w:rFonts w:hint="eastAsia" w:ascii="Times New Roman" w:hAnsi="Times New Roman" w:cs="Times New Roman"/>
                      <w:b w:val="0"/>
                      <w:bCs w:val="0"/>
                      <w:color w:val="auto"/>
                      <w:kern w:val="0"/>
                      <w:sz w:val="21"/>
                      <w:szCs w:val="21"/>
                      <w:u w:val="none"/>
                      <w:vertAlign w:val="baseline"/>
                      <w:lang w:val="en-US" w:eastAsia="zh-CN"/>
                    </w:rPr>
                  </w:pPr>
                  <w:r>
                    <w:rPr>
                      <w:rFonts w:hint="default" w:ascii="Times New Roman" w:hAnsi="Times New Roman" w:eastAsia="宋体" w:cs="Times New Roman"/>
                      <w:color w:val="000000"/>
                      <w:szCs w:val="21"/>
                    </w:rPr>
                    <w:t>项目无</w:t>
                  </w:r>
                  <w:r>
                    <w:rPr>
                      <w:rFonts w:hint="default" w:ascii="Times New Roman" w:hAnsi="Times New Roman" w:eastAsia="宋体" w:cs="Times New Roman"/>
                      <w:color w:val="000000"/>
                      <w:szCs w:val="21"/>
                      <w:lang w:val="en-US" w:eastAsia="zh-CN"/>
                    </w:rPr>
                    <w:t>新增</w:t>
                  </w:r>
                  <w:r>
                    <w:rPr>
                      <w:rFonts w:hint="default" w:ascii="Times New Roman" w:hAnsi="Times New Roman" w:eastAsia="宋体" w:cs="Times New Roman"/>
                      <w:color w:val="000000"/>
                      <w:szCs w:val="21"/>
                    </w:rPr>
                    <w:t>工业废水直排</w:t>
                  </w:r>
                </w:p>
              </w:tc>
              <w:tc>
                <w:tcPr>
                  <w:tcW w:w="736"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b w:val="0"/>
                      <w:bCs w:val="0"/>
                      <w:color w:val="auto"/>
                      <w:kern w:val="0"/>
                      <w:sz w:val="21"/>
                      <w:szCs w:val="21"/>
                      <w:u w:val="none"/>
                      <w:vertAlign w:val="baseline"/>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环境风险</w:t>
                  </w:r>
                </w:p>
              </w:tc>
              <w:tc>
                <w:tcPr>
                  <w:tcW w:w="2653" w:type="pct"/>
                  <w:noWrap w:val="0"/>
                  <w:vAlign w:val="center"/>
                </w:tcPr>
                <w:p>
                  <w:pPr>
                    <w:pStyle w:val="68"/>
                    <w:jc w:val="both"/>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有毒有害和易燃易爆危险物质存储量超过临界量的建设项目</w:t>
                  </w:r>
                </w:p>
              </w:tc>
              <w:tc>
                <w:tcPr>
                  <w:tcW w:w="861" w:type="pct"/>
                  <w:noWrap w:val="0"/>
                  <w:vAlign w:val="center"/>
                </w:tcPr>
                <w:p>
                  <w:pPr>
                    <w:pStyle w:val="56"/>
                    <w:keepLines w:val="0"/>
                    <w:ind w:right="113" w:rightChars="0" w:firstLine="0" w:firstLineChars="0"/>
                    <w:rPr>
                      <w:rFonts w:hint="eastAsia" w:ascii="Times New Roman" w:hAnsi="Times New Roman" w:cs="Times New Roman"/>
                      <w:color w:val="auto"/>
                      <w:kern w:val="0"/>
                      <w:sz w:val="21"/>
                      <w:szCs w:val="21"/>
                      <w:u w:val="none"/>
                      <w:vertAlign w:val="baseline"/>
                      <w:lang w:val="en-US" w:eastAsia="zh-CN"/>
                    </w:rPr>
                  </w:pPr>
                  <w:r>
                    <w:rPr>
                      <w:rFonts w:hint="default" w:ascii="Times New Roman" w:hAnsi="Times New Roman" w:eastAsia="宋体" w:cs="Times New Roman"/>
                      <w:color w:val="000000"/>
                      <w:szCs w:val="21"/>
                    </w:rPr>
                    <w:t>本项目不涉及</w:t>
                  </w:r>
                </w:p>
              </w:tc>
              <w:tc>
                <w:tcPr>
                  <w:tcW w:w="736"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9"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生态</w:t>
                  </w:r>
                </w:p>
              </w:tc>
              <w:tc>
                <w:tcPr>
                  <w:tcW w:w="2653" w:type="pct"/>
                  <w:noWrap w:val="0"/>
                  <w:vAlign w:val="center"/>
                </w:tcPr>
                <w:p>
                  <w:pPr>
                    <w:pStyle w:val="68"/>
                    <w:jc w:val="both"/>
                    <w:rPr>
                      <w:rFonts w:hint="default"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取水口下游500米范围内有重要水生生物的自然产卵场、索饵场越冬场和洄游通道的新增河道取水的污染类建设项目</w:t>
                  </w:r>
                </w:p>
              </w:tc>
              <w:tc>
                <w:tcPr>
                  <w:tcW w:w="861" w:type="pct"/>
                  <w:noWrap w:val="0"/>
                  <w:vAlign w:val="center"/>
                </w:tcPr>
                <w:p>
                  <w:pPr>
                    <w:pStyle w:val="56"/>
                    <w:keepLines w:val="0"/>
                    <w:ind w:right="113" w:rightChars="0" w:firstLine="0" w:firstLineChars="0"/>
                    <w:rPr>
                      <w:rFonts w:hint="eastAsia" w:ascii="Times New Roman" w:hAnsi="Times New Roman" w:cs="Times New Roman"/>
                      <w:color w:val="auto"/>
                      <w:kern w:val="0"/>
                      <w:sz w:val="21"/>
                      <w:szCs w:val="21"/>
                      <w:u w:val="none"/>
                      <w:vertAlign w:val="baseline"/>
                      <w:lang w:val="en-US" w:eastAsia="zh-CN"/>
                    </w:rPr>
                  </w:pPr>
                  <w:r>
                    <w:rPr>
                      <w:rFonts w:hint="default" w:ascii="Times New Roman" w:hAnsi="Times New Roman" w:eastAsia="宋体" w:cs="Times New Roman"/>
                      <w:color w:val="000000"/>
                      <w:szCs w:val="21"/>
                    </w:rPr>
                    <w:t>本项目不涉及</w:t>
                  </w:r>
                </w:p>
              </w:tc>
              <w:tc>
                <w:tcPr>
                  <w:tcW w:w="736"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49"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海洋</w:t>
                  </w:r>
                </w:p>
              </w:tc>
              <w:tc>
                <w:tcPr>
                  <w:tcW w:w="2653" w:type="pct"/>
                  <w:noWrap w:val="0"/>
                  <w:vAlign w:val="center"/>
                </w:tcPr>
                <w:p>
                  <w:pPr>
                    <w:pStyle w:val="68"/>
                    <w:jc w:val="both"/>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直接想海排放污染物的海洋工程建设项目</w:t>
                  </w:r>
                </w:p>
              </w:tc>
              <w:tc>
                <w:tcPr>
                  <w:tcW w:w="861" w:type="pct"/>
                  <w:noWrap w:val="0"/>
                  <w:vAlign w:val="center"/>
                </w:tcPr>
                <w:p>
                  <w:pPr>
                    <w:pStyle w:val="56"/>
                    <w:keepLines w:val="0"/>
                    <w:ind w:right="113" w:rightChars="0" w:firstLine="0" w:firstLineChars="0"/>
                    <w:rPr>
                      <w:rFonts w:hint="eastAsia" w:ascii="Times New Roman" w:hAnsi="Times New Roman" w:cs="Times New Roman"/>
                      <w:color w:val="auto"/>
                      <w:kern w:val="0"/>
                      <w:sz w:val="21"/>
                      <w:szCs w:val="21"/>
                      <w:u w:val="none"/>
                      <w:vertAlign w:val="baseline"/>
                      <w:lang w:val="en-US" w:eastAsia="zh-CN"/>
                    </w:rPr>
                  </w:pPr>
                  <w:r>
                    <w:rPr>
                      <w:rFonts w:hint="default" w:ascii="Times New Roman" w:hAnsi="Times New Roman" w:eastAsia="宋体" w:cs="Times New Roman"/>
                      <w:color w:val="000000"/>
                      <w:szCs w:val="21"/>
                    </w:rPr>
                    <w:t>本项目不涉及</w:t>
                  </w:r>
                </w:p>
              </w:tc>
              <w:tc>
                <w:tcPr>
                  <w:tcW w:w="736" w:type="pct"/>
                  <w:noWrap w:val="0"/>
                  <w:vAlign w:val="center"/>
                </w:tcPr>
                <w:p>
                  <w:pPr>
                    <w:pStyle w:val="68"/>
                    <w:jc w:val="center"/>
                    <w:rPr>
                      <w:rFonts w:hint="eastAsia" w:ascii="Times New Roman" w:hAnsi="Times New Roman" w:cs="Times New Roman"/>
                      <w:color w:val="auto"/>
                      <w:kern w:val="0"/>
                      <w:sz w:val="21"/>
                      <w:szCs w:val="21"/>
                      <w:u w:val="none"/>
                      <w:vertAlign w:val="baseline"/>
                      <w:lang w:val="en-US" w:eastAsia="zh-CN"/>
                    </w:rPr>
                  </w:pPr>
                  <w:r>
                    <w:rPr>
                      <w:rFonts w:hint="eastAsia" w:ascii="Times New Roman" w:hAnsi="Times New Roman" w:cs="Times New Roman"/>
                      <w:color w:val="auto"/>
                      <w:kern w:val="0"/>
                      <w:sz w:val="21"/>
                      <w:szCs w:val="21"/>
                      <w:u w:val="none"/>
                      <w:vertAlign w:val="baseline"/>
                      <w:lang w:val="en-US" w:eastAsia="zh-CN"/>
                    </w:rPr>
                    <w:t>否</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both"/>
              <w:textAlignment w:val="auto"/>
              <w:rPr>
                <w:rFonts w:hint="default" w:ascii="Times New Roman" w:hAnsi="Times New Roman" w:eastAsia="宋体" w:cs="Times New Roman"/>
                <w:color w:val="auto"/>
                <w:kern w:val="0"/>
                <w:szCs w:val="21"/>
                <w:u w:val="none"/>
                <w:lang w:val="en-US" w:eastAsia="zh-CN"/>
              </w:rPr>
            </w:pPr>
            <w:r>
              <w:rPr>
                <w:rFonts w:hint="eastAsia"/>
                <w:b/>
                <w:bCs/>
                <w:color w:val="auto"/>
                <w:sz w:val="24"/>
                <w:szCs w:val="32"/>
                <w:lang w:eastAsia="zh-CN"/>
              </w:rPr>
              <w:t>由此，本项目无需设置专项评价。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69" w:type="dxa"/>
            <w:gridSpan w:val="2"/>
            <w:noWrap w:val="0"/>
            <w:vAlign w:val="center"/>
          </w:tcPr>
          <w:p>
            <w:pPr>
              <w:keepNext w:val="0"/>
              <w:keepLines w:val="0"/>
              <w:pageBreakBefore w:val="0"/>
              <w:kinsoku/>
              <w:wordWrap/>
              <w:overflowPunct/>
              <w:topLinePunct w:val="0"/>
              <w:autoSpaceDE w:val="0"/>
              <w:autoSpaceDN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szCs w:val="21"/>
                <w:u w:val="none"/>
              </w:rPr>
              <w:t>规划情况</w:t>
            </w:r>
          </w:p>
        </w:tc>
        <w:tc>
          <w:tcPr>
            <w:tcW w:w="7100" w:type="dxa"/>
            <w:gridSpan w:val="3"/>
            <w:noWrap w:val="0"/>
            <w:vAlign w:val="center"/>
          </w:tcPr>
          <w:p>
            <w:pPr>
              <w:kinsoku/>
              <w:wordWrap w:val="0"/>
              <w:topLinePunct/>
              <w:autoSpaceDE/>
              <w:autoSpaceDN/>
              <w:adjustRightInd/>
              <w:spacing w:line="360" w:lineRule="auto"/>
              <w:ind w:firstLine="480" w:firstLineChars="200"/>
              <w:textAlignment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val="en-US" w:eastAsia="zh-CN"/>
              </w:rPr>
              <w:t>规划名称：</w:t>
            </w:r>
            <w:r>
              <w:rPr>
                <w:rFonts w:hint="default" w:ascii="Times New Roman" w:hAnsi="Times New Roman" w:eastAsia="宋体" w:cs="Times New Roman"/>
                <w:color w:val="000000"/>
                <w:sz w:val="24"/>
                <w:szCs w:val="24"/>
              </w:rPr>
              <w:t>《衡阳西渡高新技术产业开发区发展规划》</w:t>
            </w:r>
          </w:p>
          <w:p>
            <w:pPr>
              <w:kinsoku/>
              <w:wordWrap w:val="0"/>
              <w:topLinePunct/>
              <w:autoSpaceDE/>
              <w:autoSpaceDN/>
              <w:adjustRightInd/>
              <w:spacing w:line="360" w:lineRule="auto"/>
              <w:ind w:firstLine="480" w:firstLineChars="200"/>
              <w:textAlignment w:val="center"/>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审批单位：湖南省人民政府</w:t>
            </w:r>
          </w:p>
          <w:p>
            <w:pPr>
              <w:keepNext w:val="0"/>
              <w:keepLines w:val="0"/>
              <w:pageBreakBefore w:val="0"/>
              <w:widowControl/>
              <w:kinsoku/>
              <w:wordWrap w:val="0"/>
              <w:overflowPunct/>
              <w:topLinePunct/>
              <w:autoSpaceDE/>
              <w:autoSpaceDN/>
              <w:bidi w:val="0"/>
              <w:adjustRightInd/>
              <w:snapToGrid/>
              <w:spacing w:line="360" w:lineRule="auto"/>
              <w:ind w:firstLine="480" w:firstLineChars="200"/>
              <w:jc w:val="both"/>
              <w:textAlignment w:val="center"/>
              <w:rPr>
                <w:rFonts w:hint="default" w:ascii="Times New Roman" w:hAnsi="Times New Roman" w:eastAsia="宋体" w:cs="Times New Roman"/>
                <w:snapToGrid w:val="0"/>
                <w:color w:val="000000"/>
                <w:kern w:val="0"/>
                <w:sz w:val="24"/>
                <w:szCs w:val="24"/>
                <w:lang w:val="en-US" w:eastAsia="zh-CN"/>
              </w:rPr>
            </w:pPr>
            <w:r>
              <w:rPr>
                <w:rFonts w:hint="default" w:ascii="Times New Roman" w:hAnsi="Times New Roman" w:eastAsia="宋体" w:cs="Times New Roman"/>
                <w:color w:val="000000"/>
                <w:sz w:val="24"/>
                <w:szCs w:val="24"/>
                <w:lang w:val="en-US" w:eastAsia="zh-CN"/>
              </w:rPr>
              <w:t>审批文号：湘政函[2008]135号</w:t>
            </w:r>
          </w:p>
          <w:p>
            <w:pPr>
              <w:keepNext w:val="0"/>
              <w:keepLines w:val="0"/>
              <w:pageBreakBefore w:val="0"/>
              <w:widowControl/>
              <w:kinsoku/>
              <w:wordWrap w:val="0"/>
              <w:overflowPunct/>
              <w:topLinePunct/>
              <w:autoSpaceDE/>
              <w:autoSpaceDN/>
              <w:bidi w:val="0"/>
              <w:adjustRightInd/>
              <w:snapToGrid/>
              <w:spacing w:line="360" w:lineRule="auto"/>
              <w:ind w:firstLine="480" w:firstLineChars="200"/>
              <w:jc w:val="both"/>
              <w:textAlignment w:val="center"/>
              <w:rPr>
                <w:rFonts w:hint="default" w:ascii="Times New Roman" w:hAnsi="Times New Roman" w:eastAsia="宋体" w:cs="Times New Roman"/>
                <w:snapToGrid w:val="0"/>
                <w:color w:val="000000"/>
                <w:kern w:val="0"/>
                <w:sz w:val="24"/>
                <w:szCs w:val="24"/>
              </w:rPr>
            </w:pPr>
            <w:r>
              <w:rPr>
                <w:rFonts w:hint="default" w:ascii="Times New Roman" w:hAnsi="Times New Roman" w:eastAsia="宋体" w:cs="Times New Roman"/>
                <w:snapToGrid w:val="0"/>
                <w:color w:val="000000"/>
                <w:kern w:val="0"/>
                <w:sz w:val="24"/>
                <w:szCs w:val="24"/>
                <w:lang w:val="en-US" w:eastAsia="zh-CN"/>
              </w:rPr>
              <w:t>规划名称：</w:t>
            </w:r>
            <w:r>
              <w:rPr>
                <w:rFonts w:hint="default" w:ascii="Times New Roman" w:hAnsi="Times New Roman" w:eastAsia="宋体" w:cs="Times New Roman"/>
                <w:snapToGrid w:val="0"/>
                <w:color w:val="000000"/>
                <w:kern w:val="0"/>
                <w:sz w:val="24"/>
                <w:szCs w:val="24"/>
              </w:rPr>
              <w:t>《衡阳西渡高新技术产业开发区控制性详细规划》</w:t>
            </w:r>
          </w:p>
          <w:p>
            <w:pPr>
              <w:keepNext w:val="0"/>
              <w:keepLines w:val="0"/>
              <w:pageBreakBefore w:val="0"/>
              <w:widowControl/>
              <w:kinsoku/>
              <w:wordWrap w:val="0"/>
              <w:overflowPunct/>
              <w:topLinePunct/>
              <w:autoSpaceDE/>
              <w:autoSpaceDN/>
              <w:bidi w:val="0"/>
              <w:adjustRightInd/>
              <w:snapToGrid/>
              <w:spacing w:line="360" w:lineRule="auto"/>
              <w:ind w:firstLine="480" w:firstLineChars="200"/>
              <w:jc w:val="both"/>
              <w:textAlignment w:val="center"/>
              <w:rPr>
                <w:rFonts w:hint="default" w:ascii="Times New Roman" w:hAnsi="Times New Roman" w:eastAsia="宋体" w:cs="Times New Roman"/>
                <w:snapToGrid w:val="0"/>
                <w:color w:val="000000"/>
                <w:kern w:val="0"/>
                <w:sz w:val="24"/>
                <w:szCs w:val="24"/>
                <w:lang w:val="en-US" w:eastAsia="zh-CN"/>
              </w:rPr>
            </w:pPr>
            <w:r>
              <w:rPr>
                <w:rFonts w:hint="default" w:ascii="Times New Roman" w:hAnsi="Times New Roman" w:eastAsia="宋体" w:cs="Times New Roman"/>
                <w:snapToGrid w:val="0"/>
                <w:color w:val="000000"/>
                <w:kern w:val="0"/>
                <w:sz w:val="24"/>
                <w:szCs w:val="24"/>
                <w:lang w:val="en-US" w:eastAsia="zh-CN"/>
              </w:rPr>
              <w:t>审批单位：</w:t>
            </w:r>
            <w:r>
              <w:rPr>
                <w:rFonts w:hint="eastAsia" w:ascii="Times New Roman" w:hAnsi="Times New Roman" w:eastAsia="宋体" w:cs="Times New Roman"/>
                <w:snapToGrid w:val="0"/>
                <w:color w:val="000000"/>
                <w:kern w:val="0"/>
                <w:sz w:val="24"/>
                <w:szCs w:val="24"/>
                <w:lang w:val="en-US" w:eastAsia="zh-CN"/>
              </w:rPr>
              <w:t>衡阳县</w:t>
            </w:r>
            <w:r>
              <w:rPr>
                <w:rFonts w:hint="default" w:ascii="Times New Roman" w:hAnsi="Times New Roman" w:eastAsia="宋体" w:cs="Times New Roman"/>
                <w:snapToGrid w:val="0"/>
                <w:color w:val="000000"/>
                <w:kern w:val="0"/>
                <w:sz w:val="24"/>
                <w:szCs w:val="24"/>
                <w:lang w:val="en-US" w:eastAsia="zh-CN"/>
              </w:rPr>
              <w:t>人民政府</w:t>
            </w:r>
          </w:p>
          <w:p>
            <w:pPr>
              <w:keepNext w:val="0"/>
              <w:keepLines w:val="0"/>
              <w:pageBreakBefore w:val="0"/>
              <w:widowControl/>
              <w:kinsoku/>
              <w:wordWrap w:val="0"/>
              <w:overflowPunct/>
              <w:topLinePunct/>
              <w:autoSpaceDE/>
              <w:autoSpaceDN/>
              <w:bidi w:val="0"/>
              <w:adjustRightInd/>
              <w:snapToGrid/>
              <w:spacing w:line="360" w:lineRule="auto"/>
              <w:ind w:firstLine="480" w:firstLineChars="200"/>
              <w:jc w:val="both"/>
              <w:textAlignment w:val="center"/>
              <w:rPr>
                <w:rFonts w:hint="default" w:ascii="Times New Roman" w:hAnsi="Times New Roman" w:eastAsia="宋体" w:cs="Times New Roman"/>
                <w:color w:val="auto"/>
                <w:kern w:val="0"/>
                <w:sz w:val="24"/>
                <w:szCs w:val="24"/>
                <w:u w:val="none"/>
                <w:lang w:eastAsia="zh-CN"/>
              </w:rPr>
            </w:pPr>
            <w:r>
              <w:rPr>
                <w:rFonts w:hint="default" w:ascii="Times New Roman" w:hAnsi="Times New Roman" w:eastAsia="宋体" w:cs="Times New Roman"/>
                <w:snapToGrid w:val="0"/>
                <w:color w:val="000000"/>
                <w:kern w:val="0"/>
                <w:sz w:val="24"/>
                <w:szCs w:val="24"/>
                <w:lang w:val="en-US" w:eastAsia="zh-CN"/>
              </w:rPr>
              <w:t>审批文号：</w:t>
            </w:r>
            <w:r>
              <w:rPr>
                <w:rFonts w:hint="eastAsia" w:ascii="Times New Roman" w:hAnsi="Times New Roman" w:eastAsia="宋体" w:cs="Times New Roman"/>
                <w:snapToGrid w:val="0"/>
                <w:color w:val="000000"/>
                <w:kern w:val="0"/>
                <w:sz w:val="24"/>
                <w:szCs w:val="24"/>
                <w:lang w:val="en-US" w:eastAsia="zh-CN"/>
              </w:rPr>
              <w:t>蒸政复</w:t>
            </w:r>
            <w:r>
              <w:rPr>
                <w:rFonts w:hint="default" w:ascii="Times New Roman" w:hAnsi="Times New Roman" w:eastAsia="宋体" w:cs="Times New Roman"/>
                <w:snapToGrid w:val="0"/>
                <w:color w:val="000000"/>
                <w:kern w:val="0"/>
                <w:sz w:val="24"/>
                <w:szCs w:val="24"/>
                <w:lang w:val="en-US" w:eastAsia="zh-CN"/>
              </w:rPr>
              <w:t>[20</w:t>
            </w:r>
            <w:r>
              <w:rPr>
                <w:rFonts w:hint="eastAsia" w:ascii="Times New Roman" w:hAnsi="Times New Roman" w:eastAsia="宋体" w:cs="Times New Roman"/>
                <w:snapToGrid w:val="0"/>
                <w:color w:val="000000"/>
                <w:kern w:val="0"/>
                <w:sz w:val="24"/>
                <w:szCs w:val="24"/>
                <w:lang w:val="en-US" w:eastAsia="zh-CN"/>
              </w:rPr>
              <w:t>25</w:t>
            </w:r>
            <w:r>
              <w:rPr>
                <w:rFonts w:hint="default" w:ascii="Times New Roman" w:hAnsi="Times New Roman" w:eastAsia="宋体" w:cs="Times New Roman"/>
                <w:snapToGrid w:val="0"/>
                <w:color w:val="000000"/>
                <w:kern w:val="0"/>
                <w:sz w:val="24"/>
                <w:szCs w:val="24"/>
                <w:lang w:val="en-US" w:eastAsia="zh-CN"/>
              </w:rPr>
              <w:t>]</w:t>
            </w:r>
            <w:r>
              <w:rPr>
                <w:rFonts w:hint="eastAsia" w:ascii="Times New Roman" w:hAnsi="Times New Roman" w:eastAsia="宋体" w:cs="Times New Roman"/>
                <w:snapToGrid w:val="0"/>
                <w:color w:val="000000"/>
                <w:kern w:val="0"/>
                <w:sz w:val="24"/>
                <w:szCs w:val="24"/>
                <w:lang w:val="en-US" w:eastAsia="zh-CN"/>
              </w:rPr>
              <w:t>49</w:t>
            </w:r>
            <w:r>
              <w:rPr>
                <w:rFonts w:hint="default" w:ascii="Times New Roman" w:hAnsi="Times New Roman" w:eastAsia="宋体" w:cs="Times New Roman"/>
                <w:snapToGrid w:val="0"/>
                <w:color w:val="000000"/>
                <w:kern w:val="0"/>
                <w:sz w:val="24"/>
                <w:szCs w:val="24"/>
                <w:lang w:val="en-US" w:eastAsia="zh-CN"/>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69" w:type="dxa"/>
            <w:gridSpan w:val="2"/>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规划环境影响</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szCs w:val="21"/>
                <w:u w:val="none"/>
              </w:rPr>
              <w:t>评价情况</w:t>
            </w:r>
          </w:p>
        </w:tc>
        <w:tc>
          <w:tcPr>
            <w:tcW w:w="7100" w:type="dxa"/>
            <w:gridSpan w:val="3"/>
            <w:noWrap w:val="0"/>
            <w:vAlign w:val="center"/>
          </w:tcPr>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rPr>
                <w:rFonts w:hint="default" w:ascii="Times New Roman" w:hAnsi="Times New Roman" w:eastAsia="宋体" w:cs="Times New Roman"/>
                <w:color w:val="auto"/>
                <w:kern w:val="0"/>
                <w:sz w:val="24"/>
                <w:szCs w:val="24"/>
                <w:u w:val="none"/>
                <w:lang w:eastAsia="zh-CN"/>
              </w:rPr>
            </w:pPr>
            <w:r>
              <w:rPr>
                <w:rFonts w:hint="eastAsia" w:ascii="Times New Roman" w:hAnsi="Times New Roman" w:eastAsia="宋体" w:cs="Times New Roman"/>
                <w:color w:val="auto"/>
                <w:kern w:val="0"/>
                <w:sz w:val="24"/>
                <w:szCs w:val="24"/>
                <w:u w:val="none"/>
                <w:lang w:eastAsia="zh-CN"/>
              </w:rPr>
              <w:t>规划环境影响评价名称：</w:t>
            </w:r>
            <w:r>
              <w:rPr>
                <w:rFonts w:hint="default" w:ascii="Times New Roman" w:hAnsi="Times New Roman" w:eastAsia="宋体" w:cs="Times New Roman"/>
                <w:color w:val="auto"/>
                <w:kern w:val="0"/>
                <w:sz w:val="24"/>
                <w:szCs w:val="24"/>
                <w:u w:val="none"/>
                <w:lang w:eastAsia="zh-CN"/>
              </w:rPr>
              <w:t>《衡阳西渡经济开发区环境影响评价报告书》</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rPr>
                <w:rFonts w:hint="eastAsia" w:ascii="Times New Roman" w:hAnsi="Times New Roman" w:eastAsia="宋体" w:cs="Times New Roman"/>
                <w:color w:val="auto"/>
                <w:kern w:val="0"/>
                <w:sz w:val="24"/>
                <w:szCs w:val="24"/>
                <w:u w:val="none"/>
                <w:lang w:eastAsia="zh-CN"/>
              </w:rPr>
            </w:pPr>
            <w:r>
              <w:rPr>
                <w:rFonts w:hint="eastAsia" w:ascii="Times New Roman" w:hAnsi="Times New Roman" w:eastAsia="宋体" w:cs="Times New Roman"/>
                <w:color w:val="auto"/>
                <w:kern w:val="0"/>
                <w:sz w:val="24"/>
                <w:szCs w:val="24"/>
                <w:u w:val="none"/>
                <w:lang w:eastAsia="zh-CN"/>
              </w:rPr>
              <w:t>召集审查机关：湖南省生态环境厅（原湖南省环境保护厅）</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rPr>
                <w:rFonts w:hint="default" w:ascii="Times New Roman" w:hAnsi="Times New Roman" w:eastAsia="宋体" w:cs="Times New Roman"/>
                <w:color w:val="auto"/>
                <w:kern w:val="0"/>
                <w:sz w:val="24"/>
                <w:szCs w:val="24"/>
                <w:u w:val="none"/>
                <w:lang w:eastAsia="zh-CN"/>
              </w:rPr>
            </w:pPr>
            <w:r>
              <w:rPr>
                <w:rFonts w:hint="default" w:ascii="Times New Roman" w:hAnsi="Times New Roman" w:eastAsia="宋体" w:cs="Times New Roman"/>
                <w:color w:val="auto"/>
                <w:kern w:val="0"/>
                <w:sz w:val="24"/>
                <w:szCs w:val="24"/>
                <w:u w:val="none"/>
                <w:lang w:val="en-US" w:eastAsia="zh-CN"/>
              </w:rPr>
              <w:t>审批文号：湘环评[2013]285号</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rPr>
                <w:rFonts w:hint="default" w:ascii="Times New Roman" w:hAnsi="Times New Roman" w:eastAsia="宋体" w:cs="Times New Roman"/>
                <w:color w:val="auto"/>
                <w:kern w:val="0"/>
                <w:sz w:val="24"/>
                <w:szCs w:val="24"/>
                <w:u w:val="none"/>
                <w:lang w:eastAsia="zh-CN"/>
              </w:rPr>
            </w:pPr>
            <w:r>
              <w:rPr>
                <w:rFonts w:hint="eastAsia" w:ascii="Times New Roman" w:hAnsi="Times New Roman" w:eastAsia="宋体" w:cs="Times New Roman"/>
                <w:color w:val="auto"/>
                <w:kern w:val="0"/>
                <w:sz w:val="24"/>
                <w:szCs w:val="24"/>
                <w:u w:val="none"/>
                <w:lang w:eastAsia="zh-CN"/>
              </w:rPr>
              <w:t>此外：</w:t>
            </w:r>
            <w:r>
              <w:rPr>
                <w:rFonts w:hint="default" w:ascii="Times New Roman" w:hAnsi="Times New Roman" w:eastAsia="宋体" w:cs="Times New Roman"/>
                <w:color w:val="auto"/>
                <w:kern w:val="0"/>
                <w:sz w:val="24"/>
                <w:szCs w:val="24"/>
                <w:u w:val="none"/>
                <w:lang w:eastAsia="zh-CN"/>
              </w:rPr>
              <w:t>《湖南衡阳西渡高新技术产业园区环境影响跟踪评价报告书》于2022年8月25日取得湖南省生态环境厅的复函（湘环评函〔2022〕85号）</w:t>
            </w:r>
            <w:r>
              <w:rPr>
                <w:rFonts w:hint="eastAsia" w:ascii="Times New Roman" w:hAnsi="Times New Roman" w:eastAsia="宋体" w:cs="Times New Roman"/>
                <w:color w:val="auto"/>
                <w:kern w:val="0"/>
                <w:sz w:val="24"/>
                <w:szCs w:val="24"/>
                <w:u w:val="none"/>
                <w:lang w:eastAsia="zh-CN"/>
              </w:rPr>
              <w:t>；最新的规划环评影响报告正在编制中</w:t>
            </w:r>
            <w:r>
              <w:rPr>
                <w:rFonts w:hint="default" w:ascii="Times New Roman" w:hAnsi="Times New Roman" w:eastAsia="宋体" w:cs="Times New Roman"/>
                <w:color w:val="auto"/>
                <w:kern w:val="0"/>
                <w:sz w:val="24"/>
                <w:szCs w:val="24"/>
                <w:u w:val="none"/>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69" w:type="dxa"/>
            <w:gridSpan w:val="2"/>
            <w:noWrap w:val="0"/>
            <w:vAlign w:val="center"/>
          </w:tcPr>
          <w:p>
            <w:pPr>
              <w:keepNext w:val="0"/>
              <w:keepLines w:val="0"/>
              <w:pageBreakBefore w:val="0"/>
              <w:kinsoku/>
              <w:wordWrap/>
              <w:overflowPunct/>
              <w:topLinePunct w:val="0"/>
              <w:autoSpaceDE w:val="0"/>
              <w:autoSpaceDN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规划及规划环境</w:t>
            </w:r>
          </w:p>
          <w:p>
            <w:pPr>
              <w:keepNext w:val="0"/>
              <w:keepLines w:val="0"/>
              <w:pageBreakBefore w:val="0"/>
              <w:kinsoku/>
              <w:wordWrap/>
              <w:overflowPunct/>
              <w:topLinePunct w:val="0"/>
              <w:autoSpaceDE w:val="0"/>
              <w:autoSpaceDN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影响评价符合性分析</w:t>
            </w:r>
          </w:p>
        </w:tc>
        <w:tc>
          <w:tcPr>
            <w:tcW w:w="7100" w:type="dxa"/>
            <w:gridSpan w:val="3"/>
            <w:noWrap w:val="0"/>
            <w:vAlign w:val="center"/>
          </w:tcPr>
          <w:p>
            <w:pPr>
              <w:kinsoku/>
              <w:wordWrap w:val="0"/>
              <w:topLinePunct/>
              <w:autoSpaceDE/>
              <w:autoSpaceDN/>
              <w:adjustRightInd/>
              <w:snapToGrid/>
              <w:spacing w:line="360" w:lineRule="auto"/>
              <w:ind w:firstLine="480" w:firstLineChars="200"/>
              <w:textAlignment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2013年，湖南衡阳西渡经济开发区管理委员会委托长沙环境保护职业技术学院开展《湖南衡阳西渡经济开发区规划环境影响报告书》环境影响评价工作，规划范围7.43km</w:t>
            </w:r>
            <w:r>
              <w:rPr>
                <w:rFonts w:hint="default" w:ascii="Times New Roman" w:hAnsi="Times New Roman" w:eastAsia="宋体" w:cs="Times New Roman"/>
                <w:color w:val="000000"/>
                <w:sz w:val="24"/>
                <w:szCs w:val="24"/>
                <w:vertAlign w:val="superscript"/>
              </w:rPr>
              <w:t>2</w:t>
            </w:r>
            <w:r>
              <w:rPr>
                <w:rFonts w:hint="default" w:ascii="Times New Roman" w:hAnsi="Times New Roman" w:eastAsia="宋体" w:cs="Times New Roman"/>
                <w:color w:val="000000"/>
                <w:sz w:val="24"/>
                <w:szCs w:val="24"/>
              </w:rPr>
              <w:t>，并于2013年12月取得湖南省环保厅的批复（湘环评[2013]285号）。</w:t>
            </w:r>
          </w:p>
          <w:p>
            <w:pPr>
              <w:kinsoku/>
              <w:wordWrap w:val="0"/>
              <w:topLinePunct/>
              <w:autoSpaceDE/>
              <w:autoSpaceDN/>
              <w:adjustRightInd/>
              <w:snapToGrid/>
              <w:spacing w:line="360" w:lineRule="auto"/>
              <w:ind w:firstLine="480" w:firstLineChars="200"/>
              <w:textAlignment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2015年9月，湖南省发展和改革委员会以《关于衡阳西渡高新技术产业园区调区扩区的函》（湘发改函[2015]314号）同意对衡阳西渡高新区进行调区扩区。调扩区方案为：到2020年，规划面积由原84.20公顷调整至743.28公顷，调区扩区后，原核准区域进行整体区位调整，在新区域的蒸阳大道及联胜路以北连片区域中置换84.20公顷土地，新园区的范围东起恒生路，西至清江北路，南至联胜路及省道S315线，北至顺济路，实现整体连片开发。</w:t>
            </w:r>
          </w:p>
          <w:p>
            <w:pPr>
              <w:kinsoku/>
              <w:wordWrap w:val="0"/>
              <w:topLinePunct/>
              <w:autoSpaceDE/>
              <w:autoSpaceDN/>
              <w:adjustRightInd/>
              <w:snapToGrid/>
              <w:spacing w:line="360" w:lineRule="auto"/>
              <w:ind w:firstLine="480" w:firstLineChars="200"/>
              <w:textAlignment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根据湖南省发展和改革委员会、湖南省自然资源厅关于发布《湖南省省级及以上产业园区边界面积及四至范围目录》的通知（</w:t>
            </w:r>
            <w:r>
              <w:rPr>
                <w:rFonts w:hint="default" w:ascii="Times New Roman" w:hAnsi="Times New Roman" w:eastAsia="宋体" w:cs="Times New Roman"/>
                <w:color w:val="000000"/>
                <w:spacing w:val="9"/>
                <w:sz w:val="24"/>
                <w:szCs w:val="24"/>
              </w:rPr>
              <w:t>湘发改园区[2022]601号）</w:t>
            </w:r>
            <w:r>
              <w:rPr>
                <w:rFonts w:hint="default" w:ascii="Times New Roman" w:hAnsi="Times New Roman" w:eastAsia="宋体" w:cs="Times New Roman"/>
                <w:color w:val="000000"/>
                <w:sz w:val="24"/>
                <w:szCs w:val="24"/>
              </w:rPr>
              <w:t>，衡阳西渡高新技术产业园区规划总面积1007.11公顷，总共分为6个区块。其中区块一：面积为766.88公顷，东至恒生路，南至联胜路及S315省道，西至清江北路，北至顺济路东；区块二：面积为11.46公顷，东至开福路，南至船山西路，西至洪山路，北至工业路；区块三：面积为135.76公顷，东至石冲水库，南至S336省道，西至肖家冲，北至彩堂塆；区块四：面积为33.30公顷，东至大鹰村，南至老鸦冲，西至新塘皂，北至S315省道；区块五：面积为18.60公顷，东至樟板路，南至樟南路，西至光伏路，北至人和路；区块六：面积为41.11公顷，东至X034县道，南至赖老屋，西至斜坡堰水库，北至牛角冲。</w:t>
            </w:r>
          </w:p>
          <w:p>
            <w:pPr>
              <w:kinsoku/>
              <w:wordWrap w:val="0"/>
              <w:topLinePunct/>
              <w:autoSpaceDE/>
              <w:autoSpaceDN/>
              <w:adjustRightInd/>
              <w:snapToGrid/>
              <w:spacing w:line="360" w:lineRule="auto"/>
              <w:ind w:firstLine="480" w:firstLineChars="200"/>
              <w:textAlignment w:val="center"/>
              <w:rPr>
                <w:rFonts w:hint="default" w:ascii="Times New Roman" w:hAnsi="Times New Roman" w:eastAsia="宋体" w:cs="Times New Roman"/>
                <w:color w:val="000000"/>
                <w:sz w:val="24"/>
                <w:szCs w:val="24"/>
                <w:highlight w:val="red"/>
                <w:u w:val="none"/>
                <w:lang w:val="en-US" w:eastAsia="zh-CN"/>
              </w:rPr>
            </w:pPr>
            <w:r>
              <w:rPr>
                <w:rFonts w:hint="default" w:ascii="Times New Roman" w:hAnsi="Times New Roman" w:eastAsia="宋体" w:cs="Times New Roman"/>
                <w:color w:val="000000"/>
                <w:sz w:val="24"/>
                <w:szCs w:val="24"/>
                <w:highlight w:val="none"/>
                <w:u w:val="none"/>
                <w:lang w:val="en-US" w:eastAsia="zh-CN"/>
              </w:rPr>
              <w:t>根据“湖南衡阳西渡高新技术产业园区关于印发《2025年度工作要点》的通知（蒸高新工[2025]6号）”，本项目属于中共湖南衡阳西渡高新技术产业园区工作委员会行政管辖范围内，项目位于</w:t>
            </w:r>
            <w:r>
              <w:rPr>
                <w:rFonts w:hint="default" w:ascii="Times New Roman" w:hAnsi="Times New Roman" w:eastAsia="宋体" w:cs="Times New Roman"/>
                <w:color w:val="000000"/>
                <w:spacing w:val="7"/>
                <w:sz w:val="24"/>
                <w:szCs w:val="24"/>
                <w:highlight w:val="none"/>
                <w:u w:val="none"/>
                <w:lang w:eastAsia="zh-CN"/>
              </w:rPr>
              <w:t>衡阳西渡高新技术产业开发区</w:t>
            </w:r>
            <w:r>
              <w:rPr>
                <w:rFonts w:hint="default" w:ascii="Times New Roman" w:hAnsi="Times New Roman" w:eastAsia="宋体" w:cs="Times New Roman"/>
                <w:color w:val="000000"/>
                <w:spacing w:val="7"/>
                <w:sz w:val="24"/>
                <w:szCs w:val="24"/>
                <w:highlight w:val="none"/>
                <w:u w:val="none"/>
                <w:lang w:val="en-US" w:eastAsia="zh-CN"/>
              </w:rPr>
              <w:t>下一步规划扩区范围内。</w:t>
            </w:r>
          </w:p>
          <w:p>
            <w:pPr>
              <w:kinsoku/>
              <w:wordWrap w:val="0"/>
              <w:topLinePunct/>
              <w:autoSpaceDE/>
              <w:autoSpaceDN/>
              <w:adjustRightInd/>
              <w:snapToGrid/>
              <w:spacing w:line="360" w:lineRule="auto"/>
              <w:ind w:firstLine="480" w:firstLineChars="200"/>
              <w:textAlignment w:val="center"/>
              <w:rPr>
                <w:rFonts w:hint="default" w:ascii="Times New Roman" w:hAnsi="Times New Roman" w:eastAsia="宋体" w:cs="Times New Roman"/>
                <w:color w:val="000000"/>
                <w:sz w:val="24"/>
                <w:szCs w:val="24"/>
                <w:u w:val="wave"/>
              </w:rPr>
            </w:pPr>
            <w:r>
              <w:rPr>
                <w:rFonts w:hint="default" w:ascii="Times New Roman" w:hAnsi="Times New Roman" w:eastAsia="宋体" w:cs="Times New Roman"/>
                <w:color w:val="000000"/>
                <w:sz w:val="24"/>
                <w:szCs w:val="24"/>
                <w:u w:val="wave"/>
              </w:rPr>
              <w:t>项目与《衡阳西渡经济开发区环境影响评价报告书》（湘环评〔2013〕285号）相符性分析如下：</w:t>
            </w:r>
          </w:p>
          <w:p>
            <w:pPr>
              <w:pStyle w:val="79"/>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表1-2   项目与“湘环评〔2013〕285号”文相符性分析一览表</w:t>
            </w:r>
          </w:p>
          <w:tbl>
            <w:tblPr>
              <w:tblStyle w:val="25"/>
              <w:tblW w:w="494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4139"/>
              <w:gridCol w:w="2085"/>
              <w:gridCol w:w="59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b/>
                      <w:bCs/>
                      <w:color w:val="000000"/>
                      <w:sz w:val="21"/>
                      <w:szCs w:val="21"/>
                      <w:u w:val="wave"/>
                    </w:rPr>
                  </w:pPr>
                  <w:r>
                    <w:rPr>
                      <w:rFonts w:hint="default" w:ascii="Times New Roman" w:hAnsi="Times New Roman" w:eastAsia="宋体" w:cs="Times New Roman"/>
                      <w:b/>
                      <w:bCs/>
                      <w:color w:val="000000"/>
                      <w:sz w:val="21"/>
                      <w:szCs w:val="21"/>
                      <w:u w:val="wave"/>
                    </w:rPr>
                    <w:t>规划环评“湘环评〔2013〕285号”要求</w:t>
                  </w:r>
                </w:p>
              </w:tc>
              <w:tc>
                <w:tcPr>
                  <w:tcW w:w="2085"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b/>
                      <w:bCs/>
                      <w:color w:val="000000"/>
                      <w:sz w:val="21"/>
                      <w:szCs w:val="21"/>
                      <w:u w:val="wave"/>
                    </w:rPr>
                  </w:pPr>
                  <w:r>
                    <w:rPr>
                      <w:rFonts w:hint="default" w:ascii="Times New Roman" w:hAnsi="Times New Roman" w:eastAsia="宋体" w:cs="Times New Roman"/>
                      <w:b/>
                      <w:bCs/>
                      <w:color w:val="000000"/>
                      <w:sz w:val="21"/>
                      <w:szCs w:val="21"/>
                      <w:u w:val="wave"/>
                    </w:rPr>
                    <w:t>项目判定情况</w:t>
                  </w:r>
                </w:p>
              </w:tc>
              <w:tc>
                <w:tcPr>
                  <w:tcW w:w="590"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b/>
                      <w:bCs/>
                      <w:color w:val="000000"/>
                      <w:sz w:val="21"/>
                      <w:szCs w:val="21"/>
                      <w:u w:val="wave"/>
                    </w:rPr>
                  </w:pPr>
                  <w:r>
                    <w:rPr>
                      <w:rFonts w:hint="default" w:ascii="Times New Roman" w:hAnsi="Times New Roman" w:eastAsia="宋体" w:cs="Times New Roman"/>
                      <w:b/>
                      <w:bCs/>
                      <w:color w:val="000000"/>
                      <w:sz w:val="21"/>
                      <w:szCs w:val="21"/>
                      <w:u w:val="wave"/>
                    </w:rPr>
                    <w:t>相符性</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80"/>
                    <w:keepNext w:val="0"/>
                    <w:keepLines w:val="0"/>
                    <w:pageBreakBefore w:val="0"/>
                    <w:widowControl w:val="0"/>
                    <w:kinsoku/>
                    <w:wordWrap/>
                    <w:overflowPunct/>
                    <w:topLinePunct w:val="0"/>
                    <w:autoSpaceDE/>
                    <w:autoSpaceDN/>
                    <w:bidi w:val="0"/>
                    <w:adjustRightInd/>
                    <w:snapToGrid/>
                    <w:spacing w:before="95" w:beforeLines="30" w:after="95" w:afterLines="30"/>
                    <w:ind w:firstLine="420" w:firstLineChars="200"/>
                    <w:jc w:val="both"/>
                    <w:textAlignment w:val="auto"/>
                    <w:rPr>
                      <w:rFonts w:hint="default" w:ascii="Times New Roman" w:hAnsi="Times New Roman" w:eastAsia="宋体" w:cs="Times New Roman"/>
                      <w:color w:val="000000"/>
                      <w:sz w:val="21"/>
                      <w:szCs w:val="21"/>
                      <w:u w:val="wave"/>
                    </w:rPr>
                  </w:pPr>
                  <w:r>
                    <w:rPr>
                      <w:color w:val="auto"/>
                      <w:u w:val="wave"/>
                    </w:rPr>
                    <w:t>进一步优化规划布局，经开区内各功能区相对集中布置，严格按照功能区划进行有序开发建设，处理好经开区内部各功能组团及经开区与周边工业、生活、配套服务等各功能组团间的关系，充分利用自然地形和绿化隔离带使各功能区隔离，按报告书要求，将经开区中部南、北两侧均临近规划居住区的二类工业用地调整为一类工业用地，对现状居住工业混杂局面逐步调整，控制在规划道路两侧新建对噪声敏感的建筑物，确保功能区划明确、产业相对集中、生态环境优良，减轻功能区相互干扰影响。</w:t>
                  </w:r>
                </w:p>
              </w:tc>
              <w:tc>
                <w:tcPr>
                  <w:tcW w:w="2085"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本项目位于湖南省衡阳市衡阳县</w:t>
                  </w:r>
                  <w:r>
                    <w:rPr>
                      <w:rFonts w:hint="eastAsia" w:ascii="Times New Roman" w:hAnsi="Times New Roman" w:eastAsia="宋体" w:cs="Times New Roman"/>
                      <w:color w:val="000000"/>
                      <w:sz w:val="21"/>
                      <w:szCs w:val="21"/>
                      <w:u w:val="wave"/>
                      <w:lang w:eastAsia="zh-CN"/>
                    </w:rPr>
                    <w:t>阳古社区湖南衡利丰陶瓷有限公司</w:t>
                  </w:r>
                  <w:r>
                    <w:rPr>
                      <w:rFonts w:hint="default" w:ascii="Times New Roman" w:hAnsi="Times New Roman" w:eastAsia="宋体" w:cs="Times New Roman"/>
                      <w:color w:val="000000"/>
                      <w:sz w:val="21"/>
                      <w:szCs w:val="21"/>
                      <w:u w:val="wave"/>
                    </w:rPr>
                    <w:t>内，项目用地属于工业用地，严格按照功能区划进行有序开发建设确保功能区划明确、产业相对集中、生态环境优良，减轻功能区相互干扰影响。</w:t>
                  </w:r>
                </w:p>
              </w:tc>
              <w:tc>
                <w:tcPr>
                  <w:tcW w:w="590"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80"/>
                    <w:keepNext w:val="0"/>
                    <w:keepLines w:val="0"/>
                    <w:pageBreakBefore w:val="0"/>
                    <w:widowControl w:val="0"/>
                    <w:kinsoku/>
                    <w:wordWrap/>
                    <w:overflowPunct/>
                    <w:topLinePunct w:val="0"/>
                    <w:autoSpaceDE/>
                    <w:autoSpaceDN/>
                    <w:bidi w:val="0"/>
                    <w:adjustRightInd/>
                    <w:snapToGrid/>
                    <w:spacing w:before="95" w:beforeLines="30" w:after="95" w:afterLines="30"/>
                    <w:ind w:firstLine="420" w:firstLineChars="200"/>
                    <w:jc w:val="both"/>
                    <w:textAlignment w:val="auto"/>
                    <w:rPr>
                      <w:rFonts w:hint="default" w:ascii="Times New Roman" w:hAnsi="Times New Roman" w:eastAsia="宋体" w:cs="Times New Roman"/>
                      <w:color w:val="000000"/>
                      <w:sz w:val="21"/>
                      <w:szCs w:val="21"/>
                      <w:u w:val="wave"/>
                    </w:rPr>
                  </w:pPr>
                  <w:r>
                    <w:rPr>
                      <w:color w:val="auto"/>
                      <w:sz w:val="21"/>
                      <w:szCs w:val="21"/>
                      <w:u w:val="wave"/>
                    </w:rPr>
                    <w:t>严格执行经开区入园企业准入制度，入园项目选址必须符和经开区总体发展规划、用地规划、环保规划及主导产业定位要求，不得引进国家明令淘汰和禁止发展的能耗物耗高、环境污染严重、不符合产业政策的建设项目，禁止气型污染严重企业、涉重金属企业入驻，严格控制三类工业。管委会和地方环保行政主管部门必须按照报告书提出的经开区准入限制行业类型一览表做好项目的招商把关，在入园项目前期和建设期，必须严格执行建设项目环境影响评</w:t>
                  </w:r>
                  <w:r>
                    <w:rPr>
                      <w:rFonts w:hint="eastAsia"/>
                      <w:color w:val="auto"/>
                      <w:sz w:val="21"/>
                      <w:szCs w:val="21"/>
                      <w:u w:val="wave"/>
                    </w:rPr>
                    <w:t>价和“</w:t>
                  </w:r>
                  <w:r>
                    <w:rPr>
                      <w:rStyle w:val="81"/>
                      <w:rFonts w:hint="default" w:ascii="Times New Roman" w:hAnsi="Times New Roman" w:cs="Times New Roman"/>
                      <w:color w:val="auto"/>
                      <w:sz w:val="21"/>
                      <w:szCs w:val="21"/>
                      <w:u w:val="wave"/>
                    </w:rPr>
                    <w:t>三同时”管理制度，推行清洁生产工艺，确保排污浓度、总量满足达标排放和总量控制要求；加强对规划区内企业的环境监管，完善企业环保手续、确保污防设施正常运营、达标排放，总体满足产业定位和地方环保管理要求。</w:t>
                  </w:r>
                </w:p>
              </w:tc>
              <w:tc>
                <w:tcPr>
                  <w:tcW w:w="2085"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本项目属于“C4210金属废料和碎屑加工处理”、不属于经开区准入限制行业类型一览表中的限制行业，不属于国家明令淘汰和禁止发展的能耗物耗高、环境污染严重企业，不属于耗水量大、水型污染严重企业</w:t>
                  </w:r>
                  <w:r>
                    <w:rPr>
                      <w:rFonts w:hint="eastAsia" w:ascii="Times New Roman" w:hAnsi="Times New Roman" w:eastAsia="宋体" w:cs="Times New Roman"/>
                      <w:color w:val="000000"/>
                      <w:sz w:val="21"/>
                      <w:szCs w:val="21"/>
                      <w:u w:val="wave"/>
                      <w:lang w:eastAsia="zh-CN"/>
                    </w:rPr>
                    <w:t>。</w:t>
                  </w:r>
                  <w:r>
                    <w:rPr>
                      <w:rFonts w:hint="default" w:ascii="Times New Roman" w:hAnsi="Times New Roman" w:eastAsia="宋体" w:cs="Times New Roman"/>
                      <w:color w:val="000000"/>
                      <w:sz w:val="21"/>
                      <w:szCs w:val="21"/>
                      <w:u w:val="wave"/>
                    </w:rPr>
                    <w:t>在按本报告提出的污染防治措施后能确保各类污染物达标排放。</w:t>
                  </w:r>
                </w:p>
              </w:tc>
              <w:tc>
                <w:tcPr>
                  <w:tcW w:w="590" w:type="dxa"/>
                  <w:tcBorders>
                    <w:tl2br w:val="nil"/>
                    <w:tr2bl w:val="nil"/>
                  </w:tcBorders>
                  <w:noWrap w:val="0"/>
                  <w:vAlign w:val="center"/>
                </w:tcPr>
                <w:p>
                  <w:pPr>
                    <w:widowControl w:val="0"/>
                    <w:kinsoku/>
                    <w:autoSpaceDE/>
                    <w:autoSpaceDN/>
                    <w:adjustRightInd/>
                    <w:snapToGrid/>
                    <w:spacing w:line="240" w:lineRule="atLeast"/>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80"/>
                    <w:keepNext w:val="0"/>
                    <w:keepLines w:val="0"/>
                    <w:pageBreakBefore w:val="0"/>
                    <w:widowControl w:val="0"/>
                    <w:kinsoku/>
                    <w:wordWrap/>
                    <w:overflowPunct/>
                    <w:topLinePunct w:val="0"/>
                    <w:autoSpaceDE/>
                    <w:autoSpaceDN/>
                    <w:bidi w:val="0"/>
                    <w:adjustRightInd/>
                    <w:snapToGrid/>
                    <w:spacing w:before="95" w:beforeLines="30" w:after="95" w:afterLines="30"/>
                    <w:ind w:firstLine="420" w:firstLineChars="200"/>
                    <w:jc w:val="both"/>
                    <w:textAlignment w:val="auto"/>
                    <w:rPr>
                      <w:rFonts w:hint="default" w:ascii="Times New Roman" w:hAnsi="Times New Roman" w:eastAsia="宋体" w:cs="Times New Roman"/>
                      <w:color w:val="auto"/>
                      <w:sz w:val="21"/>
                      <w:szCs w:val="21"/>
                      <w:u w:val="wave"/>
                    </w:rPr>
                  </w:pPr>
                  <w:r>
                    <w:rPr>
                      <w:rFonts w:ascii="Times New Roman" w:hAnsi="Times New Roman" w:eastAsia="宋体" w:cs="Times New Roman"/>
                      <w:color w:val="auto"/>
                      <w:sz w:val="21"/>
                      <w:szCs w:val="21"/>
                      <w:u w:val="wave"/>
                    </w:rPr>
                    <w:t>落实经开区水污染控制措施。经开区排水实施雨污分流，近期排水经收集后排入衡阳县县城污水处理厂深度处理，远期经开区自建污水处理厂，其选址、规模、处理工艺等另行环评论证，污水处理厂尾水排放执行《城镇污水处理厂污染物排放标准》</w:t>
                  </w:r>
                  <w:r>
                    <w:rPr>
                      <w:rFonts w:hint="eastAsia" w:ascii="Times New Roman" w:hAnsi="Times New Roman" w:eastAsia="宋体" w:cs="Times New Roman"/>
                      <w:color w:val="auto"/>
                      <w:sz w:val="21"/>
                      <w:szCs w:val="21"/>
                      <w:u w:val="wave"/>
                      <w:lang w:eastAsia="zh-CN"/>
                    </w:rPr>
                    <w:t>（</w:t>
                  </w:r>
                  <w:r>
                    <w:rPr>
                      <w:rFonts w:ascii="Times New Roman" w:hAnsi="Times New Roman" w:eastAsia="宋体" w:cs="Times New Roman"/>
                      <w:color w:val="auto"/>
                      <w:sz w:val="21"/>
                      <w:szCs w:val="21"/>
                      <w:u w:val="wave"/>
                    </w:rPr>
                    <w:t>GB18918-2002</w:t>
                  </w:r>
                  <w:r>
                    <w:rPr>
                      <w:rFonts w:hint="eastAsia" w:ascii="Times New Roman" w:hAnsi="Times New Roman" w:eastAsia="宋体" w:cs="Times New Roman"/>
                      <w:color w:val="auto"/>
                      <w:sz w:val="21"/>
                      <w:szCs w:val="21"/>
                      <w:u w:val="wave"/>
                      <w:lang w:eastAsia="zh-CN"/>
                    </w:rPr>
                    <w:t>）</w:t>
                  </w:r>
                  <w:r>
                    <w:rPr>
                      <w:rFonts w:hint="default" w:ascii="Times New Roman" w:hAnsi="Times New Roman" w:eastAsia="宋体" w:cs="Times New Roman"/>
                      <w:color w:val="auto"/>
                      <w:sz w:val="21"/>
                      <w:szCs w:val="21"/>
                      <w:u w:val="wave"/>
                    </w:rPr>
                    <w:t>中的一级</w:t>
                  </w:r>
                  <w:r>
                    <w:rPr>
                      <w:rFonts w:ascii="Times New Roman" w:hAnsi="Times New Roman" w:eastAsia="宋体" w:cs="Times New Roman"/>
                      <w:color w:val="auto"/>
                      <w:sz w:val="21"/>
                      <w:szCs w:val="21"/>
                      <w:u w:val="wave"/>
                    </w:rPr>
                    <w:t>B</w:t>
                  </w:r>
                  <w:r>
                    <w:rPr>
                      <w:rFonts w:hint="default" w:ascii="Times New Roman" w:hAnsi="Times New Roman" w:eastAsia="宋体" w:cs="Times New Roman"/>
                      <w:color w:val="auto"/>
                      <w:sz w:val="21"/>
                      <w:szCs w:val="21"/>
                      <w:u w:val="wave"/>
                    </w:rPr>
                    <w:t>标准，经专管排入蒸水。加快实施衡阳县县城污水处理厂扩建、园区污水处理厂建设、配套排水管网建设等基础设施建设，截污、排污管网必须与道路建设、区域开发、项目引进同步进行，保障经开区废水实现集中深度处理。在经开区与集中污水处理厂接管运营完成前，应限制引进水型污染企业，已建成企业废水应经自行处理满足《污水综合排放标准》</w:t>
                  </w:r>
                  <w:r>
                    <w:rPr>
                      <w:rFonts w:hint="eastAsia" w:ascii="Times New Roman" w:hAnsi="Times New Roman" w:eastAsia="宋体" w:cs="Times New Roman"/>
                      <w:color w:val="auto"/>
                      <w:sz w:val="21"/>
                      <w:szCs w:val="21"/>
                      <w:u w:val="wave"/>
                      <w:lang w:eastAsia="zh-CN"/>
                    </w:rPr>
                    <w:t>（</w:t>
                  </w:r>
                  <w:r>
                    <w:rPr>
                      <w:rFonts w:ascii="Times New Roman" w:hAnsi="Times New Roman" w:eastAsia="宋体" w:cs="Times New Roman"/>
                      <w:color w:val="auto"/>
                      <w:sz w:val="21"/>
                      <w:szCs w:val="21"/>
                      <w:u w:val="wave"/>
                    </w:rPr>
                    <w:t>GB8978-1996</w:t>
                  </w:r>
                  <w:r>
                    <w:rPr>
                      <w:rFonts w:hint="eastAsia" w:ascii="Times New Roman" w:hAnsi="Times New Roman" w:eastAsia="宋体" w:cs="Times New Roman"/>
                      <w:color w:val="auto"/>
                      <w:sz w:val="21"/>
                      <w:szCs w:val="21"/>
                      <w:u w:val="wave"/>
                      <w:lang w:eastAsia="zh-CN"/>
                    </w:rPr>
                    <w:t>）</w:t>
                  </w:r>
                  <w:r>
                    <w:rPr>
                      <w:rFonts w:hint="default" w:ascii="Times New Roman" w:hAnsi="Times New Roman" w:eastAsia="宋体" w:cs="Times New Roman"/>
                      <w:color w:val="auto"/>
                      <w:sz w:val="21"/>
                      <w:szCs w:val="21"/>
                      <w:u w:val="wave"/>
                    </w:rPr>
                    <w:t>一级标准后方可外排。</w:t>
                  </w:r>
                </w:p>
              </w:tc>
              <w:tc>
                <w:tcPr>
                  <w:tcW w:w="2085" w:type="dxa"/>
                  <w:tcBorders>
                    <w:tl2br w:val="nil"/>
                    <w:tr2bl w:val="nil"/>
                  </w:tcBorders>
                  <w:noWrap w:val="0"/>
                  <w:vAlign w:val="center"/>
                </w:tcPr>
                <w:p>
                  <w:pPr>
                    <w:pStyle w:val="80"/>
                    <w:keepNext w:val="0"/>
                    <w:keepLines w:val="0"/>
                    <w:pageBreakBefore w:val="0"/>
                    <w:widowControl w:val="0"/>
                    <w:kinsoku/>
                    <w:wordWrap/>
                    <w:overflowPunct/>
                    <w:topLinePunct w:val="0"/>
                    <w:autoSpaceDE/>
                    <w:autoSpaceDN/>
                    <w:bidi w:val="0"/>
                    <w:adjustRightInd/>
                    <w:snapToGrid/>
                    <w:spacing w:before="95" w:beforeLines="30" w:after="95" w:afterLines="30"/>
                    <w:ind w:firstLine="420" w:firstLineChars="200"/>
                    <w:jc w:val="both"/>
                    <w:textAlignment w:val="auto"/>
                    <w:rPr>
                      <w:rFonts w:hint="default" w:ascii="Times New Roman" w:hAnsi="Times New Roman" w:eastAsia="宋体" w:cs="Times New Roman"/>
                      <w:color w:val="auto"/>
                      <w:sz w:val="21"/>
                      <w:szCs w:val="21"/>
                      <w:u w:val="wave"/>
                    </w:rPr>
                  </w:pPr>
                  <w:r>
                    <w:rPr>
                      <w:rFonts w:hint="default" w:ascii="Times New Roman" w:hAnsi="Times New Roman" w:eastAsia="宋体" w:cs="Times New Roman"/>
                      <w:color w:val="auto"/>
                      <w:sz w:val="21"/>
                      <w:szCs w:val="21"/>
                      <w:u w:val="wave"/>
                    </w:rPr>
                    <w:t>本项目按</w:t>
                  </w:r>
                  <w:r>
                    <w:rPr>
                      <w:rFonts w:hint="eastAsia" w:ascii="Times New Roman" w:hAnsi="Times New Roman" w:eastAsia="宋体" w:cs="Times New Roman"/>
                      <w:color w:val="auto"/>
                      <w:sz w:val="21"/>
                      <w:szCs w:val="21"/>
                      <w:u w:val="wave"/>
                      <w:lang w:eastAsia="zh-CN"/>
                    </w:rPr>
                    <w:t>园区</w:t>
                  </w:r>
                  <w:r>
                    <w:rPr>
                      <w:rFonts w:hint="default" w:ascii="Times New Roman" w:hAnsi="Times New Roman" w:eastAsia="宋体" w:cs="Times New Roman"/>
                      <w:color w:val="auto"/>
                      <w:sz w:val="21"/>
                      <w:szCs w:val="21"/>
                      <w:u w:val="wave"/>
                    </w:rPr>
                    <w:t>政策要求落实水污染防治措施，排水实施雨污分流，</w:t>
                  </w:r>
                  <w:bookmarkStart w:id="4" w:name="OLE_LINK15"/>
                  <w:r>
                    <w:rPr>
                      <w:rFonts w:hint="eastAsia" w:ascii="Times New Roman" w:hAnsi="Times New Roman" w:eastAsia="宋体" w:cs="Times New Roman"/>
                      <w:color w:val="auto"/>
                      <w:sz w:val="21"/>
                      <w:szCs w:val="21"/>
                      <w:u w:val="wave"/>
                      <w:lang w:eastAsia="zh-CN"/>
                    </w:rPr>
                    <w:t>初期雨水经初期雨水收集池收集后，与</w:t>
                  </w:r>
                  <w:r>
                    <w:rPr>
                      <w:rFonts w:hint="default" w:ascii="Times New Roman" w:hAnsi="Times New Roman" w:eastAsia="宋体" w:cs="Times New Roman"/>
                      <w:color w:val="auto"/>
                      <w:sz w:val="21"/>
                      <w:szCs w:val="21"/>
                      <w:u w:val="wave"/>
                    </w:rPr>
                    <w:t>项目</w:t>
                  </w:r>
                  <w:r>
                    <w:rPr>
                      <w:rFonts w:hint="eastAsia" w:ascii="Times New Roman" w:hAnsi="Times New Roman" w:eastAsia="宋体" w:cs="Times New Roman"/>
                      <w:color w:val="auto"/>
                      <w:sz w:val="21"/>
                      <w:szCs w:val="21"/>
                      <w:u w:val="wave"/>
                      <w:lang w:eastAsia="zh-CN"/>
                    </w:rPr>
                    <w:t>车间地面拖洗废水一并</w:t>
                  </w:r>
                  <w:r>
                    <w:rPr>
                      <w:rFonts w:hint="default" w:ascii="Times New Roman" w:hAnsi="Times New Roman" w:eastAsia="宋体" w:cs="Times New Roman"/>
                      <w:color w:val="auto"/>
                      <w:sz w:val="21"/>
                      <w:szCs w:val="21"/>
                      <w:u w:val="wave"/>
                    </w:rPr>
                    <w:t>经</w:t>
                  </w:r>
                  <w:r>
                    <w:rPr>
                      <w:rFonts w:hint="eastAsia" w:ascii="Times New Roman" w:hAnsi="Times New Roman" w:eastAsia="宋体" w:cs="Times New Roman"/>
                      <w:color w:val="auto"/>
                      <w:sz w:val="21"/>
                      <w:szCs w:val="21"/>
                      <w:u w:val="wave"/>
                      <w:lang w:eastAsia="zh-CN"/>
                    </w:rPr>
                    <w:t>三级隔油</w:t>
                  </w:r>
                  <w:r>
                    <w:rPr>
                      <w:rFonts w:hint="default" w:ascii="Times New Roman" w:hAnsi="Times New Roman" w:eastAsia="宋体" w:cs="Times New Roman"/>
                      <w:color w:val="auto"/>
                      <w:sz w:val="21"/>
                      <w:szCs w:val="21"/>
                      <w:u w:val="wave"/>
                    </w:rPr>
                    <w:t>沉淀</w:t>
                  </w:r>
                  <w:r>
                    <w:rPr>
                      <w:rFonts w:hint="eastAsia" w:ascii="Times New Roman" w:hAnsi="Times New Roman" w:eastAsia="宋体" w:cs="Times New Roman"/>
                      <w:color w:val="auto"/>
                      <w:sz w:val="21"/>
                      <w:szCs w:val="21"/>
                      <w:u w:val="wave"/>
                      <w:lang w:eastAsia="zh-CN"/>
                    </w:rPr>
                    <w:t>池</w:t>
                  </w:r>
                  <w:r>
                    <w:rPr>
                      <w:rFonts w:hint="eastAsia" w:ascii="Times New Roman" w:hAnsi="Times New Roman" w:eastAsia="宋体" w:cs="Times New Roman"/>
                      <w:color w:val="auto"/>
                      <w:sz w:val="21"/>
                      <w:szCs w:val="21"/>
                      <w:u w:val="wave"/>
                      <w:lang w:val="en-US" w:eastAsia="zh-CN"/>
                    </w:rPr>
                    <w:t>+高效油水分离器处理后</w:t>
                  </w:r>
                  <w:r>
                    <w:rPr>
                      <w:rFonts w:hint="default" w:ascii="Times New Roman" w:hAnsi="Times New Roman" w:eastAsia="宋体" w:cs="Times New Roman"/>
                      <w:color w:val="auto"/>
                      <w:sz w:val="21"/>
                      <w:szCs w:val="21"/>
                      <w:u w:val="wave"/>
                    </w:rPr>
                    <w:t>排入园区污水管网最后进入衡阳西渡高新区污水处理厂深度处理；生活污水经化粪池处理后排入园区污水管网最后进入衡阳西渡高新区污水处理厂深度处理。</w:t>
                  </w:r>
                  <w:bookmarkEnd w:id="4"/>
                </w:p>
              </w:tc>
              <w:tc>
                <w:tcPr>
                  <w:tcW w:w="590" w:type="dxa"/>
                  <w:tcBorders>
                    <w:tl2br w:val="nil"/>
                    <w:tr2bl w:val="nil"/>
                  </w:tcBorders>
                  <w:noWrap w:val="0"/>
                  <w:vAlign w:val="center"/>
                </w:tcPr>
                <w:p>
                  <w:pPr>
                    <w:widowControl w:val="0"/>
                    <w:kinsoku/>
                    <w:autoSpaceDE/>
                    <w:autoSpaceDN/>
                    <w:adjustRightInd/>
                    <w:snapToGrid/>
                    <w:spacing w:line="240" w:lineRule="atLeast"/>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80"/>
                    <w:keepNext w:val="0"/>
                    <w:keepLines w:val="0"/>
                    <w:pageBreakBefore w:val="0"/>
                    <w:widowControl w:val="0"/>
                    <w:kinsoku/>
                    <w:wordWrap/>
                    <w:overflowPunct/>
                    <w:topLinePunct w:val="0"/>
                    <w:autoSpaceDE/>
                    <w:autoSpaceDN/>
                    <w:bidi w:val="0"/>
                    <w:adjustRightInd/>
                    <w:snapToGrid/>
                    <w:spacing w:before="95" w:beforeLines="30" w:after="95" w:afterLines="30"/>
                    <w:ind w:firstLine="420" w:firstLineChars="200"/>
                    <w:jc w:val="both"/>
                    <w:textAlignment w:val="auto"/>
                    <w:rPr>
                      <w:rFonts w:hint="default" w:ascii="Times New Roman" w:hAnsi="Times New Roman" w:eastAsia="宋体" w:cs="Times New Roman"/>
                      <w:color w:val="000000"/>
                      <w:sz w:val="21"/>
                      <w:szCs w:val="21"/>
                      <w:u w:val="wave"/>
                    </w:rPr>
                  </w:pPr>
                  <w:r>
                    <w:rPr>
                      <w:color w:val="auto"/>
                      <w:u w:val="wave"/>
                    </w:rPr>
                    <w:t>按报告书要求做好经开区大气污染控制措施。管委会应积极推广清洁能源，严格控制新建10t/h</w:t>
                  </w:r>
                  <w:r>
                    <w:rPr>
                      <w:rStyle w:val="81"/>
                      <w:rFonts w:hint="default" w:ascii="Times New Roman" w:hAnsi="Times New Roman" w:cs="Times New Roman"/>
                      <w:color w:val="auto"/>
                      <w:sz w:val="21"/>
                      <w:szCs w:val="24"/>
                      <w:u w:val="wave"/>
                    </w:rPr>
                    <w:t>以下燃煤锅炉，凡</w:t>
                  </w:r>
                  <w:r>
                    <w:rPr>
                      <w:color w:val="auto"/>
                      <w:u w:val="wave"/>
                    </w:rPr>
                    <w:t>10t/h</w:t>
                  </w:r>
                  <w:r>
                    <w:rPr>
                      <w:rStyle w:val="81"/>
                      <w:rFonts w:hint="default" w:ascii="Times New Roman" w:hAnsi="Times New Roman" w:cs="Times New Roman"/>
                      <w:color w:val="auto"/>
                      <w:sz w:val="21"/>
                      <w:szCs w:val="24"/>
                      <w:u w:val="wave"/>
                    </w:rPr>
                    <w:t>以下锅炉必须采用燃气等清洁燃料，园区燃煤含硫率应确保控制在</w:t>
                  </w:r>
                  <w:r>
                    <w:rPr>
                      <w:color w:val="auto"/>
                      <w:u w:val="wave"/>
                    </w:rPr>
                    <w:t>1%</w:t>
                  </w:r>
                  <w:r>
                    <w:rPr>
                      <w:rStyle w:val="81"/>
                      <w:rFonts w:hint="default" w:ascii="Times New Roman" w:hAnsi="Times New Roman" w:cs="Times New Roman"/>
                      <w:color w:val="auto"/>
                      <w:sz w:val="21"/>
                      <w:szCs w:val="24"/>
                      <w:u w:val="wave"/>
                    </w:rPr>
                    <w:t>以内。建立经开区清洁生产管理考核机制，对各企业工艺废气产出的生产节点，应配置废气收集与净化处理装置，确保达标排放；加强生产工艺研究与技术改进，采取有效措施，减少入园企业工艺废气的无组织排放；入园企业各生产装置排放的废气须经处理达到相应的行业排放标准及《大气污染物综合排放标准》中二级标准要求。合理优化工业布局，在不同性质的工业企业间设置合理的间隔距离，防止相互干扰。</w:t>
                  </w:r>
                </w:p>
              </w:tc>
              <w:tc>
                <w:tcPr>
                  <w:tcW w:w="2085"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本项目</w:t>
                  </w:r>
                  <w:r>
                    <w:rPr>
                      <w:rFonts w:hint="eastAsia" w:ascii="Times New Roman" w:hAnsi="Times New Roman" w:eastAsia="宋体" w:cs="Times New Roman"/>
                      <w:color w:val="000000"/>
                      <w:sz w:val="21"/>
                      <w:szCs w:val="21"/>
                      <w:u w:val="wave"/>
                      <w:lang w:eastAsia="zh-CN"/>
                    </w:rPr>
                    <w:t>不新建锅炉，</w:t>
                  </w:r>
                  <w:r>
                    <w:rPr>
                      <w:rFonts w:hint="default" w:ascii="Times New Roman" w:hAnsi="Times New Roman" w:eastAsia="宋体" w:cs="Times New Roman"/>
                      <w:color w:val="000000"/>
                      <w:sz w:val="21"/>
                      <w:szCs w:val="21"/>
                      <w:u w:val="wave"/>
                    </w:rPr>
                    <w:t>生活与生产全部使用电能，属于清洁能源；项目按环评要求合理设置废气收集与净化处理装置，确保废气达标排放，合理优化平面布局，防止相互干扰。</w:t>
                  </w:r>
                </w:p>
              </w:tc>
              <w:tc>
                <w:tcPr>
                  <w:tcW w:w="590" w:type="dxa"/>
                  <w:tcBorders>
                    <w:tl2br w:val="nil"/>
                    <w:tr2bl w:val="nil"/>
                  </w:tcBorders>
                  <w:noWrap w:val="0"/>
                  <w:vAlign w:val="center"/>
                </w:tcPr>
                <w:p>
                  <w:pPr>
                    <w:widowControl w:val="0"/>
                    <w:kinsoku/>
                    <w:autoSpaceDE/>
                    <w:autoSpaceDN/>
                    <w:adjustRightInd/>
                    <w:snapToGrid/>
                    <w:spacing w:line="240" w:lineRule="atLeast"/>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做好经开区工业固体废物和生活垃圾的分类收集、转运、综合利用和无害化处理，建立统一的固废收集、贮存、运输、综合利用和安全处置的运营管理体系。推行清洁生产，减少固体废物产生量；加强固体废物的资源化进程，提高综合利用率；规范固体废物处理措施，严防二次污染。</w:t>
                  </w:r>
                </w:p>
              </w:tc>
              <w:tc>
                <w:tcPr>
                  <w:tcW w:w="2085"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本项目采取工业固体废物和生活垃圾分类收集、转运、综合利用和安全处置；规范固体废物处理措施，危险固废按国家有关规定综合利用或妥善处置。</w:t>
                  </w:r>
                </w:p>
              </w:tc>
              <w:tc>
                <w:tcPr>
                  <w:tcW w:w="590" w:type="dxa"/>
                  <w:tcBorders>
                    <w:tl2br w:val="nil"/>
                    <w:tr2bl w:val="nil"/>
                  </w:tcBorders>
                  <w:noWrap w:val="0"/>
                  <w:vAlign w:val="center"/>
                </w:tcPr>
                <w:p>
                  <w:pPr>
                    <w:widowControl w:val="0"/>
                    <w:kinsoku/>
                    <w:autoSpaceDE/>
                    <w:autoSpaceDN/>
                    <w:adjustRightInd/>
                    <w:snapToGrid/>
                    <w:spacing w:line="240" w:lineRule="atLeast"/>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经开区要建立专职环境监督管理机构，建立健全环境风险事故防范措施和应急预案，严防环境风险事故发生。</w:t>
                  </w:r>
                </w:p>
              </w:tc>
              <w:tc>
                <w:tcPr>
                  <w:tcW w:w="2085" w:type="dxa"/>
                  <w:tcBorders>
                    <w:tl2br w:val="nil"/>
                    <w:tr2bl w:val="nil"/>
                  </w:tcBorders>
                  <w:noWrap w:val="0"/>
                  <w:vAlign w:val="center"/>
                </w:tcPr>
                <w:p>
                  <w:pPr>
                    <w:pStyle w:val="44"/>
                    <w:widowControl w:val="0"/>
                    <w:kinsoku/>
                    <w:autoSpaceDE/>
                    <w:autoSpaceDN/>
                    <w:adjustRightInd/>
                    <w:snapToGrid/>
                    <w:spacing w:beforeLines="0" w:afterLines="0" w:line="240" w:lineRule="atLeast"/>
                    <w:ind w:firstLine="0" w:firstLineChars="0"/>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项目建成后企业应制定相应的应急措施，严防环境风险事故发生。</w:t>
                  </w:r>
                </w:p>
              </w:tc>
              <w:tc>
                <w:tcPr>
                  <w:tcW w:w="590" w:type="dxa"/>
                  <w:tcBorders>
                    <w:tl2br w:val="nil"/>
                    <w:tr2bl w:val="nil"/>
                  </w:tcBorders>
                  <w:noWrap w:val="0"/>
                  <w:vAlign w:val="center"/>
                </w:tcPr>
                <w:p>
                  <w:pPr>
                    <w:widowControl w:val="0"/>
                    <w:kinsoku/>
                    <w:autoSpaceDE/>
                    <w:autoSpaceDN/>
                    <w:adjustRightInd/>
                    <w:snapToGrid/>
                    <w:spacing w:line="240" w:lineRule="atLeast"/>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140" w:type="dxa"/>
                  <w:tcBorders>
                    <w:tl2br w:val="nil"/>
                    <w:tr2bl w:val="nil"/>
                  </w:tcBorders>
                  <w:noWrap w:val="0"/>
                  <w:vAlign w:val="center"/>
                </w:tcPr>
                <w:p>
                  <w:pPr>
                    <w:pStyle w:val="80"/>
                    <w:keepNext w:val="0"/>
                    <w:keepLines w:val="0"/>
                    <w:pageBreakBefore w:val="0"/>
                    <w:widowControl w:val="0"/>
                    <w:kinsoku/>
                    <w:wordWrap/>
                    <w:overflowPunct/>
                    <w:topLinePunct w:val="0"/>
                    <w:autoSpaceDE/>
                    <w:autoSpaceDN/>
                    <w:bidi w:val="0"/>
                    <w:adjustRightInd/>
                    <w:snapToGrid/>
                    <w:spacing w:before="95" w:beforeLines="30" w:after="95" w:afterLines="30"/>
                    <w:ind w:firstLine="420" w:firstLineChars="200"/>
                    <w:jc w:val="both"/>
                    <w:textAlignment w:val="auto"/>
                    <w:rPr>
                      <w:rFonts w:hint="default" w:ascii="Times New Roman" w:hAnsi="Times New Roman" w:eastAsia="宋体" w:cs="Times New Roman"/>
                      <w:color w:val="000000"/>
                      <w:sz w:val="21"/>
                      <w:szCs w:val="21"/>
                      <w:u w:val="wave"/>
                    </w:rPr>
                  </w:pPr>
                  <w:r>
                    <w:rPr>
                      <w:color w:val="auto"/>
                      <w:u w:val="wave"/>
                    </w:rPr>
                    <w:t>污染物总量控制：COD</w:t>
                  </w:r>
                  <w:r>
                    <w:rPr>
                      <w:rFonts w:hint="eastAsia"/>
                      <w:color w:val="auto"/>
                      <w:u w:val="wave"/>
                    </w:rPr>
                    <w:t>≤</w:t>
                  </w:r>
                  <w:r>
                    <w:rPr>
                      <w:color w:val="auto"/>
                      <w:u w:val="wave"/>
                    </w:rPr>
                    <w:t>560t/a</w:t>
                  </w:r>
                  <w:r>
                    <w:rPr>
                      <w:rStyle w:val="81"/>
                      <w:rFonts w:hint="default" w:ascii="Times New Roman" w:hAnsi="Times New Roman" w:cs="Times New Roman"/>
                      <w:color w:val="auto"/>
                      <w:sz w:val="21"/>
                      <w:szCs w:val="24"/>
                      <w:u w:val="wave"/>
                    </w:rPr>
                    <w:t>、氨氮</w:t>
                  </w:r>
                  <w:r>
                    <w:rPr>
                      <w:rFonts w:hint="eastAsia"/>
                      <w:color w:val="auto"/>
                      <w:u w:val="wave"/>
                    </w:rPr>
                    <w:t>≤</w:t>
                  </w:r>
                  <w:r>
                    <w:rPr>
                      <w:color w:val="auto"/>
                      <w:u w:val="wave"/>
                    </w:rPr>
                    <w:t>80t/a</w:t>
                  </w:r>
                  <w:r>
                    <w:rPr>
                      <w:rStyle w:val="81"/>
                      <w:rFonts w:hint="default" w:ascii="Times New Roman" w:hAnsi="Times New Roman" w:cs="Times New Roman"/>
                      <w:color w:val="auto"/>
                      <w:sz w:val="21"/>
                      <w:szCs w:val="24"/>
                      <w:u w:val="wave"/>
                    </w:rPr>
                    <w:t>、</w:t>
                  </w:r>
                  <w:r>
                    <w:rPr>
                      <w:color w:val="auto"/>
                      <w:u w:val="wave"/>
                    </w:rPr>
                    <w:t>SO</w:t>
                  </w:r>
                  <w:r>
                    <w:rPr>
                      <w:rStyle w:val="82"/>
                      <w:rFonts w:cs="Times New Roman"/>
                      <w:color w:val="auto"/>
                      <w:sz w:val="21"/>
                      <w:szCs w:val="24"/>
                      <w:u w:val="wave"/>
                      <w:vertAlign w:val="subscript"/>
                    </w:rPr>
                    <w:t>2</w:t>
                  </w:r>
                  <w:r>
                    <w:rPr>
                      <w:rFonts w:hint="eastAsia"/>
                      <w:color w:val="auto"/>
                      <w:u w:val="wave"/>
                    </w:rPr>
                    <w:t>≤</w:t>
                  </w:r>
                  <w:r>
                    <w:rPr>
                      <w:color w:val="auto"/>
                      <w:u w:val="wave"/>
                    </w:rPr>
                    <w:t>660t/a</w:t>
                  </w:r>
                  <w:r>
                    <w:rPr>
                      <w:rStyle w:val="81"/>
                      <w:rFonts w:hint="default" w:ascii="Times New Roman" w:hAnsi="Times New Roman" w:cs="Times New Roman"/>
                      <w:color w:val="auto"/>
                      <w:sz w:val="21"/>
                      <w:szCs w:val="24"/>
                      <w:u w:val="wave"/>
                    </w:rPr>
                    <w:t>、</w:t>
                  </w:r>
                  <w:r>
                    <w:rPr>
                      <w:color w:val="auto"/>
                      <w:u w:val="wave"/>
                    </w:rPr>
                    <w:t>NO</w:t>
                  </w:r>
                  <w:r>
                    <w:rPr>
                      <w:rFonts w:hint="eastAsia"/>
                      <w:color w:val="auto"/>
                      <w:u w:val="wave"/>
                      <w:vertAlign w:val="subscript"/>
                    </w:rPr>
                    <w:t>X</w:t>
                  </w:r>
                  <w:r>
                    <w:rPr>
                      <w:rFonts w:hint="eastAsia"/>
                      <w:color w:val="auto"/>
                      <w:u w:val="wave"/>
                    </w:rPr>
                    <w:t>≤</w:t>
                  </w:r>
                  <w:r>
                    <w:rPr>
                      <w:color w:val="auto"/>
                      <w:u w:val="wave"/>
                    </w:rPr>
                    <w:t>750t/a</w:t>
                  </w:r>
                  <w:r>
                    <w:rPr>
                      <w:rStyle w:val="81"/>
                      <w:rFonts w:hint="default" w:ascii="Times New Roman" w:hAnsi="Times New Roman" w:cs="Times New Roman"/>
                      <w:color w:val="auto"/>
                      <w:sz w:val="21"/>
                      <w:szCs w:val="24"/>
                      <w:u w:val="wave"/>
                    </w:rPr>
                    <w:t>，总量指标纳入当地环保部门污染物总量控制管理。</w:t>
                  </w:r>
                </w:p>
              </w:tc>
              <w:tc>
                <w:tcPr>
                  <w:tcW w:w="2085" w:type="dxa"/>
                  <w:tcBorders>
                    <w:tl2br w:val="nil"/>
                    <w:tr2bl w:val="nil"/>
                  </w:tcBorders>
                  <w:noWrap w:val="0"/>
                  <w:vAlign w:val="center"/>
                </w:tcPr>
                <w:p>
                  <w:pPr>
                    <w:pStyle w:val="9"/>
                    <w:keepNext w:val="0"/>
                    <w:keepLines w:val="0"/>
                    <w:pageBreakBefore w:val="0"/>
                    <w:widowControl/>
                    <w:kinsoku/>
                    <w:wordWrap/>
                    <w:overflowPunct w:val="0"/>
                    <w:topLinePunct/>
                    <w:autoSpaceDE w:val="0"/>
                    <w:autoSpaceDN w:val="0"/>
                    <w:bidi w:val="0"/>
                    <w:adjustRightInd w:val="0"/>
                    <w:snapToGrid w:val="0"/>
                    <w:textAlignment w:val="baseline"/>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kern w:val="2"/>
                      <w:sz w:val="21"/>
                      <w:szCs w:val="21"/>
                      <w:u w:val="wave"/>
                    </w:rPr>
                    <w:t>本项目</w:t>
                  </w:r>
                  <w:r>
                    <w:rPr>
                      <w:rFonts w:hint="default" w:ascii="Times New Roman" w:hAnsi="Times New Roman" w:eastAsia="宋体" w:cs="Times New Roman"/>
                      <w:color w:val="000000"/>
                      <w:kern w:val="2"/>
                      <w:sz w:val="21"/>
                      <w:szCs w:val="21"/>
                      <w:u w:val="wave"/>
                      <w:lang w:val="en-US" w:eastAsia="zh-CN"/>
                    </w:rPr>
                    <w:t>涉及的</w:t>
                  </w:r>
                  <w:r>
                    <w:rPr>
                      <w:rFonts w:hint="default" w:ascii="Times New Roman" w:hAnsi="Times New Roman" w:eastAsia="宋体" w:cs="Times New Roman"/>
                      <w:color w:val="000000"/>
                      <w:sz w:val="21"/>
                      <w:szCs w:val="21"/>
                      <w:u w:val="wave"/>
                    </w:rPr>
                    <w:t>总量指标纳入当地环保部门污染物总量控制管理。</w:t>
                  </w:r>
                </w:p>
              </w:tc>
              <w:tc>
                <w:tcPr>
                  <w:tcW w:w="590" w:type="dxa"/>
                  <w:tcBorders>
                    <w:tl2br w:val="nil"/>
                    <w:tr2bl w:val="nil"/>
                  </w:tcBorders>
                  <w:noWrap w:val="0"/>
                  <w:vAlign w:val="center"/>
                </w:tcPr>
                <w:p>
                  <w:pPr>
                    <w:widowControl w:val="0"/>
                    <w:kinsoku/>
                    <w:autoSpaceDE/>
                    <w:autoSpaceDN/>
                    <w:adjustRightInd/>
                    <w:snapToGrid/>
                    <w:spacing w:line="240" w:lineRule="atLeast"/>
                    <w:textAlignment w:val="auto"/>
                    <w:rPr>
                      <w:rFonts w:hint="default" w:ascii="Times New Roman" w:hAnsi="Times New Roman" w:eastAsia="宋体" w:cs="Times New Roman"/>
                      <w:color w:val="000000"/>
                      <w:sz w:val="21"/>
                      <w:szCs w:val="21"/>
                      <w:u w:val="wave"/>
                    </w:rPr>
                  </w:pPr>
                  <w:r>
                    <w:rPr>
                      <w:rFonts w:hint="default" w:ascii="Times New Roman" w:hAnsi="Times New Roman" w:eastAsia="宋体" w:cs="Times New Roman"/>
                      <w:color w:val="000000"/>
                      <w:sz w:val="21"/>
                      <w:szCs w:val="21"/>
                      <w:u w:val="wave"/>
                    </w:rPr>
                    <w:t>符合</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u w:val="wave"/>
              </w:rPr>
            </w:pPr>
            <w:r>
              <w:rPr>
                <w:rFonts w:hint="default" w:ascii="Times New Roman" w:hAnsi="Times New Roman" w:eastAsia="宋体" w:cs="Times New Roman"/>
                <w:color w:val="auto"/>
                <w:kern w:val="0"/>
                <w:sz w:val="24"/>
                <w:szCs w:val="24"/>
                <w:u w:val="wave"/>
              </w:rPr>
              <w:t>综上所述，本项目与《衡阳西渡经济开发区环境影响评价报告书》（湘环评〔2013〕285号）要求相符。</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u w:val="wave"/>
              </w:rPr>
            </w:pPr>
            <w:r>
              <w:rPr>
                <w:rFonts w:hint="default" w:ascii="Times New Roman" w:hAnsi="Times New Roman" w:eastAsia="宋体" w:cs="Times New Roman"/>
                <w:color w:val="auto"/>
                <w:kern w:val="0"/>
                <w:sz w:val="24"/>
                <w:szCs w:val="24"/>
                <w:u w:val="wave"/>
              </w:rPr>
              <w:t>项目与《湖南衡阳西渡高新技术产业园区环境影响跟踪评价》（湘环评〔2022〕85号）相符性分析如下：</w:t>
            </w:r>
          </w:p>
          <w:p>
            <w:pPr>
              <w:pStyle w:val="79"/>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表1-3   项目与“湘环评函〔2022〕85号”文相符性分析一览表</w:t>
            </w:r>
          </w:p>
          <w:tbl>
            <w:tblPr>
              <w:tblStyle w:val="26"/>
              <w:tblW w:w="49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8"/>
              <w:gridCol w:w="4072"/>
              <w:gridCol w:w="1781"/>
              <w:gridCol w:w="5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b/>
                      <w:color w:val="000000"/>
                      <w:u w:val="wave"/>
                    </w:rPr>
                  </w:pPr>
                  <w:r>
                    <w:rPr>
                      <w:rFonts w:hint="default" w:ascii="Times New Roman" w:hAnsi="Times New Roman" w:eastAsia="宋体" w:cs="Times New Roman"/>
                      <w:b/>
                      <w:color w:val="000000"/>
                      <w:u w:val="wave"/>
                    </w:rPr>
                    <w:t>序号</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b/>
                      <w:color w:val="000000"/>
                      <w:u w:val="wave"/>
                    </w:rPr>
                  </w:pPr>
                  <w:r>
                    <w:rPr>
                      <w:rFonts w:hint="default" w:ascii="Times New Roman" w:hAnsi="Times New Roman" w:eastAsia="宋体" w:cs="Times New Roman"/>
                      <w:b/>
                      <w:color w:val="000000"/>
                      <w:u w:val="wave"/>
                    </w:rPr>
                    <w:t>湘环评函〔2022〕85号</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b/>
                      <w:color w:val="000000"/>
                      <w:u w:val="wave"/>
                    </w:rPr>
                  </w:pPr>
                  <w:r>
                    <w:rPr>
                      <w:rFonts w:hint="default" w:ascii="Times New Roman" w:hAnsi="Times New Roman" w:eastAsia="宋体" w:cs="Times New Roman"/>
                      <w:b/>
                      <w:color w:val="000000"/>
                      <w:u w:val="wave"/>
                    </w:rPr>
                    <w:t>项目情况</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b/>
                      <w:color w:val="000000"/>
                      <w:u w:val="wave"/>
                    </w:rPr>
                  </w:pPr>
                  <w:r>
                    <w:rPr>
                      <w:rFonts w:hint="default" w:ascii="Times New Roman" w:hAnsi="Times New Roman" w:eastAsia="宋体" w:cs="Times New Roman"/>
                      <w:b/>
                      <w:color w:val="000000"/>
                      <w:u w:val="wave"/>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1</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按程序做好高新区规划调整。规划实施以来，高新区未</w:t>
                  </w:r>
                  <w:r>
                    <w:rPr>
                      <w:rFonts w:hint="eastAsia" w:ascii="Times New Roman" w:hAnsi="Times New Roman" w:eastAsia="宋体" w:cs="Times New Roman"/>
                      <w:color w:val="000000"/>
                      <w:u w:val="wave"/>
                      <w:lang w:eastAsia="zh-CN"/>
                    </w:rPr>
                    <w:t>严格</w:t>
                  </w:r>
                  <w:r>
                    <w:rPr>
                      <w:rFonts w:hint="default" w:ascii="Times New Roman" w:hAnsi="Times New Roman" w:eastAsia="宋体" w:cs="Times New Roman"/>
                      <w:color w:val="000000"/>
                      <w:u w:val="wave"/>
                    </w:rPr>
                    <w:t>按照规划功能分区进行布置，存在不同性质的工业企业交错布设，未进行分区管控；存在区域实际开发用地现状、产业定位与原规划及城市总体规划不符等情形；区域整体开发强度偏低高新区应结合衡阳市国土空间规划和环境可行性结论，尽快按规定程序开展规划调整工作，通过优化空间布局、用地性质调整、引导产业集中、严格控规等措施因地制宜地调整产业区功能布局和产业布局，并按规划修编相关要求完善国土、规划、环保等相关手续，做到规范、有序和可持续发展。基于高新区常年主导风向生态环境敏感点较多，周边的工业企业应强化污染防治设施的治理效果，按要求设置一定的绿化隔离带，最大程度地避免对邻近生态环境敏感区的不良环境影响。后续引进企业，应合理引导企业布局，确保各行业企业在其相应的规划产业片区内发展，严禁跨红线布局。</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本项目严格按照高新区规划调整，对污染防治设施的治理效果严格要求。</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2</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严格产业环境准入。衡阳西渡高新区后续发展与规划调整须符合高新区“三线一单”环境准入要求、长江经济带发展负面清单指南(试行)、湖南省湘江保护条例及《报告书》提出的环境准入条件和负面清单要求。应对不符合产业定位、环境准入和用地规划要求的企业，在严格确保污染物不增加的前提下予以保留。入驻企业应按照《关于加强重点行业建设项目区域削减措施监督管理的通知》等有关文件要求，依据区域环境质量改善目标，制定配套区域污染物削减方案，采取有效的污染物区域削减措施，腾出足够的环境容量。鉴于较为密集的生态环境敏感点位于高新区常年主导风向下风向，高新区必须禁止气型污染严重的企业、涉重排放企业入驻，严格控制三类工业。入驻企业应优先考虑使用清洁能源、能耗低、技术工艺先进、清洁生产和环境管理水平高污染防治技术成熟的企业，须严格执行环境保护“三同时”制度，确保外排污染物满足排污许可证管控要求。</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本项目不属于淘汰和禁止发展的能耗物耗高、环境污染严重的建设项目，符合产业政策，废气采取污染防治措施后，各类污染物可实现达标排放</w:t>
                  </w:r>
                  <w:r>
                    <w:rPr>
                      <w:rFonts w:hint="eastAsia" w:ascii="Times New Roman" w:hAnsi="Times New Roman" w:eastAsia="宋体" w:cs="Times New Roman"/>
                      <w:color w:val="000000"/>
                      <w:u w:val="wave"/>
                      <w:lang w:eastAsia="zh-CN"/>
                    </w:rPr>
                    <w:t>。本项目不属于气型污染严重的企业、涉重排放企业、三类工业。</w:t>
                  </w:r>
                  <w:r>
                    <w:rPr>
                      <w:rFonts w:hint="default" w:ascii="Times New Roman" w:hAnsi="Times New Roman" w:eastAsia="宋体" w:cs="Times New Roman"/>
                      <w:color w:val="000000"/>
                      <w:u w:val="wave"/>
                    </w:rPr>
                    <w:t>本项目符合高新区“三线一单”环境准入要求、长江经济带发展负面清单指南(试行)、湖南省湘江保护条例及《报告书》提出的环境准入条件和负面清单要求。</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3</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进一步落实高新区污染管控措施。进一步完善区域雨污分流和污污分流系统、污水收集管建设，确保高新区废水应收尽收；鉴于高新区基础设施尚不完善，区域内的污水未全部纳入污水处理厂集中深度处理，且受纳水体蒸水目前环境容量有限，污水处理厂配套接管未完成的区域，应禁止引进水型污染企业，并加快办理污水处理厂入河排污口论证手续。优化能源结构，推广清洁能源。加强高新区大气污染防治，加大对区内山泰化工、恒生制药、得阳鞋业等重点排污企业废气治理措施运行情况及废气无组织排放的监管，确保大气污染物达标排放，对治理设施不能有效运行的企业，采取停产措施。做好工业固体废物和生活垃圾的分类收集、转运、综合利用和无害化处理，建立完善的固废管理体系。对危险废物应严格按照国家有关规定综合利用或妥善处置，对危险废物产生企业和经营单位，应强化日常环境监管，高新区范围内仍有企业存在环保手续履行不到位的情形，须严格落实排污许可制度和污染物排放总量控制，重点抓好企业环保手续的完善工作。</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本项目位于湖南衡阳西渡高新技术产业开发园区</w:t>
                  </w:r>
                  <w:r>
                    <w:rPr>
                      <w:rFonts w:hint="eastAsia" w:ascii="Times New Roman" w:hAnsi="Times New Roman" w:eastAsia="宋体" w:cs="Times New Roman"/>
                      <w:color w:val="000000"/>
                      <w:u w:val="wave"/>
                      <w:lang w:eastAsia="zh-CN"/>
                    </w:rPr>
                    <w:t>内</w:t>
                  </w:r>
                  <w:r>
                    <w:rPr>
                      <w:rFonts w:hint="default" w:ascii="Times New Roman" w:hAnsi="Times New Roman" w:eastAsia="宋体" w:cs="Times New Roman"/>
                      <w:color w:val="000000"/>
                      <w:u w:val="wave"/>
                    </w:rPr>
                    <w:t>，</w:t>
                  </w:r>
                  <w:r>
                    <w:rPr>
                      <w:rFonts w:hint="eastAsia" w:ascii="Times New Roman" w:cs="Times New Roman"/>
                      <w:color w:val="auto"/>
                      <w:sz w:val="21"/>
                      <w:szCs w:val="21"/>
                      <w:u w:val="wave"/>
                      <w:lang w:eastAsia="zh-CN"/>
                    </w:rPr>
                    <w:t>初期雨水经初期雨水收集池收集后，与</w:t>
                  </w:r>
                  <w:r>
                    <w:rPr>
                      <w:rFonts w:hint="default" w:ascii="Times New Roman" w:hAnsi="Times New Roman" w:eastAsia="宋体" w:cs="Times New Roman"/>
                      <w:color w:val="auto"/>
                      <w:sz w:val="21"/>
                      <w:szCs w:val="21"/>
                      <w:u w:val="wave"/>
                    </w:rPr>
                    <w:t>项目</w:t>
                  </w:r>
                  <w:r>
                    <w:rPr>
                      <w:rFonts w:hint="eastAsia" w:ascii="Times New Roman" w:hAnsi="Times New Roman" w:eastAsia="宋体" w:cs="Times New Roman"/>
                      <w:color w:val="auto"/>
                      <w:sz w:val="21"/>
                      <w:szCs w:val="21"/>
                      <w:u w:val="wave"/>
                      <w:lang w:eastAsia="zh-CN"/>
                    </w:rPr>
                    <w:t>车间地面拖洗废水</w:t>
                  </w:r>
                  <w:r>
                    <w:rPr>
                      <w:rFonts w:hint="eastAsia" w:ascii="Times New Roman" w:cs="Times New Roman"/>
                      <w:color w:val="auto"/>
                      <w:sz w:val="21"/>
                      <w:szCs w:val="21"/>
                      <w:u w:val="wave"/>
                      <w:lang w:eastAsia="zh-CN"/>
                    </w:rPr>
                    <w:t>一并</w:t>
                  </w:r>
                  <w:r>
                    <w:rPr>
                      <w:rFonts w:hint="default" w:ascii="Times New Roman" w:hAnsi="Times New Roman" w:eastAsia="宋体" w:cs="Times New Roman"/>
                      <w:color w:val="auto"/>
                      <w:sz w:val="21"/>
                      <w:szCs w:val="21"/>
                      <w:u w:val="wave"/>
                    </w:rPr>
                    <w:t>经</w:t>
                  </w:r>
                  <w:r>
                    <w:rPr>
                      <w:rFonts w:hint="eastAsia" w:ascii="Times New Roman" w:cs="Times New Roman"/>
                      <w:color w:val="auto"/>
                      <w:sz w:val="21"/>
                      <w:szCs w:val="21"/>
                      <w:u w:val="wave"/>
                      <w:lang w:eastAsia="zh-CN"/>
                    </w:rPr>
                    <w:t>三级</w:t>
                  </w:r>
                  <w:r>
                    <w:rPr>
                      <w:rFonts w:hint="eastAsia" w:ascii="Times New Roman" w:hAnsi="Times New Roman" w:eastAsia="宋体" w:cs="Times New Roman"/>
                      <w:color w:val="auto"/>
                      <w:sz w:val="21"/>
                      <w:szCs w:val="21"/>
                      <w:u w:val="wave"/>
                      <w:lang w:eastAsia="zh-CN"/>
                    </w:rPr>
                    <w:t>隔油</w:t>
                  </w:r>
                  <w:r>
                    <w:rPr>
                      <w:rFonts w:hint="default" w:ascii="Times New Roman" w:hAnsi="Times New Roman" w:eastAsia="宋体" w:cs="Times New Roman"/>
                      <w:color w:val="auto"/>
                      <w:sz w:val="21"/>
                      <w:szCs w:val="21"/>
                      <w:u w:val="wave"/>
                    </w:rPr>
                    <w:t>沉淀</w:t>
                  </w:r>
                  <w:r>
                    <w:rPr>
                      <w:rFonts w:hint="eastAsia" w:ascii="Times New Roman" w:cs="Times New Roman"/>
                      <w:color w:val="auto"/>
                      <w:sz w:val="21"/>
                      <w:szCs w:val="21"/>
                      <w:u w:val="wave"/>
                      <w:lang w:eastAsia="zh-CN"/>
                    </w:rPr>
                    <w:t>池</w:t>
                  </w:r>
                  <w:r>
                    <w:rPr>
                      <w:rFonts w:hint="eastAsia" w:ascii="Times New Roman" w:cs="Times New Roman"/>
                      <w:color w:val="auto"/>
                      <w:sz w:val="21"/>
                      <w:szCs w:val="21"/>
                      <w:u w:val="wave"/>
                      <w:lang w:val="en-US" w:eastAsia="zh-CN"/>
                    </w:rPr>
                    <w:t>+高效油水分离器处理后</w:t>
                  </w:r>
                  <w:r>
                    <w:rPr>
                      <w:rFonts w:hint="default" w:ascii="Times New Roman" w:hAnsi="Times New Roman" w:eastAsia="宋体" w:cs="Times New Roman"/>
                      <w:color w:val="auto"/>
                      <w:sz w:val="21"/>
                      <w:szCs w:val="21"/>
                      <w:u w:val="wave"/>
                    </w:rPr>
                    <w:t>排入园区污水管网最后进入衡阳西渡高新区污水处理厂深度处理；生活污水经化粪池处理后排入园区污水管网最后进入衡阳西渡高新区污水处理厂深度处理。</w:t>
                  </w:r>
                  <w:r>
                    <w:rPr>
                      <w:rFonts w:hint="default" w:ascii="Times New Roman" w:hAnsi="Times New Roman" w:eastAsia="宋体" w:cs="Times New Roman"/>
                      <w:color w:val="000000"/>
                      <w:u w:val="wave"/>
                    </w:rPr>
                    <w:t>本项目采取工业固体废物和生活垃圾分类收集、转运、综合利用和安全处置；规范固体废物处理措施，危险固废按国家有关规定综合利用或妥善处置。</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4</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完善高新区环境监测体系。严格落实跟踪评价提出的监测方案，应结合高新区规划的功能分区、产业布局、重点企业分布、特征污染物的排放种类和状况、环境敏感目标分布等,建立健全环境空气、地表水地下水、土壤等环境要素的监控体系，并按《报告书》提出的要求，对相应点位（断面）开展跟踪监测加强对高新区重点排放单位、环保投诉较多企业的监督性监测。</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本</w:t>
                  </w:r>
                  <w:r>
                    <w:rPr>
                      <w:rFonts w:hint="default" w:ascii="Times New Roman" w:hAnsi="Times New Roman" w:eastAsia="宋体" w:cs="Times New Roman"/>
                      <w:color w:val="000000"/>
                      <w:u w:val="wave"/>
                      <w:lang w:eastAsia="zh-CN"/>
                    </w:rPr>
                    <w:t>次环评要求建设单位运营期落实排污许可自行监测要求</w:t>
                  </w:r>
                  <w:r>
                    <w:rPr>
                      <w:rFonts w:hint="default" w:ascii="Times New Roman" w:hAnsi="Times New Roman" w:eastAsia="宋体" w:cs="Times New Roman"/>
                      <w:color w:val="000000"/>
                      <w:u w:val="wave"/>
                    </w:rPr>
                    <w:t>。</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5</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健全高新区环境风险防控体系。加强高新区重要环境风险源管控，加强高新区危险化学品储运的环境风险管理，严格落实应急响应联动机制，确保区域环境安全。</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项目建成后企业承诺按要求制定相应的应急措施，严防环境风险事故发生，确保区域环境安全。</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6</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加强对环境敏感点的保护。严格做好控规，杜绝在规划的工业用地上新增环境敏感目标、建设居民区。做好商业用地居住用地周边的规划控制,在下-轮规划调整中应从提升指导性、可操作性的角度出发推动产业集中布局、降低环境影响，强化产城融合度较高区域产业准入，严格控制气型污染企业入驻，加强对现有企业的污染防治措施。按要求做好功能区及具体项目用地周边规划控制，衡阳西渡高新区应根据开发规划统筹制定拆迁安置方案，落实移民生产生活安置措施，防治移民再次安置和次生环境问题。</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本项目位于</w:t>
                  </w:r>
                  <w:r>
                    <w:rPr>
                      <w:rFonts w:hint="eastAsia"/>
                      <w:color w:val="auto"/>
                      <w:u w:val="wave"/>
                    </w:rPr>
                    <w:t>湖南衡阳西渡高新技术产业开发园区</w:t>
                  </w:r>
                  <w:r>
                    <w:rPr>
                      <w:rFonts w:hint="default" w:ascii="Times New Roman" w:hAnsi="Times New Roman" w:eastAsia="宋体" w:cs="Times New Roman"/>
                      <w:color w:val="000000"/>
                      <w:u w:val="wave"/>
                    </w:rPr>
                    <w:t>内，用地为工业用地，不涉及移民再次安置和次生环境问题。</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7</w:t>
                  </w:r>
                </w:p>
              </w:tc>
              <w:tc>
                <w:tcPr>
                  <w:tcW w:w="2987"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做好高新区后续开发过程中生态环境保护和水土保持。尽可能保留自然水体，施工期对土石方开挖、堆存及回填要实施围挡、护坡等措施，裸露地及时恢复植被，防止后续开发建设中的扬尘污染和水土流失。</w:t>
                  </w:r>
                </w:p>
              </w:tc>
              <w:tc>
                <w:tcPr>
                  <w:tcW w:w="1306"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本项目施工期均按要求落实。</w:t>
                  </w:r>
                </w:p>
              </w:tc>
              <w:tc>
                <w:tcPr>
                  <w:tcW w:w="399" w:type="pct"/>
                  <w:tcBorders>
                    <w:tl2br w:val="nil"/>
                    <w:tr2bl w:val="nil"/>
                  </w:tcBorders>
                  <w:noWrap w:val="0"/>
                  <w:vAlign w:val="center"/>
                </w:tcPr>
                <w:p>
                  <w:pPr>
                    <w:widowControl/>
                    <w:kinsoku/>
                    <w:overflowPunct w:val="0"/>
                    <w:topLinePunct/>
                    <w:jc w:val="center"/>
                    <w:rPr>
                      <w:rFonts w:hint="default" w:ascii="Times New Roman" w:hAnsi="Times New Roman" w:eastAsia="宋体" w:cs="Times New Roman"/>
                      <w:color w:val="000000"/>
                      <w:u w:val="wave"/>
                    </w:rPr>
                  </w:pPr>
                  <w:r>
                    <w:rPr>
                      <w:rFonts w:hint="default" w:ascii="Times New Roman" w:hAnsi="Times New Roman" w:eastAsia="宋体" w:cs="Times New Roman"/>
                      <w:color w:val="000000"/>
                      <w:u w:val="wave"/>
                    </w:rPr>
                    <w:t>符合</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Cs w:val="21"/>
                <w:u w:val="none"/>
                <w:lang w:val="en-US" w:eastAsia="zh-CN"/>
              </w:rPr>
            </w:pPr>
            <w:r>
              <w:rPr>
                <w:rFonts w:hint="default" w:ascii="Times New Roman" w:hAnsi="Times New Roman" w:eastAsia="宋体" w:cs="Times New Roman"/>
                <w:color w:val="auto"/>
                <w:kern w:val="0"/>
                <w:sz w:val="24"/>
                <w:szCs w:val="24"/>
                <w:u w:val="wave"/>
              </w:rPr>
              <w:t>综上分析，本项目与《湖南衡阳西渡高新技术产业园区环境影响跟踪评价》（湘环评〔2022〕85号）审查意见相符。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16" w:type="dxa"/>
            <w:noWrap w:val="0"/>
            <w:vAlign w:val="center"/>
          </w:tcPr>
          <w:p>
            <w:pPr>
              <w:keepNext w:val="0"/>
              <w:keepLines w:val="0"/>
              <w:pageBreakBefore w:val="0"/>
              <w:kinsoku/>
              <w:wordWrap/>
              <w:overflowPunct/>
              <w:topLinePunct w:val="0"/>
              <w:autoSpaceDE w:val="0"/>
              <w:autoSpaceDN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其他符合性分析</w:t>
            </w:r>
          </w:p>
        </w:tc>
        <w:tc>
          <w:tcPr>
            <w:tcW w:w="7853" w:type="dxa"/>
            <w:gridSpan w:val="4"/>
            <w:noWrap w:val="0"/>
            <w:vAlign w:val="center"/>
          </w:tcPr>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jc w:val="both"/>
              <w:textAlignment w:val="auto"/>
              <w:rPr>
                <w:rFonts w:hint="default" w:ascii="Times New Roman" w:hAnsi="Times New Roman" w:eastAsia="宋体" w:cs="Times New Roman"/>
                <w:b/>
                <w:bCs/>
                <w:color w:val="auto"/>
                <w:kern w:val="0"/>
                <w:sz w:val="24"/>
                <w:szCs w:val="24"/>
                <w:u w:val="wave"/>
                <w:lang w:val="en-US" w:eastAsia="zh-CN"/>
              </w:rPr>
            </w:pPr>
            <w:r>
              <w:rPr>
                <w:rFonts w:hint="default" w:ascii="Times New Roman" w:hAnsi="Times New Roman" w:eastAsia="宋体" w:cs="Times New Roman"/>
                <w:b/>
                <w:bCs/>
                <w:color w:val="auto"/>
                <w:kern w:val="0"/>
                <w:sz w:val="24"/>
                <w:szCs w:val="24"/>
                <w:u w:val="wave"/>
                <w:lang w:val="en-US" w:eastAsia="zh-CN"/>
              </w:rPr>
              <w:t>分区管控总体管控要求符合性分析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u w:val="wave"/>
              </w:rPr>
            </w:pPr>
            <w:r>
              <w:rPr>
                <w:rStyle w:val="84"/>
                <w:rFonts w:eastAsia="宋体"/>
                <w:color w:val="auto"/>
                <w:u w:val="wave"/>
              </w:rPr>
              <w:t>本项目具体涉及行政区域为</w:t>
            </w:r>
            <w:r>
              <w:rPr>
                <w:rStyle w:val="84"/>
                <w:rFonts w:hint="eastAsia" w:eastAsia="宋体"/>
                <w:color w:val="auto"/>
                <w:u w:val="wave"/>
              </w:rPr>
              <w:t>衡阳市衡阳县</w:t>
            </w:r>
            <w:r>
              <w:rPr>
                <w:rStyle w:val="84"/>
                <w:rFonts w:hint="eastAsia" w:eastAsia="宋体"/>
                <w:color w:val="auto"/>
                <w:u w:val="wave"/>
                <w:lang w:eastAsia="zh-CN"/>
              </w:rPr>
              <w:t>阳古社区湖南衡利丰陶瓷有限公司</w:t>
            </w:r>
            <w:r>
              <w:rPr>
                <w:rStyle w:val="84"/>
                <w:rFonts w:hint="eastAsia" w:eastAsia="宋体"/>
                <w:color w:val="auto"/>
                <w:u w:val="wave"/>
              </w:rPr>
              <w:t>内</w:t>
            </w:r>
            <w:r>
              <w:rPr>
                <w:rStyle w:val="84"/>
                <w:rFonts w:hint="eastAsia" w:eastAsia="宋体"/>
                <w:color w:val="auto"/>
                <w:u w:val="wave"/>
                <w:lang w:eastAsia="zh-CN"/>
              </w:rPr>
              <w:t>，属于湖南衡阳西渡高新技术产业开发园区范围内</w:t>
            </w:r>
            <w:r>
              <w:rPr>
                <w:rStyle w:val="84"/>
                <w:rFonts w:eastAsia="宋体"/>
                <w:color w:val="auto"/>
                <w:u w:val="wave"/>
              </w:rPr>
              <w:t>，共涉及到1个环境管控单元，为</w:t>
            </w:r>
            <w:r>
              <w:rPr>
                <w:rStyle w:val="84"/>
                <w:rFonts w:eastAsia="宋体"/>
                <w:b/>
                <w:bCs/>
                <w:color w:val="auto"/>
                <w:u w:val="wave"/>
              </w:rPr>
              <w:t>重点管控单元</w:t>
            </w:r>
            <w:r>
              <w:rPr>
                <w:rStyle w:val="84"/>
                <w:rFonts w:eastAsia="宋体"/>
                <w:color w:val="auto"/>
                <w:u w:val="wave"/>
              </w:rPr>
              <w:t>，环境管控单元编码为：ZH430</w:t>
            </w:r>
            <w:r>
              <w:rPr>
                <w:rStyle w:val="84"/>
                <w:rFonts w:hint="eastAsia" w:eastAsia="宋体"/>
                <w:color w:val="auto"/>
                <w:u w:val="wave"/>
                <w:lang w:val="en-US" w:eastAsia="zh-CN"/>
              </w:rPr>
              <w:t>42120002</w:t>
            </w:r>
            <w:r>
              <w:rPr>
                <w:rStyle w:val="84"/>
                <w:rFonts w:eastAsia="宋体"/>
                <w:color w:val="auto"/>
                <w:u w:val="wave"/>
              </w:rPr>
              <w:t>。项目与</w:t>
            </w:r>
            <w:r>
              <w:rPr>
                <w:rStyle w:val="84"/>
                <w:rFonts w:hint="eastAsia" w:eastAsia="宋体"/>
                <w:color w:val="auto"/>
                <w:u w:val="wave"/>
              </w:rPr>
              <w:t>《湖南省人民政府关于实施“三线一单”生态环境分区管控的意见》及《湖南省生态环境分区管控总体管控要求暨省级以上产业园区生态环境准入清单》（湘环函﹝2024﹞26号）</w:t>
            </w:r>
            <w:r>
              <w:rPr>
                <w:rStyle w:val="84"/>
                <w:rFonts w:eastAsia="宋体"/>
                <w:color w:val="auto"/>
                <w:u w:val="wave"/>
              </w:rPr>
              <w:t>的符合性分析见下表。</w:t>
            </w:r>
          </w:p>
          <w:p>
            <w:pPr>
              <w:pStyle w:val="59"/>
              <w:keepNext w:val="0"/>
              <w:keepLines w:val="0"/>
              <w:pageBreakBefore w:val="0"/>
              <w:widowControl/>
              <w:kinsoku/>
              <w:wordWrap/>
              <w:overflowPunct/>
              <w:topLinePunct w:val="0"/>
              <w:autoSpaceDE/>
              <w:autoSpaceDN/>
              <w:bidi w:val="0"/>
              <w:adjustRightInd/>
              <w:snapToGrid/>
              <w:spacing w:before="0" w:after="0" w:line="36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none"/>
                <w:lang w:val="en-US" w:eastAsia="zh-CN"/>
              </w:rPr>
            </w:pPr>
            <w:r>
              <w:rPr>
                <w:rFonts w:hint="default" w:ascii="Times New Roman" w:hAnsi="Times New Roman" w:eastAsia="宋体" w:cs="Times New Roman"/>
                <w:b/>
                <w:bCs w:val="0"/>
                <w:color w:val="auto"/>
                <w:sz w:val="21"/>
                <w:szCs w:val="21"/>
                <w:u w:val="none"/>
                <w:lang w:eastAsia="zh-CN"/>
              </w:rPr>
              <w:t>表</w:t>
            </w:r>
            <w:r>
              <w:rPr>
                <w:rFonts w:hint="default" w:ascii="Times New Roman" w:hAnsi="Times New Roman" w:eastAsia="宋体" w:cs="Times New Roman"/>
                <w:b/>
                <w:bCs w:val="0"/>
                <w:color w:val="auto"/>
                <w:sz w:val="21"/>
                <w:szCs w:val="21"/>
                <w:u w:val="none"/>
                <w:lang w:val="en-US" w:eastAsia="zh-CN"/>
              </w:rPr>
              <w:t>1-</w:t>
            </w:r>
            <w:r>
              <w:rPr>
                <w:rFonts w:hint="eastAsia" w:ascii="Times New Roman" w:hAnsi="Times New Roman" w:eastAsia="宋体" w:cs="Times New Roman"/>
                <w:b/>
                <w:bCs w:val="0"/>
                <w:color w:val="auto"/>
                <w:sz w:val="21"/>
                <w:szCs w:val="21"/>
                <w:u w:val="none"/>
                <w:lang w:val="en-US" w:eastAsia="zh-CN"/>
              </w:rPr>
              <w:t>4</w:t>
            </w:r>
            <w:r>
              <w:rPr>
                <w:rFonts w:hint="default" w:ascii="Times New Roman" w:hAnsi="Times New Roman" w:eastAsia="宋体" w:cs="Times New Roman"/>
                <w:b/>
                <w:bCs w:val="0"/>
                <w:color w:val="auto"/>
                <w:sz w:val="21"/>
                <w:szCs w:val="21"/>
                <w:u w:val="none"/>
                <w:lang w:val="en-US" w:eastAsia="zh-CN"/>
              </w:rPr>
              <w:t xml:space="preserve">  湖南衡阳西渡高新技术产业开发园区管控要求</w:t>
            </w:r>
          </w:p>
          <w:tbl>
            <w:tblPr>
              <w:tblStyle w:val="25"/>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818"/>
              <w:gridCol w:w="845"/>
              <w:gridCol w:w="2467"/>
              <w:gridCol w:w="1911"/>
              <w:gridCol w:w="7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eastAsia="宋体" w:cs="Times New Roman"/>
                      <w:b/>
                      <w:bCs/>
                      <w:color w:val="auto"/>
                      <w:sz w:val="18"/>
                      <w:szCs w:val="18"/>
                      <w:u w:val="none"/>
                      <w:lang w:val="en-US" w:eastAsia="zh-CN"/>
                    </w:rPr>
                  </w:pPr>
                  <w:r>
                    <w:rPr>
                      <w:rFonts w:hint="default" w:ascii="Times New Roman" w:hAnsi="Times New Roman" w:cs="Times New Roman"/>
                      <w:b/>
                      <w:bCs/>
                      <w:color w:val="auto"/>
                      <w:sz w:val="18"/>
                      <w:szCs w:val="18"/>
                      <w:u w:val="none"/>
                      <w:lang w:val="en-US" w:eastAsia="zh-CN"/>
                    </w:rPr>
                    <w:t>环境管控单元编码</w:t>
                  </w:r>
                </w:p>
              </w:tc>
              <w:tc>
                <w:tcPr>
                  <w:tcW w:w="535" w:type="pct"/>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cs="Times New Roman"/>
                      <w:b/>
                      <w:bCs/>
                      <w:color w:val="auto"/>
                      <w:sz w:val="18"/>
                      <w:szCs w:val="18"/>
                      <w:u w:val="none"/>
                      <w:lang w:val="en-US" w:eastAsia="zh-CN"/>
                    </w:rPr>
                  </w:pPr>
                  <w:r>
                    <w:rPr>
                      <w:rFonts w:hint="default" w:ascii="Times New Roman" w:hAnsi="Times New Roman" w:cs="Times New Roman"/>
                      <w:b/>
                      <w:bCs/>
                      <w:color w:val="auto"/>
                      <w:sz w:val="18"/>
                      <w:szCs w:val="18"/>
                      <w:u w:val="none"/>
                      <w:lang w:val="en-US" w:eastAsia="zh-CN"/>
                    </w:rPr>
                    <w:t>单元分类</w:t>
                  </w:r>
                </w:p>
              </w:tc>
              <w:tc>
                <w:tcPr>
                  <w:tcW w:w="553" w:type="pct"/>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eastAsia="宋体" w:cs="Times New Roman"/>
                      <w:b/>
                      <w:bCs/>
                      <w:color w:val="auto"/>
                      <w:sz w:val="18"/>
                      <w:szCs w:val="18"/>
                      <w:u w:val="none"/>
                      <w:lang w:val="en-US" w:eastAsia="zh-CN"/>
                    </w:rPr>
                  </w:pPr>
                  <w:r>
                    <w:rPr>
                      <w:rFonts w:hint="default" w:ascii="Times New Roman" w:hAnsi="Times New Roman" w:cs="Times New Roman"/>
                      <w:b/>
                      <w:bCs/>
                      <w:color w:val="auto"/>
                      <w:sz w:val="18"/>
                      <w:szCs w:val="18"/>
                      <w:u w:val="none"/>
                      <w:lang w:val="en-US" w:eastAsia="zh-CN"/>
                    </w:rPr>
                    <w:t>涉及乡道（街道）</w:t>
                  </w:r>
                </w:p>
              </w:tc>
              <w:tc>
                <w:tcPr>
                  <w:tcW w:w="3328" w:type="pct"/>
                  <w:gridSpan w:val="3"/>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snapToGrid/>
                    <w:spacing w:line="240" w:lineRule="auto"/>
                    <w:ind w:right="0"/>
                    <w:jc w:val="both"/>
                    <w:rPr>
                      <w:rFonts w:hint="default" w:ascii="Times New Roman" w:hAnsi="Times New Roman" w:cs="Times New Roman"/>
                      <w:b/>
                      <w:bCs/>
                      <w:color w:val="auto"/>
                      <w:sz w:val="18"/>
                      <w:szCs w:val="18"/>
                      <w:u w:val="none"/>
                      <w:lang w:val="en-US" w:eastAsia="zh-CN"/>
                    </w:rPr>
                  </w:pPr>
                  <w:r>
                    <w:rPr>
                      <w:rFonts w:hint="eastAsia" w:ascii="Times New Roman" w:hAnsi="Times New Roman" w:cs="Times New Roman"/>
                      <w:b/>
                      <w:bCs/>
                      <w:color w:val="auto"/>
                      <w:sz w:val="18"/>
                      <w:szCs w:val="18"/>
                      <w:u w:val="none"/>
                      <w:lang w:val="en-US" w:eastAsia="zh-CN"/>
                    </w:rPr>
                    <w:t>区域</w:t>
                  </w:r>
                  <w:r>
                    <w:rPr>
                      <w:rFonts w:hint="default" w:ascii="Times New Roman" w:hAnsi="Times New Roman" w:cs="Times New Roman"/>
                      <w:b/>
                      <w:bCs/>
                      <w:color w:val="auto"/>
                      <w:sz w:val="18"/>
                      <w:szCs w:val="18"/>
                      <w:u w:val="none"/>
                      <w:lang w:val="en-US" w:eastAsia="zh-CN"/>
                    </w:rPr>
                    <w:t>主体功能定位：</w:t>
                  </w:r>
                </w:p>
                <w:p>
                  <w:pPr>
                    <w:keepNext w:val="0"/>
                    <w:keepLines w:val="0"/>
                    <w:pageBreakBefore w:val="0"/>
                    <w:widowControl/>
                    <w:suppressLineNumbers w:val="0"/>
                    <w:kinsoku/>
                    <w:wordWrap/>
                    <w:overflowPunct/>
                    <w:topLinePunct w:val="0"/>
                    <w:bidi w:val="0"/>
                    <w:adjustRightInd/>
                    <w:snapToGrid/>
                    <w:spacing w:line="240" w:lineRule="auto"/>
                    <w:ind w:right="0"/>
                    <w:jc w:val="both"/>
                    <w:rPr>
                      <w:rFonts w:hint="default" w:ascii="Times New Roman" w:hAnsi="Times New Roman" w:eastAsia="宋体" w:cs="Times New Roman"/>
                      <w:color w:val="auto"/>
                      <w:kern w:val="0"/>
                      <w:sz w:val="18"/>
                      <w:szCs w:val="18"/>
                      <w:u w:val="none"/>
                      <w:lang w:val="en-US" w:eastAsia="zh-CN" w:bidi="ar"/>
                    </w:rPr>
                  </w:pPr>
                  <w:r>
                    <w:rPr>
                      <w:rFonts w:hint="default" w:ascii="Times New Roman" w:hAnsi="Times New Roman" w:eastAsia="宋体" w:cs="Times New Roman"/>
                      <w:color w:val="auto"/>
                      <w:kern w:val="0"/>
                      <w:sz w:val="18"/>
                      <w:szCs w:val="18"/>
                      <w:u w:val="none"/>
                      <w:lang w:val="en-US" w:eastAsia="zh-CN" w:bidi="ar"/>
                    </w:rPr>
                    <w:t>西渡镇、樟树乡、渣江镇：城市化地区；板市乡、石市镇：农产品主产区；界牌镇：重点生态功能区</w:t>
                  </w:r>
                </w:p>
                <w:p>
                  <w:pPr>
                    <w:keepNext w:val="0"/>
                    <w:keepLines w:val="0"/>
                    <w:pageBreakBefore w:val="0"/>
                    <w:widowControl/>
                    <w:suppressLineNumbers w:val="0"/>
                    <w:kinsoku/>
                    <w:wordWrap/>
                    <w:overflowPunct/>
                    <w:topLinePunct w:val="0"/>
                    <w:bidi w:val="0"/>
                    <w:adjustRightInd/>
                    <w:snapToGrid/>
                    <w:spacing w:line="240" w:lineRule="auto"/>
                    <w:ind w:right="0"/>
                    <w:jc w:val="both"/>
                    <w:rPr>
                      <w:rFonts w:hint="eastAsia" w:ascii="Times New Roman" w:hAnsi="Times New Roman" w:eastAsia="宋体" w:cs="Times New Roman"/>
                      <w:b/>
                      <w:bCs/>
                      <w:color w:val="auto"/>
                      <w:kern w:val="0"/>
                      <w:sz w:val="18"/>
                      <w:szCs w:val="18"/>
                      <w:u w:val="none"/>
                      <w:lang w:val="en-US" w:eastAsia="zh-CN" w:bidi="ar"/>
                    </w:rPr>
                  </w:pPr>
                  <w:r>
                    <w:rPr>
                      <w:rFonts w:hint="default" w:ascii="Times New Roman" w:hAnsi="Times New Roman" w:eastAsia="宋体" w:cs="Times New Roman"/>
                      <w:b/>
                      <w:bCs/>
                      <w:color w:val="auto"/>
                      <w:kern w:val="0"/>
                      <w:sz w:val="18"/>
                      <w:szCs w:val="18"/>
                      <w:u w:val="none"/>
                      <w:lang w:val="en-US" w:eastAsia="zh-CN" w:bidi="ar"/>
                    </w:rPr>
                    <w:t>主导产业</w:t>
                  </w:r>
                  <w:r>
                    <w:rPr>
                      <w:rFonts w:hint="eastAsia" w:ascii="Times New Roman" w:hAnsi="Times New Roman" w:eastAsia="宋体" w:cs="Times New Roman"/>
                      <w:b/>
                      <w:bCs/>
                      <w:color w:val="auto"/>
                      <w:kern w:val="0"/>
                      <w:sz w:val="18"/>
                      <w:szCs w:val="18"/>
                      <w:u w:val="none"/>
                      <w:lang w:val="en-US" w:eastAsia="zh-CN" w:bidi="ar"/>
                    </w:rPr>
                    <w:t>：</w:t>
                  </w:r>
                </w:p>
                <w:p>
                  <w:pPr>
                    <w:keepNext w:val="0"/>
                    <w:keepLines w:val="0"/>
                    <w:pageBreakBefore w:val="0"/>
                    <w:widowControl/>
                    <w:suppressLineNumbers w:val="0"/>
                    <w:kinsoku/>
                    <w:wordWrap/>
                    <w:overflowPunct/>
                    <w:topLinePunct w:val="0"/>
                    <w:bidi w:val="0"/>
                    <w:adjustRightInd/>
                    <w:snapToGrid/>
                    <w:spacing w:line="240" w:lineRule="auto"/>
                    <w:ind w:right="0"/>
                    <w:jc w:val="both"/>
                    <w:rPr>
                      <w:rFonts w:hint="eastAsia" w:ascii="Times New Roman" w:hAnsi="Times New Roman" w:eastAsia="宋体" w:cs="Times New Roman"/>
                      <w:b w:val="0"/>
                      <w:bCs w:val="0"/>
                      <w:color w:val="auto"/>
                      <w:kern w:val="0"/>
                      <w:sz w:val="18"/>
                      <w:szCs w:val="18"/>
                      <w:u w:val="none"/>
                      <w:lang w:val="en-US" w:eastAsia="zh-CN" w:bidi="ar"/>
                    </w:rPr>
                  </w:pPr>
                  <w:r>
                    <w:rPr>
                      <w:rFonts w:hint="eastAsia" w:ascii="Times New Roman" w:hAnsi="Times New Roman" w:eastAsia="宋体" w:cs="Times New Roman"/>
                      <w:b/>
                      <w:bCs/>
                      <w:color w:val="auto"/>
                      <w:kern w:val="0"/>
                      <w:sz w:val="18"/>
                      <w:szCs w:val="18"/>
                      <w:u w:val="none"/>
                      <w:lang w:val="en-US" w:eastAsia="zh-CN" w:bidi="ar"/>
                    </w:rPr>
                    <w:t>湘环评函〔湘环评函〔2013〕285号</w:t>
                  </w:r>
                  <w:r>
                    <w:rPr>
                      <w:rFonts w:hint="eastAsia" w:ascii="Times New Roman" w:hAnsi="Times New Roman" w:eastAsia="宋体" w:cs="Times New Roman"/>
                      <w:b w:val="0"/>
                      <w:bCs w:val="0"/>
                      <w:color w:val="auto"/>
                      <w:kern w:val="0"/>
                      <w:sz w:val="18"/>
                      <w:szCs w:val="18"/>
                      <w:u w:val="none"/>
                      <w:lang w:val="en-US" w:eastAsia="zh-CN" w:bidi="ar"/>
                    </w:rPr>
                    <w:t>：以生物医药、外贸加工（服装缝纫加工、鞋帽加工、箱包加工等为重点的来料加工型生活用品制造）和机械电子制造产业（不含电镀加工及线路板生产）为主导，辅以发展农产品加工业。</w:t>
                  </w:r>
                </w:p>
                <w:p>
                  <w:pPr>
                    <w:keepNext w:val="0"/>
                    <w:keepLines w:val="0"/>
                    <w:pageBreakBefore w:val="0"/>
                    <w:widowControl/>
                    <w:suppressLineNumbers w:val="0"/>
                    <w:kinsoku/>
                    <w:wordWrap/>
                    <w:overflowPunct/>
                    <w:topLinePunct w:val="0"/>
                    <w:bidi w:val="0"/>
                    <w:adjustRightInd/>
                    <w:snapToGrid/>
                    <w:spacing w:line="240" w:lineRule="auto"/>
                    <w:ind w:right="0"/>
                    <w:jc w:val="both"/>
                    <w:rPr>
                      <w:rFonts w:hint="eastAsia" w:ascii="Times New Roman" w:hAnsi="Times New Roman" w:eastAsia="宋体" w:cs="Times New Roman"/>
                      <w:b w:val="0"/>
                      <w:bCs w:val="0"/>
                      <w:color w:val="auto"/>
                      <w:kern w:val="0"/>
                      <w:sz w:val="18"/>
                      <w:szCs w:val="18"/>
                      <w:u w:val="none"/>
                      <w:lang w:val="en-US" w:eastAsia="zh-CN" w:bidi="ar"/>
                    </w:rPr>
                  </w:pPr>
                  <w:r>
                    <w:rPr>
                      <w:rFonts w:hint="eastAsia" w:ascii="Times New Roman" w:hAnsi="Times New Roman" w:eastAsia="宋体" w:cs="Times New Roman"/>
                      <w:b/>
                      <w:bCs/>
                      <w:color w:val="auto"/>
                      <w:kern w:val="0"/>
                      <w:sz w:val="18"/>
                      <w:szCs w:val="18"/>
                      <w:u w:val="none"/>
                      <w:lang w:val="en-US" w:eastAsia="zh-CN" w:bidi="ar"/>
                    </w:rPr>
                    <w:t>六部委公告2018年第44号：</w:t>
                  </w:r>
                  <w:r>
                    <w:rPr>
                      <w:rFonts w:hint="eastAsia" w:ascii="Times New Roman" w:hAnsi="Times New Roman" w:eastAsia="宋体" w:cs="Times New Roman"/>
                      <w:b w:val="0"/>
                      <w:bCs w:val="0"/>
                      <w:color w:val="auto"/>
                      <w:kern w:val="0"/>
                      <w:sz w:val="18"/>
                      <w:szCs w:val="18"/>
                      <w:u w:val="none"/>
                      <w:lang w:val="en-US" w:eastAsia="zh-CN" w:bidi="ar"/>
                    </w:rPr>
                    <w:t>医药、智能机器、非金属矿物制品。</w:t>
                  </w:r>
                </w:p>
                <w:p>
                  <w:pPr>
                    <w:keepNext w:val="0"/>
                    <w:keepLines w:val="0"/>
                    <w:pageBreakBefore w:val="0"/>
                    <w:widowControl/>
                    <w:suppressLineNumbers w:val="0"/>
                    <w:kinsoku/>
                    <w:wordWrap/>
                    <w:overflowPunct/>
                    <w:topLinePunct w:val="0"/>
                    <w:bidi w:val="0"/>
                    <w:adjustRightInd/>
                    <w:snapToGrid/>
                    <w:spacing w:line="240" w:lineRule="auto"/>
                    <w:ind w:right="0"/>
                    <w:jc w:val="both"/>
                    <w:rPr>
                      <w:rFonts w:hint="default" w:ascii="Times New Roman" w:hAnsi="Times New Roman" w:eastAsia="宋体" w:cs="Times New Roman"/>
                      <w:b w:val="0"/>
                      <w:bCs w:val="0"/>
                      <w:color w:val="auto"/>
                      <w:kern w:val="0"/>
                      <w:sz w:val="18"/>
                      <w:szCs w:val="18"/>
                      <w:u w:val="none"/>
                      <w:lang w:val="en-US" w:eastAsia="zh-CN" w:bidi="ar"/>
                    </w:rPr>
                  </w:pPr>
                  <w:r>
                    <w:rPr>
                      <w:rFonts w:hint="eastAsia" w:ascii="Times New Roman" w:hAnsi="Times New Roman" w:eastAsia="宋体" w:cs="Times New Roman"/>
                      <w:b/>
                      <w:bCs/>
                      <w:color w:val="auto"/>
                      <w:kern w:val="0"/>
                      <w:sz w:val="18"/>
                      <w:szCs w:val="18"/>
                      <w:u w:val="none"/>
                      <w:lang w:val="en-US" w:eastAsia="zh-CN" w:bidi="ar"/>
                    </w:rPr>
                    <w:t>湘发改地区〔湘发改地区〔2021〕〕394号：</w:t>
                  </w:r>
                  <w:r>
                    <w:rPr>
                      <w:rFonts w:hint="eastAsia" w:ascii="Times New Roman" w:hAnsi="Times New Roman" w:eastAsia="宋体" w:cs="Times New Roman"/>
                      <w:b w:val="0"/>
                      <w:bCs w:val="0"/>
                      <w:color w:val="auto"/>
                      <w:kern w:val="0"/>
                      <w:sz w:val="18"/>
                      <w:szCs w:val="18"/>
                      <w:u w:val="none"/>
                      <w:lang w:val="en-US" w:eastAsia="zh-CN" w:bidi="ar"/>
                    </w:rPr>
                    <w:t>号：主导产业：医药；特色产业：智能机器、非金属矿物制品；</w:t>
                  </w:r>
                </w:p>
                <w:p>
                  <w:pPr>
                    <w:keepNext w:val="0"/>
                    <w:keepLines w:val="0"/>
                    <w:pageBreakBefore w:val="0"/>
                    <w:widowControl/>
                    <w:suppressLineNumbers w:val="0"/>
                    <w:kinsoku/>
                    <w:wordWrap/>
                    <w:overflowPunct/>
                    <w:topLinePunct w:val="0"/>
                    <w:bidi w:val="0"/>
                    <w:adjustRightInd/>
                    <w:snapToGrid/>
                    <w:spacing w:line="240" w:lineRule="auto"/>
                    <w:ind w:right="0"/>
                    <w:jc w:val="both"/>
                    <w:rPr>
                      <w:rFonts w:hint="default" w:ascii="Times New Roman" w:hAnsi="Times New Roman" w:eastAsia="宋体" w:cs="Times New Roman"/>
                      <w:b/>
                      <w:bCs/>
                      <w:color w:val="auto"/>
                      <w:sz w:val="18"/>
                      <w:szCs w:val="18"/>
                      <w:u w:val="none"/>
                      <w:lang w:val="en-US" w:eastAsia="zh-CN"/>
                    </w:rPr>
                  </w:pPr>
                  <w:r>
                    <w:rPr>
                      <w:rFonts w:hint="default" w:ascii="Times New Roman" w:hAnsi="Times New Roman" w:eastAsia="宋体" w:cs="Times New Roman"/>
                      <w:b/>
                      <w:bCs/>
                      <w:color w:val="auto"/>
                      <w:kern w:val="0"/>
                      <w:sz w:val="18"/>
                      <w:szCs w:val="18"/>
                      <w:u w:val="none"/>
                      <w:lang w:val="en-US" w:eastAsia="zh-CN" w:bidi="ar"/>
                    </w:rPr>
                    <w:t>主要环境问题和重要敏感目标：</w:t>
                  </w:r>
                  <w:r>
                    <w:rPr>
                      <w:rFonts w:hint="eastAsia" w:ascii="Times New Roman" w:hAnsi="Times New Roman" w:eastAsia="宋体" w:cs="Times New Roman"/>
                      <w:b w:val="0"/>
                      <w:bCs w:val="0"/>
                      <w:color w:val="auto"/>
                      <w:kern w:val="0"/>
                      <w:sz w:val="18"/>
                      <w:szCs w:val="18"/>
                      <w:u w:val="none"/>
                      <w:lang w:val="en-US" w:eastAsia="zh-CN" w:bidi="ar"/>
                    </w:rPr>
                    <w:t>1.</w:t>
                  </w:r>
                  <w:r>
                    <w:rPr>
                      <w:rFonts w:hint="default" w:ascii="Times New Roman" w:hAnsi="Times New Roman" w:eastAsia="宋体" w:cs="Times New Roman"/>
                      <w:b w:val="0"/>
                      <w:bCs w:val="0"/>
                      <w:color w:val="auto"/>
                      <w:kern w:val="0"/>
                      <w:sz w:val="18"/>
                      <w:szCs w:val="18"/>
                      <w:u w:val="none"/>
                      <w:lang w:val="en-US" w:eastAsia="zh-CN" w:bidi="ar"/>
                    </w:rPr>
                    <w:t>高新区南侧紧邻居民区和学校。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snapToGrid/>
                    <w:spacing w:line="240" w:lineRule="auto"/>
                    <w:ind w:right="0"/>
                    <w:jc w:val="center"/>
                    <w:rPr>
                      <w:rFonts w:hint="default" w:ascii="Times New Roman" w:hAnsi="Times New Roman" w:eastAsia="宋体" w:cs="Times New Roman"/>
                      <w:b w:val="0"/>
                      <w:bCs w:val="0"/>
                      <w:color w:val="auto"/>
                      <w:sz w:val="18"/>
                      <w:szCs w:val="18"/>
                      <w:u w:val="none"/>
                      <w:lang w:val="en-US" w:eastAsia="zh-CN"/>
                    </w:rPr>
                  </w:pPr>
                  <w:r>
                    <w:rPr>
                      <w:rFonts w:hint="default" w:ascii="Times New Roman" w:hAnsi="Times New Roman" w:cs="Times New Roman"/>
                      <w:b w:val="0"/>
                      <w:bCs w:val="0"/>
                      <w:color w:val="auto"/>
                      <w:sz w:val="18"/>
                      <w:szCs w:val="18"/>
                      <w:u w:val="none"/>
                    </w:rPr>
                    <w:t>ZH43042</w:t>
                  </w:r>
                  <w:r>
                    <w:rPr>
                      <w:rFonts w:hint="default" w:ascii="Times New Roman" w:hAnsi="Times New Roman" w:cs="Times New Roman"/>
                      <w:b w:val="0"/>
                      <w:bCs w:val="0"/>
                      <w:color w:val="auto"/>
                      <w:sz w:val="18"/>
                      <w:szCs w:val="18"/>
                      <w:u w:val="none"/>
                      <w:lang w:val="en-US" w:eastAsia="zh-CN"/>
                    </w:rPr>
                    <w:t>1</w:t>
                  </w:r>
                  <w:r>
                    <w:rPr>
                      <w:rFonts w:hint="eastAsia" w:ascii="Times New Roman" w:hAnsi="Times New Roman" w:cs="Times New Roman"/>
                      <w:b w:val="0"/>
                      <w:bCs w:val="0"/>
                      <w:color w:val="auto"/>
                      <w:sz w:val="18"/>
                      <w:szCs w:val="18"/>
                      <w:u w:val="none"/>
                      <w:lang w:val="en-US" w:eastAsia="zh-CN"/>
                    </w:rPr>
                    <w:t>20002</w:t>
                  </w:r>
                </w:p>
              </w:tc>
              <w:tc>
                <w:tcPr>
                  <w:tcW w:w="535" w:type="pct"/>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snapToGrid/>
                    <w:spacing w:line="240" w:lineRule="auto"/>
                    <w:ind w:right="0"/>
                    <w:jc w:val="center"/>
                    <w:rPr>
                      <w:rFonts w:hint="default" w:ascii="Times New Roman" w:hAnsi="Times New Roman" w:eastAsia="宋体" w:cs="Times New Roman"/>
                      <w:b w:val="0"/>
                      <w:bCs w:val="0"/>
                      <w:color w:val="auto"/>
                      <w:sz w:val="18"/>
                      <w:szCs w:val="18"/>
                      <w:u w:val="none"/>
                      <w:lang w:eastAsia="zh-CN"/>
                    </w:rPr>
                  </w:pPr>
                  <w:r>
                    <w:rPr>
                      <w:rFonts w:hint="eastAsia" w:ascii="Times New Roman" w:hAnsi="Times New Roman" w:cs="Times New Roman"/>
                      <w:b w:val="0"/>
                      <w:bCs w:val="0"/>
                      <w:color w:val="auto"/>
                      <w:sz w:val="18"/>
                      <w:szCs w:val="18"/>
                      <w:u w:val="none"/>
                      <w:lang w:eastAsia="zh-CN"/>
                    </w:rPr>
                    <w:t>重点</w:t>
                  </w:r>
                  <w:r>
                    <w:rPr>
                      <w:rFonts w:hint="default" w:ascii="Times New Roman" w:hAnsi="Times New Roman" w:cs="Times New Roman"/>
                      <w:b w:val="0"/>
                      <w:bCs w:val="0"/>
                      <w:color w:val="auto"/>
                      <w:sz w:val="18"/>
                      <w:szCs w:val="18"/>
                      <w:u w:val="none"/>
                      <w:lang w:eastAsia="zh-CN"/>
                    </w:rPr>
                    <w:t>管控单元</w:t>
                  </w:r>
                </w:p>
              </w:tc>
              <w:tc>
                <w:tcPr>
                  <w:tcW w:w="553" w:type="pct"/>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eastAsia="宋体" w:cs="Times New Roman"/>
                      <w:b w:val="0"/>
                      <w:bCs w:val="0"/>
                      <w:color w:val="auto"/>
                      <w:sz w:val="18"/>
                      <w:szCs w:val="18"/>
                      <w:u w:val="none"/>
                      <w:lang w:val="en-US" w:eastAsia="zh-CN"/>
                    </w:rPr>
                  </w:pPr>
                  <w:r>
                    <w:rPr>
                      <w:rFonts w:hint="default" w:ascii="Times New Roman" w:hAnsi="Times New Roman" w:eastAsia="宋体" w:cs="Times New Roman"/>
                      <w:b w:val="0"/>
                      <w:bCs w:val="0"/>
                      <w:color w:val="auto"/>
                      <w:sz w:val="18"/>
                      <w:szCs w:val="18"/>
                      <w:u w:val="none"/>
                      <w:lang w:val="en-US" w:eastAsia="zh-CN"/>
                    </w:rPr>
                    <w:t>衡阳西渡高新技术产业园区</w:t>
                  </w:r>
                </w:p>
              </w:tc>
              <w:tc>
                <w:tcPr>
                  <w:tcW w:w="3328" w:type="pct"/>
                  <w:gridSpan w:val="3"/>
                  <w:vMerge w:val="continue"/>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cs="Times New Roman"/>
                      <w:color w:val="auto"/>
                      <w:sz w:val="18"/>
                      <w:szCs w:val="18"/>
                      <w:u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snapToGrid/>
                    <w:spacing w:line="240" w:lineRule="auto"/>
                    <w:ind w:right="0"/>
                    <w:jc w:val="center"/>
                    <w:rPr>
                      <w:rFonts w:hint="default" w:ascii="Times New Roman" w:hAnsi="Times New Roman" w:eastAsia="宋体" w:cs="Times New Roman"/>
                      <w:b/>
                      <w:bCs/>
                      <w:color w:val="auto"/>
                      <w:kern w:val="0"/>
                      <w:sz w:val="18"/>
                      <w:szCs w:val="18"/>
                      <w:u w:val="none"/>
                      <w:lang w:val="en-US" w:eastAsia="zh-CN" w:bidi="ar"/>
                    </w:rPr>
                  </w:pPr>
                  <w:r>
                    <w:rPr>
                      <w:rFonts w:hint="default" w:ascii="Times New Roman" w:hAnsi="Times New Roman" w:eastAsia="宋体" w:cs="Times New Roman"/>
                      <w:b/>
                      <w:bCs/>
                      <w:color w:val="auto"/>
                      <w:kern w:val="0"/>
                      <w:sz w:val="18"/>
                      <w:szCs w:val="18"/>
                      <w:u w:val="none"/>
                      <w:lang w:val="en-US" w:eastAsia="zh-CN" w:bidi="ar"/>
                    </w:rPr>
                    <w:t>管控维度</w:t>
                  </w:r>
                </w:p>
              </w:tc>
              <w:tc>
                <w:tcPr>
                  <w:tcW w:w="2706" w:type="pct"/>
                  <w:gridSpan w:val="3"/>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eastAsia="宋体" w:cs="Times New Roman"/>
                      <w:b/>
                      <w:bCs/>
                      <w:color w:val="auto"/>
                      <w:sz w:val="18"/>
                      <w:szCs w:val="18"/>
                      <w:u w:val="none"/>
                      <w:lang w:val="en-US" w:eastAsia="zh-CN"/>
                    </w:rPr>
                  </w:pPr>
                  <w:r>
                    <w:rPr>
                      <w:rFonts w:hint="default" w:ascii="Times New Roman" w:hAnsi="Times New Roman" w:cs="Times New Roman"/>
                      <w:b/>
                      <w:bCs/>
                      <w:color w:val="auto"/>
                      <w:sz w:val="18"/>
                      <w:szCs w:val="18"/>
                      <w:u w:val="none"/>
                      <w:lang w:val="en-US" w:eastAsia="zh-CN"/>
                    </w:rPr>
                    <w:t>管控要求</w:t>
                  </w:r>
                </w:p>
              </w:tc>
              <w:tc>
                <w:tcPr>
                  <w:tcW w:w="1252" w:type="pct"/>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default" w:ascii="Times New Roman" w:hAnsi="Times New Roman" w:cs="Times New Roman"/>
                      <w:b/>
                      <w:bCs/>
                      <w:color w:val="auto"/>
                      <w:sz w:val="18"/>
                      <w:szCs w:val="18"/>
                      <w:u w:val="none"/>
                      <w:lang w:val="en-US" w:eastAsia="zh-CN"/>
                    </w:rPr>
                  </w:pPr>
                  <w:r>
                    <w:rPr>
                      <w:rFonts w:hint="eastAsia" w:ascii="Times New Roman" w:hAnsi="Times New Roman" w:cs="Times New Roman"/>
                      <w:b/>
                      <w:bCs/>
                      <w:color w:val="auto"/>
                      <w:sz w:val="18"/>
                      <w:szCs w:val="18"/>
                      <w:u w:val="none"/>
                      <w:lang w:val="en-US" w:eastAsia="zh-CN"/>
                    </w:rPr>
                    <w:t>项目情况</w:t>
                  </w:r>
                </w:p>
              </w:tc>
              <w:tc>
                <w:tcPr>
                  <w:tcW w:w="459" w:type="pct"/>
                  <w:tcBorders>
                    <w:tl2br w:val="nil"/>
                    <w:tr2bl w:val="nil"/>
                  </w:tcBorders>
                  <w:noWrap w:val="0"/>
                  <w:vAlign w:val="center"/>
                </w:tcPr>
                <w:p>
                  <w:pPr>
                    <w:keepNext w:val="0"/>
                    <w:keepLines w:val="0"/>
                    <w:pageBreakBefore w:val="0"/>
                    <w:kinsoku/>
                    <w:wordWrap/>
                    <w:overflowPunct/>
                    <w:topLinePunct w:val="0"/>
                    <w:bidi w:val="0"/>
                    <w:adjustRightInd/>
                    <w:snapToGrid/>
                    <w:spacing w:line="240" w:lineRule="auto"/>
                    <w:ind w:right="0"/>
                    <w:jc w:val="center"/>
                    <w:textAlignment w:val="center"/>
                    <w:rPr>
                      <w:rFonts w:hint="eastAsia" w:ascii="Times New Roman" w:hAnsi="Times New Roman" w:cs="Times New Roman"/>
                      <w:b/>
                      <w:bCs/>
                      <w:color w:val="auto"/>
                      <w:sz w:val="18"/>
                      <w:szCs w:val="18"/>
                      <w:u w:val="none"/>
                      <w:lang w:val="en-US" w:eastAsia="zh-CN"/>
                    </w:rPr>
                  </w:pPr>
                  <w:r>
                    <w:rPr>
                      <w:rFonts w:hint="eastAsia" w:ascii="Times New Roman" w:hAnsi="Times New Roman" w:cs="Times New Roman"/>
                      <w:b/>
                      <w:bCs/>
                      <w:color w:val="auto"/>
                      <w:sz w:val="18"/>
                      <w:szCs w:val="18"/>
                      <w:u w:val="none"/>
                      <w:lang w:val="en-US" w:eastAsia="zh-CN"/>
                    </w:rPr>
                    <w:t>是否符合要求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kern w:val="0"/>
                      <w:sz w:val="18"/>
                      <w:szCs w:val="18"/>
                      <w:u w:val="none"/>
                      <w:lang w:val="en-US" w:eastAsia="zh-CN"/>
                    </w:rPr>
                  </w:pPr>
                  <w:r>
                    <w:rPr>
                      <w:rFonts w:hint="default" w:ascii="Times New Roman" w:hAnsi="Times New Roman" w:eastAsia="宋体" w:cs="Times New Roman"/>
                      <w:color w:val="auto"/>
                      <w:kern w:val="0"/>
                      <w:sz w:val="18"/>
                      <w:szCs w:val="18"/>
                      <w:u w:val="none"/>
                    </w:rPr>
                    <w:t>空间布局约束</w:t>
                  </w:r>
                </w:p>
              </w:tc>
              <w:tc>
                <w:tcPr>
                  <w:tcW w:w="2706" w:type="pct"/>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imes New Roman" w:hAnsi="Times New Roman" w:eastAsia="宋体" w:cs="Times New Roman"/>
                      <w:color w:val="auto"/>
                      <w:kern w:val="0"/>
                      <w:sz w:val="18"/>
                      <w:szCs w:val="18"/>
                      <w:u w:val="none"/>
                    </w:rPr>
                  </w:pPr>
                  <w:r>
                    <w:rPr>
                      <w:rFonts w:hint="eastAsia" w:ascii="Times New Roman" w:hAnsi="Times New Roman" w:eastAsia="宋体" w:cs="Times New Roman"/>
                      <w:color w:val="auto"/>
                      <w:kern w:val="0"/>
                      <w:sz w:val="18"/>
                      <w:szCs w:val="18"/>
                      <w:u w:val="none"/>
                    </w:rPr>
                    <w:t>（1.1）优化区域产业布局。遏制高耗能高排放项目，进一步优化产业结构和能源结构，积极引导低投入、低消耗、低排放和高效率的现代产业发展。</w:t>
                  </w:r>
                </w:p>
                <w:p>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eastAsia" w:ascii="Times New Roman" w:hAnsi="Times New Roman" w:eastAsia="宋体" w:cs="Times New Roman"/>
                      <w:color w:val="auto"/>
                      <w:kern w:val="0"/>
                      <w:sz w:val="18"/>
                      <w:szCs w:val="18"/>
                      <w:u w:val="none"/>
                    </w:rPr>
                  </w:pPr>
                  <w:r>
                    <w:rPr>
                      <w:rFonts w:hint="eastAsia" w:ascii="Times New Roman" w:hAnsi="Times New Roman" w:eastAsia="宋体" w:cs="Times New Roman"/>
                      <w:color w:val="auto"/>
                      <w:kern w:val="0"/>
                      <w:sz w:val="18"/>
                      <w:szCs w:val="18"/>
                      <w:u w:val="none"/>
                    </w:rPr>
                    <w:t>区块一：</w:t>
                  </w:r>
                </w:p>
                <w:p>
                  <w:pPr>
                    <w:keepNext w:val="0"/>
                    <w:keepLines w:val="0"/>
                    <w:pageBreakBefore w:val="0"/>
                    <w:widowControl/>
                    <w:kinsoku/>
                    <w:wordWrap/>
                    <w:overflowPunct/>
                    <w:topLinePunct w:val="0"/>
                    <w:autoSpaceDE/>
                    <w:autoSpaceDN/>
                    <w:bidi w:val="0"/>
                    <w:adjustRightInd/>
                    <w:snapToGrid/>
                    <w:spacing w:line="240" w:lineRule="auto"/>
                    <w:ind w:right="0"/>
                    <w:jc w:val="left"/>
                    <w:textAlignment w:val="auto"/>
                    <w:rPr>
                      <w:rFonts w:hint="default" w:ascii="Times New Roman" w:hAnsi="Times New Roman" w:eastAsia="宋体" w:cs="Times New Roman"/>
                      <w:color w:val="auto"/>
                      <w:kern w:val="0"/>
                      <w:sz w:val="18"/>
                      <w:szCs w:val="18"/>
                      <w:u w:val="none"/>
                      <w:lang w:val="en-US" w:eastAsia="zh-CN"/>
                    </w:rPr>
                  </w:pPr>
                  <w:r>
                    <w:rPr>
                      <w:rFonts w:hint="eastAsia" w:ascii="Times New Roman" w:hAnsi="Times New Roman" w:eastAsia="宋体" w:cs="Times New Roman"/>
                      <w:color w:val="auto"/>
                      <w:kern w:val="0"/>
                      <w:sz w:val="18"/>
                      <w:szCs w:val="18"/>
                      <w:u w:val="none"/>
                    </w:rPr>
                    <w:t>（1.2）禁止气型污染严重企业入驻。</w:t>
                  </w:r>
                </w:p>
              </w:tc>
              <w:tc>
                <w:tcPr>
                  <w:tcW w:w="12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color w:val="auto"/>
                      <w:sz w:val="18"/>
                      <w:szCs w:val="18"/>
                      <w:lang w:eastAsia="zh-CN"/>
                    </w:rPr>
                  </w:pPr>
                  <w:r>
                    <w:rPr>
                      <w:rFonts w:hint="eastAsia"/>
                      <w:color w:val="auto"/>
                      <w:sz w:val="18"/>
                      <w:szCs w:val="18"/>
                      <w:lang w:eastAsia="zh-CN"/>
                    </w:rPr>
                    <w:t>本项目为C4210金属废料和碎屑加工处理，不属于高能耗排放项目；</w:t>
                  </w:r>
                </w:p>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val="en-US" w:eastAsia="zh-CN"/>
                    </w:rPr>
                  </w:pPr>
                  <w:r>
                    <w:rPr>
                      <w:rFonts w:hint="eastAsia"/>
                      <w:color w:val="auto"/>
                      <w:sz w:val="18"/>
                      <w:szCs w:val="18"/>
                      <w:lang w:eastAsia="zh-CN"/>
                    </w:rPr>
                    <w:t>项目不在区块一范围内，且不属于</w:t>
                  </w:r>
                  <w:r>
                    <w:rPr>
                      <w:rFonts w:hint="eastAsia" w:ascii="Times New Roman" w:hAnsi="Times New Roman" w:eastAsia="宋体" w:cs="Times New Roman"/>
                      <w:color w:val="auto"/>
                      <w:kern w:val="0"/>
                      <w:sz w:val="18"/>
                      <w:szCs w:val="18"/>
                      <w:u w:val="none"/>
                    </w:rPr>
                    <w:t>型污染严重企业</w:t>
                  </w:r>
                  <w:r>
                    <w:rPr>
                      <w:rFonts w:hint="eastAsia" w:ascii="Times New Roman" w:hAnsi="Times New Roman" w:eastAsia="宋体" w:cs="Times New Roman"/>
                      <w:color w:val="auto"/>
                      <w:kern w:val="0"/>
                      <w:sz w:val="18"/>
                      <w:szCs w:val="18"/>
                      <w:u w:val="none"/>
                      <w:lang w:eastAsia="zh-CN"/>
                    </w:rPr>
                    <w:t>。</w:t>
                  </w:r>
                </w:p>
              </w:tc>
              <w:tc>
                <w:tcPr>
                  <w:tcW w:w="4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val="en-US" w:eastAsia="zh-CN"/>
                    </w:rPr>
                  </w:pPr>
                  <w:r>
                    <w:rPr>
                      <w:rFonts w:hint="eastAsia" w:ascii="Times New Roman" w:hAnsi="Times New Roman" w:eastAsia="宋体" w:cs="Times New Roman"/>
                      <w:color w:val="auto"/>
                      <w:sz w:val="18"/>
                      <w:szCs w:val="18"/>
                      <w:u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kern w:val="0"/>
                      <w:sz w:val="18"/>
                      <w:szCs w:val="18"/>
                      <w:u w:val="none"/>
                      <w:lang w:val="en-US" w:eastAsia="zh-CN" w:bidi="ar"/>
                    </w:rPr>
                  </w:pPr>
                  <w:r>
                    <w:rPr>
                      <w:rFonts w:hint="default" w:ascii="Times New Roman" w:hAnsi="Times New Roman" w:eastAsia="宋体" w:cs="Times New Roman"/>
                      <w:color w:val="auto"/>
                      <w:kern w:val="0"/>
                      <w:sz w:val="18"/>
                      <w:szCs w:val="18"/>
                      <w:u w:val="none"/>
                    </w:rPr>
                    <w:t>污染物排放管控</w:t>
                  </w:r>
                </w:p>
              </w:tc>
              <w:tc>
                <w:tcPr>
                  <w:tcW w:w="2706" w:type="pct"/>
                  <w:gridSpan w:val="3"/>
                  <w:tcBorders>
                    <w:tl2br w:val="nil"/>
                    <w:tr2bl w:val="nil"/>
                  </w:tcBorders>
                  <w:noWrap w:val="0"/>
                  <w:vAlign w:val="center"/>
                </w:tcPr>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left"/>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(2.1)废水</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高新区废水排水实行雨污分流。推进污水处理设施分类管理、分期升级改造，污水管网全覆盖、污水全收集、污水集中处理设施稳定达标运行，进一步完善西渡高新区污水处理厂及配套管网建设和提质改造。区块一、区块二、区块三、区块四、区块五</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污水经收集后排入西渡高新技术产业园区工业污水处理厂，处理达标后外排至蒸水</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区块六</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近期污水经处理后回用，不外排。远期待污水处理厂和管网建成后纳入污水处理厂处理后达标排放。</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left"/>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(2.2)废气</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对各企业工艺废气产出的生产节点，应配置废气收集与净化处理装置，确保达标排放</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采取有效措施，减少入园企业工艺废气的无组织排放。加大低 VOCs含量原辅材料的推广使用力度，从源头减少 VOCs产生。推进使用先进生产工艺设备</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咸少无组织排放。</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left"/>
                    <w:textAlignment w:val="auto"/>
                    <w:rPr>
                      <w:rFonts w:hint="default" w:eastAsia="宋体"/>
                      <w:color w:val="auto"/>
                      <w:kern w:val="2"/>
                      <w:sz w:val="18"/>
                      <w:szCs w:val="18"/>
                      <w:lang w:val="en-US" w:eastAsia="zh-CN" w:bidi="ar-SA"/>
                    </w:rPr>
                  </w:pPr>
                  <w:r>
                    <w:rPr>
                      <w:rFonts w:hint="default" w:ascii="Times New Roman" w:hAnsi="Times New Roman" w:eastAsia="宋体" w:cs="Times New Roman"/>
                      <w:color w:val="auto"/>
                      <w:kern w:val="32"/>
                      <w:sz w:val="18"/>
                      <w:szCs w:val="18"/>
                      <w:highlight w:val="none"/>
                      <w:u w:val="none" w:color="auto"/>
                      <w:lang w:val="zh-CN" w:bidi="zh-CN"/>
                    </w:rPr>
                    <w:t>(2.3)固废</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做好工业固体废物和生活垃圾的分类收集、转运、综合利用和无害化处置，建立统一的固废收集、贮存、运输、综合利用和安全处置的运营管理体系</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推进清洁生产，减少固体废物产生量</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加强固体废物的资源化进程，提高综合利用率</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规范固体废物处置措施，严防二次污染</w:t>
                  </w:r>
                </w:p>
              </w:tc>
              <w:tc>
                <w:tcPr>
                  <w:tcW w:w="12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eastAsia="zh-CN"/>
                    </w:rPr>
                  </w:pPr>
                  <w:r>
                    <w:rPr>
                      <w:rFonts w:hint="eastAsia" w:ascii="Times New Roman" w:hAnsi="Times New Roman" w:eastAsia="宋体" w:cs="Times New Roman"/>
                      <w:color w:val="auto"/>
                      <w:sz w:val="18"/>
                      <w:szCs w:val="18"/>
                      <w:u w:val="wave"/>
                      <w:lang w:eastAsia="zh-CN"/>
                    </w:rPr>
                    <w:t>初期雨水经初期雨水收集池收集后，与项目车间地面拖洗废水一并经三级隔油沉淀池+高效油水分离器处理后排入园区污水管网最后进入衡阳西渡高新区污水处理厂深度处理；生活污水经化粪池处理后排入园区污水管网最后进入衡阳西渡高新区污水处理厂深度处理；项目为C4210金属废料和碎屑加工处理行业，非重点行业；厂内废物、生活垃圾分类收集、分类处理</w:t>
                  </w:r>
                  <w:r>
                    <w:rPr>
                      <w:rFonts w:hint="eastAsia" w:ascii="Times New Roman" w:hAnsi="Times New Roman" w:eastAsia="宋体" w:cs="Times New Roman"/>
                      <w:color w:val="auto"/>
                      <w:sz w:val="18"/>
                      <w:szCs w:val="18"/>
                      <w:u w:val="none"/>
                      <w:lang w:eastAsia="zh-CN"/>
                    </w:rPr>
                    <w:t>。</w:t>
                  </w:r>
                </w:p>
              </w:tc>
              <w:tc>
                <w:tcPr>
                  <w:tcW w:w="4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eastAsia="zh-CN"/>
                    </w:rPr>
                  </w:pPr>
                  <w:r>
                    <w:rPr>
                      <w:rFonts w:hint="eastAsia" w:ascii="Times New Roman" w:hAnsi="Times New Roman" w:eastAsia="宋体" w:cs="Times New Roman"/>
                      <w:color w:val="auto"/>
                      <w:sz w:val="18"/>
                      <w:szCs w:val="18"/>
                      <w:u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color w:val="auto"/>
                      <w:kern w:val="0"/>
                      <w:sz w:val="18"/>
                      <w:szCs w:val="18"/>
                      <w:u w:val="none"/>
                      <w:lang w:val="en-US" w:eastAsia="zh-CN" w:bidi="ar"/>
                    </w:rPr>
                  </w:pPr>
                  <w:r>
                    <w:rPr>
                      <w:rFonts w:hint="default" w:ascii="Times New Roman" w:hAnsi="Times New Roman" w:eastAsia="宋体" w:cs="Times New Roman"/>
                      <w:color w:val="auto"/>
                      <w:kern w:val="0"/>
                      <w:sz w:val="18"/>
                      <w:szCs w:val="18"/>
                      <w:u w:val="none"/>
                    </w:rPr>
                    <w:t>环境风险防控</w:t>
                  </w:r>
                </w:p>
              </w:tc>
              <w:tc>
                <w:tcPr>
                  <w:tcW w:w="2706" w:type="pct"/>
                  <w:gridSpan w:val="3"/>
                  <w:tcBorders>
                    <w:tl2br w:val="nil"/>
                    <w:tr2bl w:val="nil"/>
                  </w:tcBorders>
                  <w:noWrap w:val="0"/>
                  <w:vAlign w:val="center"/>
                </w:tcPr>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(3.1)高新区应建立健全环境风险防控体系，严格落实《湖南衡阳西渡经济开发区突发环境事件应急预案》中提出的各项环境风险事故防范措施，严防环境风险事故发生，提高应急处置能力。</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(3.2)高新区可能发生突发环境事件的污染物排放企业，生产、储存、运输、使用危险化学品的企业，产生、收集、贮存、运输、利用、处置危险废物的企业等应当编制和实施环境应急预案</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鼓励其他企业制定单独的环境应急预案，或在突发事件应急预案</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中制定环境应急预案专章，并备案。</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eastAsia="宋体"/>
                      <w:color w:val="auto"/>
                      <w:kern w:val="2"/>
                      <w:sz w:val="18"/>
                      <w:szCs w:val="18"/>
                      <w:lang w:val="en-US" w:eastAsia="zh-CN" w:bidi="ar-SA"/>
                    </w:rPr>
                  </w:pPr>
                  <w:r>
                    <w:rPr>
                      <w:rFonts w:hint="default" w:ascii="Times New Roman" w:hAnsi="Times New Roman" w:eastAsia="宋体" w:cs="Times New Roman"/>
                      <w:color w:val="auto"/>
                      <w:kern w:val="32"/>
                      <w:sz w:val="18"/>
                      <w:szCs w:val="18"/>
                      <w:highlight w:val="none"/>
                      <w:u w:val="none" w:color="auto"/>
                      <w:lang w:val="zh-CN" w:bidi="zh-CN"/>
                    </w:rPr>
                    <w:t>(3.3)建设用地土壤风险防控</w:t>
                  </w:r>
                  <w:r>
                    <w:rPr>
                      <w:rFonts w:hint="eastAsia" w:ascii="Times New Roman" w:hAnsi="Times New Roman" w:eastAsia="宋体" w:cs="Times New Roman"/>
                      <w:color w:val="auto"/>
                      <w:kern w:val="32"/>
                      <w:sz w:val="18"/>
                      <w:szCs w:val="18"/>
                      <w:highlight w:val="none"/>
                      <w:u w:val="none" w:color="auto"/>
                      <w:lang w:val="zh-CN" w:bidi="zh-CN"/>
                    </w:rPr>
                    <w:t>；</w:t>
                  </w:r>
                  <w:r>
                    <w:rPr>
                      <w:rFonts w:hint="default" w:ascii="Times New Roman" w:hAnsi="Times New Roman" w:eastAsia="宋体" w:cs="Times New Roman"/>
                      <w:color w:val="auto"/>
                      <w:kern w:val="32"/>
                      <w:sz w:val="18"/>
                      <w:szCs w:val="18"/>
                      <w:highlight w:val="none"/>
                      <w:u w:val="none" w:color="auto"/>
                      <w:lang w:val="zh-CN" w:bidi="zh-CN"/>
                    </w:rPr>
                    <w:t>严格污染地块准入管理。加强对建设用地十壤环境状况调查、风险评估和污染地块治理与修复的监管。</w:t>
                  </w:r>
                </w:p>
              </w:tc>
              <w:tc>
                <w:tcPr>
                  <w:tcW w:w="12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eastAsia="zh-CN"/>
                    </w:rPr>
                  </w:pPr>
                  <w:r>
                    <w:rPr>
                      <w:rFonts w:hint="eastAsia" w:ascii="Times New Roman" w:hAnsi="Times New Roman" w:eastAsia="宋体" w:cs="Times New Roman"/>
                      <w:color w:val="auto"/>
                      <w:sz w:val="18"/>
                      <w:szCs w:val="18"/>
                      <w:u w:val="none"/>
                      <w:lang w:eastAsia="zh-CN"/>
                    </w:rPr>
                    <w:t>本环评要求本项目及时编制突发环境事件应急预案；项目用地不涉及污染地块。</w:t>
                  </w:r>
                </w:p>
              </w:tc>
              <w:tc>
                <w:tcPr>
                  <w:tcW w:w="4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eastAsia="zh-CN"/>
                    </w:rPr>
                  </w:pPr>
                  <w:r>
                    <w:rPr>
                      <w:rFonts w:hint="eastAsia" w:ascii="Times New Roman" w:hAnsi="Times New Roman" w:eastAsia="宋体" w:cs="Times New Roman"/>
                      <w:color w:val="auto"/>
                      <w:sz w:val="18"/>
                      <w:szCs w:val="18"/>
                      <w:u w:val="none"/>
                      <w:lang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81" w:type="pc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eastAsia="宋体" w:cs="Times New Roman"/>
                      <w:color w:val="auto"/>
                      <w:kern w:val="0"/>
                      <w:sz w:val="18"/>
                      <w:szCs w:val="18"/>
                      <w:u w:val="none"/>
                      <w:lang w:val="en-US" w:eastAsia="zh-CN" w:bidi="ar"/>
                    </w:rPr>
                  </w:pPr>
                  <w:r>
                    <w:rPr>
                      <w:rFonts w:hint="default" w:ascii="Times New Roman" w:hAnsi="Times New Roman" w:eastAsia="宋体" w:cs="Times New Roman"/>
                      <w:color w:val="auto"/>
                      <w:kern w:val="32"/>
                      <w:sz w:val="18"/>
                      <w:szCs w:val="18"/>
                      <w:highlight w:val="none"/>
                      <w:u w:val="none" w:color="auto"/>
                      <w:lang w:val="zh-CN" w:bidi="zh-CN"/>
                    </w:rPr>
                    <w:t>资源开发效率要求</w:t>
                  </w:r>
                </w:p>
              </w:tc>
              <w:tc>
                <w:tcPr>
                  <w:tcW w:w="2706" w:type="pct"/>
                  <w:gridSpan w:val="3"/>
                  <w:tcBorders>
                    <w:tl2br w:val="nil"/>
                    <w:tr2bl w:val="nil"/>
                  </w:tcBorders>
                  <w:noWrap w:val="0"/>
                  <w:vAlign w:val="center"/>
                </w:tcPr>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(4.1)能源</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高新区应积极推广清洁能源，高新区燃煤含硫率应确保控制在1%以内。</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ascii="Times New Roman" w:hAnsi="Times New Roman" w:eastAsia="宋体" w:cs="Times New Roman"/>
                      <w:color w:val="auto"/>
                      <w:kern w:val="32"/>
                      <w:sz w:val="18"/>
                      <w:szCs w:val="18"/>
                      <w:highlight w:val="none"/>
                      <w:u w:val="none" w:color="auto"/>
                      <w:lang w:val="zh-CN" w:bidi="zh-CN"/>
                    </w:rPr>
                  </w:pPr>
                  <w:r>
                    <w:rPr>
                      <w:rFonts w:hint="default" w:ascii="Times New Roman" w:hAnsi="Times New Roman" w:eastAsia="宋体" w:cs="Times New Roman"/>
                      <w:color w:val="auto"/>
                      <w:kern w:val="32"/>
                      <w:sz w:val="18"/>
                      <w:szCs w:val="18"/>
                      <w:highlight w:val="none"/>
                      <w:u w:val="none" w:color="auto"/>
                      <w:lang w:val="zh-CN" w:bidi="zh-CN"/>
                    </w:rPr>
                    <w:t>(4.2)水资源</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落实水资源消耗总量和强度双控行动，2025年，衡阳县用水总量4.9206 亿立方米，万元工业增加值用水量比2020年下降(%)12.0</w:t>
                  </w:r>
                  <w:r>
                    <w:rPr>
                      <w:rFonts w:hint="eastAsia" w:ascii="Times New Roman" w:hAnsi="Times New Roman" w:eastAsia="宋体" w:cs="Times New Roman"/>
                      <w:color w:val="auto"/>
                      <w:kern w:val="32"/>
                      <w:sz w:val="18"/>
                      <w:szCs w:val="18"/>
                      <w:highlight w:val="none"/>
                      <w:u w:val="none" w:color="auto"/>
                      <w:lang w:val="zh-CN" w:bidi="zh-CN"/>
                    </w:rPr>
                    <w:t>；</w:t>
                  </w:r>
                </w:p>
                <w:p>
                  <w:pPr>
                    <w:keepNext w:val="0"/>
                    <w:keepLines w:val="0"/>
                    <w:pageBreakBefore w:val="0"/>
                    <w:widowControl w:val="0"/>
                    <w:tabs>
                      <w:tab w:val="left" w:pos="1021"/>
                    </w:tabs>
                    <w:kinsoku/>
                    <w:wordWrap/>
                    <w:overflowPunct/>
                    <w:topLinePunct w:val="0"/>
                    <w:autoSpaceDE w:val="0"/>
                    <w:autoSpaceDN w:val="0"/>
                    <w:bidi w:val="0"/>
                    <w:adjustRightInd/>
                    <w:snapToGrid/>
                    <w:spacing w:line="240" w:lineRule="auto"/>
                    <w:ind w:right="0" w:firstLine="0" w:firstLineChars="0"/>
                    <w:jc w:val="both"/>
                    <w:textAlignment w:val="auto"/>
                    <w:rPr>
                      <w:rFonts w:hint="default" w:eastAsia="宋体"/>
                      <w:color w:val="auto"/>
                      <w:kern w:val="2"/>
                      <w:sz w:val="18"/>
                      <w:szCs w:val="18"/>
                      <w:lang w:val="en-US" w:eastAsia="zh-CN" w:bidi="ar-SA"/>
                    </w:rPr>
                  </w:pPr>
                  <w:r>
                    <w:rPr>
                      <w:rFonts w:hint="default" w:ascii="Times New Roman" w:hAnsi="Times New Roman" w:eastAsia="宋体" w:cs="Times New Roman"/>
                      <w:color w:val="auto"/>
                      <w:kern w:val="32"/>
                      <w:sz w:val="18"/>
                      <w:szCs w:val="18"/>
                      <w:highlight w:val="none"/>
                      <w:u w:val="none" w:color="auto"/>
                      <w:lang w:val="zh-CN" w:bidi="zh-CN"/>
                    </w:rPr>
                    <w:t>(4.3)土地资源</w:t>
                  </w:r>
                  <w:r>
                    <w:rPr>
                      <w:rFonts w:hint="default" w:ascii="Times New Roman" w:hAnsi="Times New Roman" w:eastAsia="宋体" w:cs="Times New Roman"/>
                      <w:color w:val="auto"/>
                      <w:kern w:val="32"/>
                      <w:sz w:val="18"/>
                      <w:szCs w:val="18"/>
                      <w:highlight w:val="none"/>
                      <w:u w:val="none" w:color="auto"/>
                      <w:lang w:bidi="zh-CN"/>
                    </w:rPr>
                    <w:t>：</w:t>
                  </w:r>
                  <w:r>
                    <w:rPr>
                      <w:rFonts w:hint="default" w:ascii="Times New Roman" w:hAnsi="Times New Roman" w:eastAsia="宋体" w:cs="Times New Roman"/>
                      <w:color w:val="auto"/>
                      <w:kern w:val="32"/>
                      <w:sz w:val="18"/>
                      <w:szCs w:val="18"/>
                      <w:highlight w:val="none"/>
                      <w:u w:val="none" w:color="auto"/>
                      <w:lang w:val="zh-CN" w:bidi="zh-CN"/>
                    </w:rPr>
                    <w:t>提高土地使用效率和节约集约程度，工业用地固定资产投入强度250万元/亩，工业用地地均税收15万元/亩</w:t>
                  </w:r>
                </w:p>
              </w:tc>
              <w:tc>
                <w:tcPr>
                  <w:tcW w:w="12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eastAsia="zh-CN"/>
                    </w:rPr>
                  </w:pPr>
                  <w:r>
                    <w:rPr>
                      <w:rFonts w:hint="eastAsia" w:ascii="Times New Roman" w:hAnsi="Times New Roman" w:eastAsia="宋体" w:cs="Times New Roman"/>
                      <w:color w:val="auto"/>
                      <w:sz w:val="18"/>
                      <w:szCs w:val="18"/>
                      <w:u w:val="none"/>
                      <w:lang w:eastAsia="zh-CN"/>
                    </w:rPr>
                    <w:t>项目</w:t>
                  </w:r>
                  <w:r>
                    <w:rPr>
                      <w:rFonts w:hint="eastAsia" w:ascii="Times New Roman" w:hAnsi="Times New Roman" w:eastAsia="宋体" w:cs="Times New Roman"/>
                      <w:color w:val="auto"/>
                      <w:sz w:val="18"/>
                      <w:szCs w:val="18"/>
                      <w:u w:val="wave"/>
                      <w:lang w:eastAsia="zh-CN"/>
                    </w:rPr>
                    <w:t>为C4210金属废料和碎屑加工处理，初期雨水经初期雨水收集池收集后，与项目车间地面拖洗废水一并经三级隔油沉淀池+高效油水分离器处理后排入园区污水管网最后进入衡阳西渡高新区污水处理厂深度处理；生活污水经化粪池处理后排入园区污水管网最后进入衡阳西渡高新区污水处理厂深度处理；项目用能均为清洁能源。</w:t>
                  </w:r>
                </w:p>
              </w:tc>
              <w:tc>
                <w:tcPr>
                  <w:tcW w:w="4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Times New Roman" w:hAnsi="Times New Roman" w:eastAsia="宋体" w:cs="Times New Roman"/>
                      <w:color w:val="auto"/>
                      <w:sz w:val="18"/>
                      <w:szCs w:val="18"/>
                      <w:u w:val="none"/>
                      <w:lang w:eastAsia="zh-CN"/>
                    </w:rPr>
                  </w:pPr>
                  <w:r>
                    <w:rPr>
                      <w:rFonts w:hint="eastAsia" w:ascii="Times New Roman" w:hAnsi="Times New Roman" w:eastAsia="宋体" w:cs="Times New Roman"/>
                      <w:color w:val="auto"/>
                      <w:sz w:val="18"/>
                      <w:szCs w:val="18"/>
                      <w:u w:val="none"/>
                      <w:lang w:eastAsia="zh-CN"/>
                    </w:rPr>
                    <w:t>符合</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ascii="Times New Roman" w:hAnsi="Times New Roman" w:eastAsia="宋体" w:cs="Times New Roman"/>
                <w:b/>
                <w:bCs/>
                <w:color w:val="auto"/>
                <w:kern w:val="0"/>
                <w:sz w:val="24"/>
                <w:szCs w:val="24"/>
                <w:u w:val="none"/>
              </w:rPr>
            </w:pPr>
            <w:r>
              <w:rPr>
                <w:rFonts w:hint="default" w:ascii="Times New Roman" w:hAnsi="Times New Roman" w:eastAsia="宋体" w:cs="Times New Roman"/>
                <w:b/>
                <w:bCs/>
                <w:color w:val="auto"/>
                <w:kern w:val="0"/>
                <w:sz w:val="24"/>
                <w:szCs w:val="24"/>
                <w:u w:val="none"/>
              </w:rPr>
              <w:t>综上所述，本项目符合分区管控总体管控要求。</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ascii="Times New Roman" w:hAnsi="Times New Roman" w:eastAsia="宋体" w:cs="Times New Roman"/>
                <w:b/>
                <w:bCs/>
                <w:color w:val="auto"/>
                <w:kern w:val="0"/>
                <w:sz w:val="24"/>
                <w:szCs w:val="24"/>
                <w:u w:val="none"/>
              </w:rPr>
            </w:pPr>
            <w:r>
              <w:rPr>
                <w:rFonts w:hint="default" w:ascii="Times New Roman" w:hAnsi="Times New Roman" w:eastAsia="宋体" w:cs="Times New Roman"/>
                <w:b/>
                <w:bCs/>
                <w:color w:val="auto"/>
                <w:kern w:val="0"/>
                <w:sz w:val="24"/>
                <w:szCs w:val="24"/>
                <w:u w:val="none"/>
              </w:rPr>
              <w:t>2、产业政策</w:t>
            </w:r>
            <w:r>
              <w:rPr>
                <w:rFonts w:hint="default" w:ascii="Times New Roman" w:hAnsi="Times New Roman" w:eastAsia="宋体" w:cs="Times New Roman"/>
                <w:b/>
                <w:bCs/>
                <w:color w:val="auto"/>
                <w:kern w:val="0"/>
                <w:sz w:val="24"/>
                <w:szCs w:val="24"/>
                <w:u w:val="none"/>
                <w:lang w:val="en-US" w:eastAsia="zh-CN"/>
              </w:rPr>
              <w:t>合理</w:t>
            </w:r>
            <w:r>
              <w:rPr>
                <w:rFonts w:hint="default" w:ascii="Times New Roman" w:hAnsi="Times New Roman" w:eastAsia="宋体" w:cs="Times New Roman"/>
                <w:b/>
                <w:bCs/>
                <w:color w:val="auto"/>
                <w:kern w:val="0"/>
                <w:sz w:val="24"/>
                <w:szCs w:val="24"/>
                <w:u w:val="none"/>
              </w:rPr>
              <w:t>性分析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u w:val="none"/>
              </w:rPr>
            </w:pPr>
            <w:r>
              <w:rPr>
                <w:rFonts w:hint="default" w:ascii="Times New Roman" w:hAnsi="Times New Roman" w:eastAsia="宋体" w:cs="Times New Roman"/>
                <w:color w:val="auto"/>
                <w:kern w:val="0"/>
                <w:sz w:val="24"/>
                <w:szCs w:val="24"/>
                <w:u w:val="none"/>
              </w:rPr>
              <w:t>本项目属</w:t>
            </w:r>
            <w:r>
              <w:rPr>
                <w:rFonts w:hint="default" w:ascii="Times New Roman" w:hAnsi="Times New Roman" w:eastAsia="宋体" w:cs="Times New Roman"/>
                <w:color w:val="auto"/>
                <w:sz w:val="24"/>
                <w:szCs w:val="24"/>
                <w:u w:val="none"/>
                <w:lang w:val="en-US" w:eastAsia="zh-CN"/>
              </w:rPr>
              <w:t>C</w:t>
            </w:r>
            <w:r>
              <w:rPr>
                <w:rFonts w:hint="eastAsia" w:ascii="Times New Roman" w:hAnsi="Times New Roman" w:eastAsia="宋体" w:cs="Times New Roman"/>
                <w:color w:val="auto"/>
                <w:sz w:val="24"/>
                <w:szCs w:val="24"/>
                <w:u w:val="none"/>
                <w:lang w:val="en-US" w:eastAsia="zh-CN"/>
              </w:rPr>
              <w:t>4210  金属废料和碎屑加工处理</w:t>
            </w:r>
            <w:r>
              <w:rPr>
                <w:rFonts w:hint="default" w:ascii="Times New Roman" w:hAnsi="Times New Roman" w:eastAsia="宋体" w:cs="Times New Roman"/>
                <w:color w:val="auto"/>
                <w:kern w:val="0"/>
                <w:sz w:val="24"/>
                <w:szCs w:val="24"/>
                <w:u w:val="none"/>
              </w:rPr>
              <w:t>，根据《产业结构调整指导目录（2024年本）》，本项目属于“鼓励类——四十二、环境保护与资源节约综合利用——8、废弃物循环利用”。同时，项目已</w:t>
            </w:r>
            <w:r>
              <w:rPr>
                <w:rFonts w:hint="eastAsia" w:ascii="Times New Roman" w:hAnsi="Times New Roman" w:eastAsia="宋体" w:cs="Times New Roman"/>
                <w:color w:val="auto"/>
                <w:kern w:val="0"/>
                <w:sz w:val="24"/>
                <w:szCs w:val="24"/>
                <w:u w:val="none"/>
                <w:lang w:eastAsia="zh-CN"/>
              </w:rPr>
              <w:t>完成</w:t>
            </w:r>
            <w:r>
              <w:rPr>
                <w:rFonts w:hint="default" w:ascii="Times New Roman" w:hAnsi="Times New Roman" w:eastAsia="宋体" w:cs="Times New Roman"/>
                <w:color w:val="auto"/>
                <w:kern w:val="0"/>
                <w:sz w:val="24"/>
                <w:szCs w:val="24"/>
                <w:u w:val="none"/>
              </w:rPr>
              <w:t>备案</w:t>
            </w:r>
            <w:r>
              <w:rPr>
                <w:rFonts w:hint="eastAsia" w:ascii="Times New Roman" w:hAnsi="Times New Roman" w:eastAsia="宋体" w:cs="Times New Roman"/>
                <w:color w:val="auto"/>
                <w:kern w:val="0"/>
                <w:sz w:val="24"/>
                <w:szCs w:val="24"/>
                <w:u w:val="none"/>
                <w:lang w:eastAsia="zh-CN"/>
              </w:rPr>
              <w:t>证明（项目编码为</w:t>
            </w:r>
            <w:r>
              <w:rPr>
                <w:rFonts w:hint="default" w:ascii="Times New Roman" w:hAnsi="Times New Roman" w:eastAsia="宋体" w:cs="Times New Roman"/>
                <w:color w:val="auto"/>
                <w:kern w:val="0"/>
                <w:sz w:val="24"/>
                <w:szCs w:val="24"/>
                <w:u w:val="none"/>
              </w:rPr>
              <w:t>：</w:t>
            </w:r>
            <w:r>
              <w:rPr>
                <w:rFonts w:hint="eastAsia" w:ascii="Times New Roman" w:hAnsi="Times New Roman" w:eastAsia="宋体" w:cs="Times New Roman"/>
                <w:color w:val="auto"/>
                <w:kern w:val="0"/>
                <w:sz w:val="24"/>
                <w:szCs w:val="24"/>
                <w:u w:val="none"/>
                <w:lang w:eastAsia="zh-CN"/>
              </w:rPr>
              <w:t>2512-430421-04-01-506445）</w:t>
            </w:r>
            <w:r>
              <w:rPr>
                <w:rFonts w:hint="default" w:ascii="Times New Roman" w:hAnsi="Times New Roman" w:eastAsia="宋体" w:cs="Times New Roman"/>
                <w:color w:val="auto"/>
                <w:kern w:val="0"/>
                <w:sz w:val="24"/>
                <w:szCs w:val="24"/>
                <w:u w:val="none"/>
              </w:rPr>
              <w:t>（见附件6），故项目建设符合国家产业政策。</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Ansi="Times New Roman"/>
                <w:b/>
              </w:rPr>
            </w:pPr>
            <w:r>
              <w:rPr>
                <w:rFonts w:hint="eastAsia" w:ascii="Times New Roman" w:hAnsi="Times New Roman" w:eastAsia="宋体" w:cs="Times New Roman"/>
                <w:b/>
                <w:bCs/>
                <w:color w:val="auto"/>
                <w:kern w:val="0"/>
                <w:sz w:val="24"/>
                <w:szCs w:val="24"/>
                <w:u w:val="none"/>
                <w:lang w:val="en-US" w:eastAsia="zh-CN"/>
              </w:rPr>
              <w:t>3</w:t>
            </w:r>
            <w:r>
              <w:rPr>
                <w:rFonts w:hint="default" w:ascii="Times New Roman" w:hAnsi="Times New Roman" w:eastAsia="宋体" w:cs="Times New Roman"/>
                <w:b/>
                <w:bCs/>
                <w:color w:val="auto"/>
                <w:kern w:val="0"/>
                <w:sz w:val="24"/>
                <w:szCs w:val="24"/>
                <w:u w:val="none"/>
              </w:rPr>
              <w:t>、</w:t>
            </w:r>
            <w:r>
              <w:rPr>
                <w:rFonts w:hAnsi="Times New Roman"/>
                <w:b/>
                <w:bCs/>
                <w:color w:val="000000"/>
                <w:kern w:val="0"/>
                <w:szCs w:val="24"/>
                <w:lang w:bidi="ar"/>
              </w:rPr>
              <w:t>本项目与</w:t>
            </w:r>
            <w:r>
              <w:rPr>
                <w:rFonts w:hint="eastAsia" w:hAnsi="Times New Roman"/>
                <w:b/>
                <w:bCs/>
                <w:color w:val="000000"/>
                <w:kern w:val="0"/>
                <w:szCs w:val="24"/>
                <w:lang w:eastAsia="zh-CN" w:bidi="ar"/>
              </w:rPr>
              <w:t>衡阳县</w:t>
            </w:r>
            <w:r>
              <w:rPr>
                <w:rFonts w:hAnsi="Times New Roman"/>
                <w:b/>
                <w:bCs/>
                <w:color w:val="000000"/>
                <w:kern w:val="0"/>
                <w:szCs w:val="24"/>
                <w:lang w:bidi="ar"/>
              </w:rPr>
              <w:t>“三区三线”符合性分析</w:t>
            </w:r>
          </w:p>
          <w:p>
            <w:pPr>
              <w:pStyle w:val="86"/>
              <w:adjustRightInd w:val="0"/>
              <w:snapToGrid w:val="0"/>
              <w:rPr>
                <w:rFonts w:hAnsi="Times New Roman"/>
                <w:bCs/>
              </w:rPr>
            </w:pPr>
            <w:r>
              <w:rPr>
                <w:rFonts w:hAnsi="Times New Roman"/>
                <w:bCs/>
              </w:rPr>
              <w:t>三区三线”中“三区”是指城镇空间、农业空间、生态空间，“三线”分别对应城镇空间、农业空间、生态空间划定的城镇开发边界线、永久基本农田、生态环境保护红线三条控制线。</w:t>
            </w:r>
          </w:p>
          <w:p>
            <w:pPr>
              <w:pStyle w:val="86"/>
              <w:adjustRightInd w:val="0"/>
              <w:snapToGrid w:val="0"/>
              <w:rPr>
                <w:rFonts w:hAnsi="Times New Roman"/>
                <w:bCs/>
              </w:rPr>
            </w:pPr>
            <w:r>
              <w:rPr>
                <w:rFonts w:hint="eastAsia" w:hAnsi="Times New Roman"/>
                <w:bCs/>
                <w:lang w:eastAsia="zh-CN"/>
              </w:rPr>
              <w:t>本项目位于湖南衡阳西渡高新技术产业开发园区范围内，</w:t>
            </w:r>
            <w:r>
              <w:rPr>
                <w:rFonts w:hAnsi="Times New Roman"/>
                <w:bCs/>
              </w:rPr>
              <w:t>未涉及永久基本农田和生态保护红线。</w:t>
            </w:r>
          </w:p>
          <w:p>
            <w:pPr>
              <w:pStyle w:val="86"/>
              <w:adjustRightInd w:val="0"/>
              <w:snapToGrid w:val="0"/>
              <w:rPr>
                <w:rFonts w:hAnsi="Times New Roman"/>
                <w:bCs/>
              </w:rPr>
            </w:pPr>
            <w:r>
              <w:rPr>
                <w:rFonts w:hAnsi="Times New Roman"/>
                <w:bCs/>
              </w:rPr>
              <w:t>因此，本项目建设与</w:t>
            </w:r>
            <w:r>
              <w:rPr>
                <w:rFonts w:hint="eastAsia" w:hAnsi="Times New Roman"/>
                <w:bCs/>
                <w:lang w:eastAsia="zh-CN"/>
              </w:rPr>
              <w:t>衡阳县</w:t>
            </w:r>
            <w:r>
              <w:rPr>
                <w:rFonts w:hAnsi="Times New Roman"/>
                <w:bCs/>
              </w:rPr>
              <w:t>“三区三线”相符。</w:t>
            </w:r>
          </w:p>
          <w:p>
            <w:pPr>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ascii="Times New Roman" w:hAnsi="Times New Roman" w:eastAsia="宋体" w:cs="Times New Roman"/>
                <w:b/>
                <w:bCs/>
                <w:color w:val="auto"/>
                <w:kern w:val="0"/>
                <w:sz w:val="24"/>
                <w:szCs w:val="24"/>
                <w:u w:val="none"/>
                <w:lang w:val="en-US" w:eastAsia="zh-CN"/>
              </w:rPr>
            </w:pPr>
            <w:r>
              <w:rPr>
                <w:rFonts w:hint="eastAsia" w:ascii="Times New Roman" w:hAnsi="Times New Roman" w:eastAsia="宋体" w:cs="Times New Roman"/>
                <w:b/>
                <w:bCs/>
                <w:color w:val="auto"/>
                <w:kern w:val="0"/>
                <w:sz w:val="24"/>
                <w:szCs w:val="24"/>
                <w:u w:val="none"/>
                <w:lang w:val="en-US" w:eastAsia="zh-CN"/>
              </w:rPr>
              <w:t>4</w:t>
            </w:r>
            <w:r>
              <w:rPr>
                <w:rFonts w:hint="default" w:ascii="Times New Roman" w:hAnsi="Times New Roman" w:eastAsia="宋体" w:cs="Times New Roman"/>
                <w:b/>
                <w:bCs/>
                <w:color w:val="auto"/>
                <w:kern w:val="0"/>
                <w:sz w:val="24"/>
                <w:szCs w:val="24"/>
                <w:u w:val="none"/>
                <w:lang w:val="en-US" w:eastAsia="zh-CN"/>
              </w:rPr>
              <w:t>、《市场准入负面清单（2020年版）》符合性分析</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b/>
                <w:bCs/>
                <w:color w:val="auto"/>
                <w:kern w:val="0"/>
                <w:sz w:val="24"/>
                <w:szCs w:val="24"/>
                <w:u w:val="none"/>
                <w:lang w:val="en-US" w:eastAsia="zh-CN"/>
              </w:rPr>
            </w:pPr>
            <w:r>
              <w:rPr>
                <w:rFonts w:hint="default" w:ascii="Times New Roman" w:hAnsi="Times New Roman" w:eastAsia="宋体" w:cs="Times New Roman"/>
                <w:color w:val="auto"/>
                <w:kern w:val="0"/>
                <w:sz w:val="24"/>
                <w:szCs w:val="24"/>
                <w:u w:val="none"/>
              </w:rPr>
              <w:t>本项目属</w:t>
            </w:r>
            <w:r>
              <w:rPr>
                <w:rFonts w:hint="default" w:ascii="Times New Roman" w:hAnsi="Times New Roman" w:eastAsia="宋体" w:cs="Times New Roman"/>
                <w:color w:val="auto"/>
                <w:sz w:val="24"/>
                <w:szCs w:val="24"/>
                <w:u w:val="none"/>
                <w:lang w:val="en-US" w:eastAsia="zh-CN"/>
              </w:rPr>
              <w:t>C</w:t>
            </w:r>
            <w:r>
              <w:rPr>
                <w:rFonts w:hint="eastAsia" w:ascii="Times New Roman" w:hAnsi="Times New Roman" w:eastAsia="宋体" w:cs="Times New Roman"/>
                <w:color w:val="auto"/>
                <w:sz w:val="24"/>
                <w:szCs w:val="24"/>
                <w:u w:val="none"/>
                <w:lang w:val="en-US" w:eastAsia="zh-CN"/>
              </w:rPr>
              <w:t>4210  金属废料和碎屑加工处理</w:t>
            </w:r>
            <w:r>
              <w:rPr>
                <w:rFonts w:hint="default" w:ascii="Times New Roman" w:hAnsi="Times New Roman" w:eastAsia="宋体" w:cs="Times New Roman"/>
                <w:color w:val="auto"/>
                <w:sz w:val="24"/>
                <w:szCs w:val="24"/>
                <w:u w:val="none"/>
                <w:lang w:eastAsia="zh-CN"/>
              </w:rPr>
              <w:t>，根据《市场准入负面清单（2020年版）》，本项目不是属于禁止类建设项目范围。因此项目符合相关要求。</w:t>
            </w:r>
          </w:p>
          <w:p>
            <w:pPr>
              <w:pStyle w:val="76"/>
              <w:keepNext w:val="0"/>
              <w:keepLines w:val="0"/>
              <w:pageBreakBefore w:val="0"/>
              <w:widowControl w:val="0"/>
              <w:kinsoku/>
              <w:wordWrap/>
              <w:overflowPunct/>
              <w:topLinePunct w:val="0"/>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u w:val="none"/>
              </w:rPr>
            </w:pPr>
            <w:r>
              <w:rPr>
                <w:rFonts w:hint="eastAsia" w:cs="Times New Roman"/>
                <w:b/>
                <w:bCs/>
                <w:color w:val="auto"/>
                <w:sz w:val="24"/>
                <w:szCs w:val="24"/>
                <w:u w:val="none"/>
                <w:lang w:val="en-US" w:eastAsia="zh-CN"/>
              </w:rPr>
              <w:t>5、</w:t>
            </w:r>
            <w:r>
              <w:rPr>
                <w:rFonts w:hint="default" w:ascii="Times New Roman" w:hAnsi="Times New Roman" w:eastAsia="宋体" w:cs="Times New Roman"/>
                <w:b/>
                <w:bCs/>
                <w:color w:val="auto"/>
                <w:sz w:val="24"/>
                <w:szCs w:val="24"/>
                <w:u w:val="none"/>
                <w:lang w:val="en-US" w:eastAsia="zh-CN"/>
              </w:rPr>
              <w:t>项目与</w:t>
            </w:r>
            <w:r>
              <w:rPr>
                <w:rFonts w:hint="eastAsia" w:cs="Times New Roman"/>
                <w:b/>
                <w:bCs/>
                <w:color w:val="auto"/>
                <w:sz w:val="24"/>
                <w:szCs w:val="24"/>
                <w:u w:val="none"/>
                <w:lang w:val="en-US" w:eastAsia="zh-CN"/>
              </w:rPr>
              <w:t>《关于发布衡阳西渡高新技术产业园区边界面积及四至范围的通知》（</w:t>
            </w:r>
            <w:r>
              <w:rPr>
                <w:rFonts w:hint="default" w:ascii="Times New Roman" w:hAnsi="Times New Roman" w:eastAsia="宋体" w:cs="Times New Roman"/>
                <w:b/>
                <w:bCs/>
                <w:color w:val="auto"/>
                <w:sz w:val="24"/>
                <w:szCs w:val="24"/>
                <w:u w:val="none"/>
                <w:lang w:val="en-US" w:eastAsia="zh-CN"/>
              </w:rPr>
              <w:t>湘发改园区〔2022〕601号</w:t>
            </w:r>
            <w:r>
              <w:rPr>
                <w:rFonts w:hint="eastAsia" w:cs="Times New Roman"/>
                <w:b/>
                <w:bCs/>
                <w:color w:val="auto"/>
                <w:sz w:val="24"/>
                <w:szCs w:val="24"/>
                <w:u w:val="none"/>
                <w:lang w:val="en-US" w:eastAsia="zh-CN"/>
              </w:rPr>
              <w:t>）</w:t>
            </w:r>
            <w:r>
              <w:rPr>
                <w:rFonts w:hint="default" w:ascii="Times New Roman" w:hAnsi="Times New Roman" w:eastAsia="宋体" w:cs="Times New Roman"/>
                <w:b/>
                <w:bCs/>
                <w:color w:val="auto"/>
                <w:sz w:val="24"/>
                <w:szCs w:val="24"/>
                <w:u w:val="none"/>
                <w:lang w:val="en-US" w:eastAsia="zh-CN"/>
              </w:rPr>
              <w:t>符合性分析</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u w:val="wave"/>
                <w:lang w:val="en-US" w:eastAsia="zh-CN"/>
              </w:rPr>
            </w:pPr>
            <w:r>
              <w:rPr>
                <w:rFonts w:hint="eastAsia" w:cs="Times New Roman"/>
                <w:color w:val="auto"/>
                <w:sz w:val="24"/>
                <w:szCs w:val="24"/>
                <w:u w:val="wave"/>
                <w:lang w:val="zh-CN"/>
              </w:rPr>
              <w:t>根据《关于发布衡阳西渡高新技术产业园区边界面积及四至范围的通知》（湘发改园区〔2022〕601号），核定衡阳西渡高新技术产业园区面积共</w:t>
            </w:r>
            <w:r>
              <w:rPr>
                <w:rFonts w:hint="eastAsia" w:cs="Times New Roman"/>
                <w:color w:val="auto"/>
                <w:sz w:val="24"/>
                <w:szCs w:val="24"/>
                <w:u w:val="wave"/>
                <w:lang w:val="en-US" w:eastAsia="zh-CN"/>
              </w:rPr>
              <w:t>1007.11公顷，区块三的四至范围描述为：东至石冲水库，南至S336省道，西至肖家冲，北至彩堂塆。</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u w:val="wave"/>
                <w:lang w:val="en-US" w:eastAsia="zh-CN"/>
              </w:rPr>
            </w:pPr>
            <w:r>
              <w:rPr>
                <w:rFonts w:hint="eastAsia" w:cs="Times New Roman"/>
                <w:color w:val="auto"/>
                <w:sz w:val="24"/>
                <w:szCs w:val="24"/>
                <w:u w:val="wave"/>
                <w:lang w:val="zh-CN"/>
              </w:rPr>
              <w:t>叠加衡阳西渡高新技术产业园区边界范围图（一）后，项目位于区块三范围内，具体详见附图</w:t>
            </w:r>
            <w:r>
              <w:rPr>
                <w:rFonts w:hint="eastAsia" w:cs="Times New Roman"/>
                <w:color w:val="auto"/>
                <w:sz w:val="24"/>
                <w:szCs w:val="24"/>
                <w:u w:val="wave"/>
                <w:lang w:val="en-US" w:eastAsia="zh-CN"/>
              </w:rPr>
              <w:t>6。</w:t>
            </w:r>
          </w:p>
          <w:p>
            <w:pPr>
              <w:pStyle w:val="76"/>
              <w:keepNext w:val="0"/>
              <w:keepLines w:val="0"/>
              <w:pageBreakBefore w:val="0"/>
              <w:widowControl w:val="0"/>
              <w:kinsoku/>
              <w:wordWrap/>
              <w:overflowPunct/>
              <w:topLinePunct w:val="0"/>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u w:val="none"/>
              </w:rPr>
            </w:pPr>
            <w:r>
              <w:rPr>
                <w:rFonts w:hint="eastAsia" w:cs="Times New Roman"/>
                <w:b/>
                <w:bCs/>
                <w:color w:val="auto"/>
                <w:sz w:val="24"/>
                <w:szCs w:val="24"/>
                <w:u w:val="none"/>
                <w:lang w:val="en-US" w:eastAsia="zh-CN"/>
              </w:rPr>
              <w:t>6</w:t>
            </w:r>
            <w:r>
              <w:rPr>
                <w:rFonts w:hint="default" w:ascii="Times New Roman" w:hAnsi="Times New Roman" w:eastAsia="宋体" w:cs="Times New Roman"/>
                <w:b/>
                <w:bCs/>
                <w:color w:val="auto"/>
                <w:sz w:val="24"/>
                <w:szCs w:val="24"/>
                <w:u w:val="none"/>
                <w:lang w:val="en-US" w:eastAsia="zh-CN"/>
              </w:rPr>
              <w:t>、</w:t>
            </w:r>
            <w:r>
              <w:rPr>
                <w:rFonts w:hint="default" w:ascii="Times New Roman" w:hAnsi="Times New Roman" w:eastAsia="宋体" w:cs="Times New Roman"/>
                <w:b/>
                <w:bCs/>
                <w:color w:val="auto"/>
                <w:sz w:val="24"/>
                <w:szCs w:val="24"/>
                <w:u w:val="none"/>
              </w:rPr>
              <w:t>选址合理性分析</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color w:val="auto"/>
                <w:sz w:val="24"/>
                <w:szCs w:val="24"/>
                <w:u w:val="wave"/>
              </w:rPr>
            </w:pPr>
            <w:r>
              <w:rPr>
                <w:rFonts w:hint="default" w:ascii="Times New Roman" w:hAnsi="Times New Roman" w:eastAsia="宋体" w:cs="Times New Roman"/>
                <w:color w:val="auto"/>
                <w:sz w:val="24"/>
                <w:szCs w:val="24"/>
                <w:u w:val="wave"/>
                <w:lang w:val="zh-CN"/>
              </w:rPr>
              <w:t>项目位于衡阳市</w:t>
            </w:r>
            <w:r>
              <w:rPr>
                <w:rFonts w:hint="eastAsia" w:ascii="宋体" w:hAnsi="宋体"/>
                <w:color w:val="auto"/>
                <w:sz w:val="24"/>
                <w:szCs w:val="24"/>
                <w:u w:val="wave"/>
                <w:lang w:val="zh-CN"/>
              </w:rPr>
              <w:t>衡阳县阳古社区湖南衡利丰陶瓷有限公司内</w:t>
            </w:r>
            <w:r>
              <w:rPr>
                <w:rFonts w:hint="default" w:ascii="Times New Roman" w:hAnsi="Times New Roman" w:eastAsia="宋体" w:cs="Times New Roman"/>
                <w:color w:val="auto"/>
                <w:sz w:val="24"/>
                <w:szCs w:val="24"/>
                <w:u w:val="wave"/>
                <w:lang w:val="zh-CN"/>
              </w:rPr>
              <w:t>，</w:t>
            </w:r>
            <w:r>
              <w:rPr>
                <w:rFonts w:hint="eastAsia" w:ascii="Times New Roman" w:hAnsi="Times New Roman" w:eastAsia="宋体" w:cs="Times New Roman"/>
                <w:color w:val="auto"/>
                <w:sz w:val="24"/>
                <w:szCs w:val="24"/>
                <w:u w:val="wave"/>
                <w:lang w:val="zh-CN"/>
              </w:rPr>
              <w:t>利用其闲置厂房（已拆除全部生产设备）进行生产，用地属性为工业用地</w:t>
            </w:r>
            <w:r>
              <w:rPr>
                <w:color w:val="auto"/>
                <w:sz w:val="24"/>
                <w:szCs w:val="24"/>
                <w:u w:val="wave"/>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bCs/>
                <w:color w:val="auto"/>
                <w:kern w:val="0"/>
                <w:sz w:val="24"/>
                <w:szCs w:val="24"/>
                <w:u w:val="none"/>
                <w:lang w:val="en-US" w:eastAsia="zh-CN"/>
              </w:rPr>
            </w:pPr>
            <w:r>
              <w:rPr>
                <w:rFonts w:hint="eastAsia"/>
                <w:color w:val="auto"/>
                <w:sz w:val="24"/>
                <w:szCs w:val="24"/>
                <w:u w:val="wave"/>
              </w:rPr>
              <w:t>项目周边无自然保护区、风景名胜区、森林公园、饮用水水源保护区、重要湖泊周边、文物古迹所在地、地质遗迹保护区、基本周边农田保护区等环境敏感区域。项目地区域环境质量较好，营运期各类污染物均可通过有效措施进行防治，对环境影响较小。综上所述，从环境保护角度分析，本项目选址合理、可行。</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 w:val="30"/>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 w:val="30"/>
          <w:u w:val="none"/>
          <w:lang w:val="en-US" w:eastAsia="zh-CN"/>
        </w:rPr>
        <w:sectPr>
          <w:footerReference r:id="rId5" w:type="default"/>
          <w:pgSz w:w="11905" w:h="16838"/>
          <w:pgMar w:top="1701" w:right="1531" w:bottom="1701" w:left="1531" w:header="851" w:footer="850" w:gutter="0"/>
          <w:pgBorders>
            <w:top w:val="none" w:sz="0" w:space="0"/>
            <w:left w:val="none" w:sz="0" w:space="0"/>
            <w:bottom w:val="none" w:sz="0" w:space="0"/>
            <w:right w:val="none" w:sz="0" w:space="0"/>
          </w:pgBorders>
          <w:pgNumType w:start="1"/>
          <w:cols w:space="720" w:num="1"/>
          <w:rtlGutter w:val="0"/>
          <w:docGrid w:type="lines"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1"/>
        <w:gridCol w:w="12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8" w:hRule="atLeast"/>
        </w:trPr>
        <w:tc>
          <w:tcPr>
            <w:tcW w:w="1301" w:type="dxa"/>
            <w:noWrap w:val="0"/>
            <w:vAlign w:val="top"/>
          </w:tcPr>
          <w:p>
            <w:pPr>
              <w:keepNext w:val="0"/>
              <w:keepLines w:val="0"/>
              <w:pageBreakBefore w:val="0"/>
              <w:kinsoku/>
              <w:wordWrap/>
              <w:overflowPunct/>
              <w:topLinePunct w:val="0"/>
              <w:bidi w:val="0"/>
              <w:adjustRightInd/>
              <w:snapToGrid/>
              <w:spacing w:line="360" w:lineRule="auto"/>
              <w:outlineLvl w:val="0"/>
              <w:rPr>
                <w:rFonts w:hint="eastAsia" w:ascii="Times New Roman" w:hAnsi="Times New Roman" w:eastAsia="宋体" w:cs="Times New Roman"/>
                <w:color w:val="auto"/>
                <w:sz w:val="30"/>
                <w:u w:val="none"/>
                <w:vertAlign w:val="baseline"/>
                <w:lang w:val="en-US" w:eastAsia="zh-CN"/>
              </w:rPr>
            </w:pPr>
          </w:p>
        </w:tc>
        <w:tc>
          <w:tcPr>
            <w:tcW w:w="12351" w:type="dxa"/>
            <w:noWrap w:val="0"/>
            <w:vAlign w:val="top"/>
          </w:tcPr>
          <w:p>
            <w:pPr>
              <w:spacing w:line="360" w:lineRule="auto"/>
              <w:outlineLvl w:val="2"/>
              <w:rPr>
                <w:rFonts w:ascii="Times New Roman" w:hAnsi="Times New Roman"/>
                <w:b/>
                <w:color w:val="auto"/>
                <w:sz w:val="24"/>
              </w:rPr>
            </w:pPr>
            <w:r>
              <w:rPr>
                <w:rFonts w:hint="eastAsia" w:ascii="Times New Roman" w:hAnsi="Times New Roman"/>
                <w:b/>
                <w:color w:val="auto"/>
                <w:sz w:val="24"/>
                <w:lang w:val="en-US" w:eastAsia="zh-CN"/>
              </w:rPr>
              <w:t>6</w:t>
            </w:r>
            <w:r>
              <w:rPr>
                <w:rFonts w:ascii="Times New Roman" w:hAnsi="Times New Roman"/>
                <w:b/>
                <w:color w:val="auto"/>
                <w:sz w:val="24"/>
              </w:rPr>
              <w:t>、与《报废机动车回收管理办法》（国务院令第715号）相符性分析</w:t>
            </w:r>
          </w:p>
          <w:p>
            <w:pPr>
              <w:autoSpaceDE w:val="0"/>
              <w:autoSpaceDN w:val="0"/>
              <w:adjustRightInd w:val="0"/>
              <w:snapToGrid w:val="0"/>
              <w:spacing w:line="360" w:lineRule="auto"/>
              <w:ind w:firstLine="360" w:firstLineChars="150"/>
              <w:jc w:val="left"/>
              <w:rPr>
                <w:rFonts w:ascii="Times New Roman" w:hAnsi="Times New Roman"/>
                <w:color w:val="auto"/>
                <w:sz w:val="24"/>
                <w:szCs w:val="22"/>
              </w:rPr>
            </w:pPr>
            <w:r>
              <w:rPr>
                <w:rFonts w:ascii="Times New Roman" w:hAnsi="Times New Roman"/>
                <w:color w:val="auto"/>
                <w:sz w:val="24"/>
                <w:szCs w:val="22"/>
              </w:rPr>
              <w:t>本项目与《报废机动车回收管理办法》（国务院令第715号）相符性分析如下表所示。</w:t>
            </w: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Times New Roman" w:hAnsi="Times New Roman"/>
                <w:b/>
                <w:bCs/>
                <w:color w:val="auto"/>
                <w:sz w:val="24"/>
                <w:szCs w:val="22"/>
              </w:rPr>
            </w:pPr>
            <w:r>
              <w:rPr>
                <w:rFonts w:ascii="Times New Roman" w:hAnsi="Times New Roman"/>
                <w:b/>
                <w:bCs/>
                <w:color w:val="auto"/>
                <w:sz w:val="21"/>
                <w:szCs w:val="20"/>
              </w:rPr>
              <w:t>表1-</w:t>
            </w:r>
            <w:r>
              <w:rPr>
                <w:rFonts w:hint="eastAsia" w:ascii="Times New Roman" w:hAnsi="Times New Roman"/>
                <w:b/>
                <w:bCs/>
                <w:color w:val="auto"/>
                <w:sz w:val="21"/>
                <w:szCs w:val="20"/>
                <w:lang w:val="en-US" w:eastAsia="zh-CN"/>
              </w:rPr>
              <w:t>5</w:t>
            </w:r>
            <w:r>
              <w:rPr>
                <w:rFonts w:ascii="Times New Roman" w:hAnsi="Times New Roman"/>
                <w:b/>
                <w:bCs/>
                <w:color w:val="auto"/>
                <w:sz w:val="21"/>
                <w:szCs w:val="20"/>
              </w:rPr>
              <w:t xml:space="preserve"> </w:t>
            </w:r>
            <w:r>
              <w:rPr>
                <w:rFonts w:hint="eastAsia" w:ascii="Times New Roman" w:hAnsi="Times New Roman"/>
                <w:b/>
                <w:bCs/>
                <w:color w:val="auto"/>
                <w:sz w:val="21"/>
                <w:szCs w:val="20"/>
                <w:lang w:val="en-US" w:eastAsia="zh-CN"/>
              </w:rPr>
              <w:t xml:space="preserve"> 项目</w:t>
            </w:r>
            <w:r>
              <w:rPr>
                <w:rFonts w:ascii="Times New Roman" w:hAnsi="Times New Roman"/>
                <w:b/>
                <w:bCs/>
                <w:color w:val="auto"/>
                <w:sz w:val="21"/>
                <w:szCs w:val="20"/>
              </w:rPr>
              <w:t>与《报废机动车回收管理办法》相符性一览表</w:t>
            </w:r>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4"/>
              <w:gridCol w:w="5284"/>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rPr>
                      <w:b/>
                      <w:bCs/>
                    </w:rPr>
                  </w:pPr>
                  <w:r>
                    <w:rPr>
                      <w:b/>
                      <w:bCs/>
                    </w:rPr>
                    <w:t>规范要求</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rPr>
                      <w:b/>
                      <w:bCs/>
                    </w:rPr>
                  </w:pPr>
                  <w:r>
                    <w:rPr>
                      <w:b/>
                      <w:bCs/>
                    </w:rPr>
                    <w:t>本项目情况</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rPr>
                      <w:b/>
                      <w:bCs/>
                    </w:rPr>
                  </w:pPr>
                  <w:r>
                    <w:rPr>
                      <w:b/>
                      <w:bCs/>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t>报废机动车回收企业对回收的报废机动车，应当向机动车所有人出具《报废机动车回收证明》，收回机动车登记证书、号牌、行驶证，并按照国家有关规定及时向公安机关交通管理部门办理注销登记，将注销证明转交机动车所有人</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rFonts w:hint="eastAsia" w:eastAsia="宋体"/>
                      <w:lang w:eastAsia="zh-CN"/>
                    </w:rPr>
                  </w:pPr>
                  <w:r>
                    <w:rPr>
                      <w:rFonts w:hint="eastAsia"/>
                    </w:rPr>
                    <w:t>对于进厂的报废机动车出具国务院负责报废机动车回收管理的部门规定的</w:t>
                  </w:r>
                  <w:r>
                    <w:t>《报废机动车回收证明》</w:t>
                  </w:r>
                  <w:r>
                    <w:rPr>
                      <w:rFonts w:hint="eastAsia"/>
                    </w:rPr>
                    <w:t>，同时</w:t>
                  </w:r>
                  <w:r>
                    <w:t>收回机动车登记证书、号牌、行驶证</w:t>
                  </w:r>
                  <w:r>
                    <w:rPr>
                      <w:rFonts w:hint="eastAsia"/>
                    </w:rPr>
                    <w:t>，并办理注销登记，</w:t>
                  </w:r>
                  <w:r>
                    <w:t>将注销证明转交机动车所有人</w:t>
                  </w:r>
                  <w:r>
                    <w:rPr>
                      <w:rFonts w:hint="eastAsia"/>
                      <w:lang w:eastAsia="zh-CN"/>
                    </w:rPr>
                    <w:t>。</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rPr>
                      <w:rFonts w:hint="eastAsia"/>
                    </w:rPr>
                    <w:t>报废机动车回收企业对回收的报废机动车，应当逐车登记机动车的型号、号牌号码、发动机号码、车辆识别代号等信息；发现回收的报废机动车疑似赃物或者用于盗窃、抢劫等犯罪活动的犯罪工具的，应当及时向公安机关报告。</w:t>
                  </w:r>
                </w:p>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rPr>
                      <w:rFonts w:hint="eastAsia"/>
                    </w:rPr>
                    <w:t>报废机动车回收企业不得拆解、改装、拼装、倒卖疑似赃物或者犯罪工具的机动车或者其发动机、方向机、变速器、前后桥、车架（以下统称</w:t>
                  </w:r>
                  <w:r>
                    <w:rPr>
                      <w:rFonts w:hint="eastAsia"/>
                      <w:lang w:eastAsia="zh-CN"/>
                    </w:rPr>
                    <w:t>“</w:t>
                  </w:r>
                  <w:r>
                    <w:rPr>
                      <w:rFonts w:hint="eastAsia"/>
                    </w:rPr>
                    <w:t>五大总成</w:t>
                  </w:r>
                  <w:r>
                    <w:rPr>
                      <w:rFonts w:hint="eastAsia"/>
                      <w:lang w:eastAsia="zh-CN"/>
                    </w:rPr>
                    <w:t>”</w:t>
                  </w:r>
                  <w:r>
                    <w:rPr>
                      <w:rFonts w:hint="eastAsia"/>
                    </w:rPr>
                    <w:t>）和其他零部件。</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rFonts w:hint="eastAsia"/>
                    </w:rPr>
                  </w:pPr>
                  <w:r>
                    <w:rPr>
                      <w:rFonts w:hint="eastAsia"/>
                    </w:rPr>
                    <w:t>明确进厂报废机动车来源，发现回收的报废机动车疑似赃物或者用于盗窃、抢劫等犯罪活动的犯罪工具的，及时向公安机关报告。</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rPr>
                      <w:rFonts w:hint="eastAsia"/>
                    </w:rPr>
                    <w:t>回收的报废机动车必须按照有关规定予以拆解；其中，回收的报废大型客车、货车等营运车辆和校车，应当在公安机关的监督下解体。</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rFonts w:hint="eastAsia"/>
                    </w:rPr>
                  </w:pPr>
                  <w:r>
                    <w:rPr>
                      <w:rFonts w:hint="eastAsia"/>
                    </w:rPr>
                    <w:t>厂区大型客车、货车等营运车辆的拆解场所，设置监控视频并与公安系统联网。</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t>拆解的报废机动车</w:t>
                  </w:r>
                  <w:r>
                    <w:rPr>
                      <w:rFonts w:hint="eastAsia"/>
                      <w:lang w:eastAsia="zh-CN"/>
                    </w:rPr>
                    <w:t>“</w:t>
                  </w:r>
                  <w:r>
                    <w:t>五大总成</w:t>
                  </w:r>
                  <w:r>
                    <w:rPr>
                      <w:rFonts w:hint="eastAsia"/>
                      <w:lang w:eastAsia="zh-CN"/>
                    </w:rPr>
                    <w:t>”</w:t>
                  </w:r>
                  <w:r>
                    <w:t>具备再制造条件的，可以按照国家有关规定出售给具有再制造能力的企业经过再制造予以循环利用；不具备再制造条件的，应当作为废金属，交售给钢铁企业作为冶炼原料。</w:t>
                  </w:r>
                </w:p>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lang w:val="en-US" w:eastAsia="zh-CN"/>
                    </w:rPr>
                  </w:pPr>
                  <w:r>
                    <w:rPr>
                      <w:lang w:val="en-US" w:eastAsia="zh-CN"/>
                    </w:rPr>
                    <w:t>拆解的报废机动车</w:t>
                  </w:r>
                  <w:r>
                    <w:rPr>
                      <w:rFonts w:hint="eastAsia"/>
                      <w:lang w:val="en-US" w:eastAsia="zh-CN"/>
                    </w:rPr>
                    <w:t>“</w:t>
                  </w:r>
                  <w:r>
                    <w:rPr>
                      <w:lang w:val="en-US" w:eastAsia="zh-CN"/>
                    </w:rPr>
                    <w:t>五大总成</w:t>
                  </w:r>
                  <w:r>
                    <w:rPr>
                      <w:rFonts w:hint="eastAsia"/>
                      <w:lang w:val="en-US" w:eastAsia="zh-CN"/>
                    </w:rPr>
                    <w:t>”</w:t>
                  </w:r>
                  <w:r>
                    <w:rPr>
                      <w:lang w:val="en-US" w:eastAsia="zh-CN"/>
                    </w:rPr>
                    <w:t>以外的零部件符合保障人身和财产安全等强制性国家标准，能够继续使用的，可以出售，但应当标明</w:t>
                  </w:r>
                  <w:r>
                    <w:rPr>
                      <w:rFonts w:hint="eastAsia"/>
                      <w:lang w:val="en-US" w:eastAsia="zh-CN"/>
                    </w:rPr>
                    <w:t>“</w:t>
                  </w:r>
                  <w:r>
                    <w:rPr>
                      <w:lang w:val="en-US" w:eastAsia="zh-CN"/>
                    </w:rPr>
                    <w:t>报废机动车回用件</w:t>
                  </w:r>
                  <w:r>
                    <w:rPr>
                      <w:rFonts w:hint="eastAsia"/>
                      <w:lang w:val="en-US" w:eastAsia="zh-CN"/>
                    </w:rPr>
                    <w:t>”</w:t>
                  </w:r>
                  <w:r>
                    <w:rPr>
                      <w:lang w:val="en-US" w:eastAsia="zh-CN"/>
                    </w:rPr>
                    <w:t>。</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rPr>
                      <w:rFonts w:hint="eastAsia"/>
                    </w:rPr>
                    <w:t>项目拆解的</w:t>
                  </w:r>
                  <w:r>
                    <w:rPr>
                      <w:rFonts w:hint="eastAsia"/>
                      <w:lang w:eastAsia="zh-CN"/>
                    </w:rPr>
                    <w:t>“</w:t>
                  </w:r>
                  <w:r>
                    <w:t>五大总成</w:t>
                  </w:r>
                  <w:r>
                    <w:rPr>
                      <w:rFonts w:hint="eastAsia"/>
                      <w:lang w:eastAsia="zh-CN"/>
                    </w:rPr>
                    <w:t>”</w:t>
                  </w:r>
                  <w:r>
                    <w:t>具备再制造条件的</w:t>
                  </w:r>
                  <w:r>
                    <w:rPr>
                      <w:rFonts w:hint="eastAsia"/>
                    </w:rPr>
                    <w:t>，</w:t>
                  </w:r>
                  <w:r>
                    <w:t>按照国家有关规定出售给具有再制造能力的企业经过再制造予以循环利用</w:t>
                  </w:r>
                  <w:r>
                    <w:rPr>
                      <w:rFonts w:hint="eastAsia"/>
                    </w:rPr>
                    <w:t>，</w:t>
                  </w:r>
                  <w:r>
                    <w:t>不具备再制造条件的，作为废金属，交售给钢铁企业作为冶炼原料。</w:t>
                  </w:r>
                </w:p>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rFonts w:hint="eastAsia"/>
                    </w:rPr>
                  </w:pPr>
                  <w:r>
                    <w:rPr>
                      <w:rFonts w:hint="eastAsia"/>
                      <w:lang w:eastAsia="zh-CN"/>
                    </w:rPr>
                    <w:t>“</w:t>
                  </w:r>
                  <w:r>
                    <w:t>五大总成</w:t>
                  </w:r>
                  <w:r>
                    <w:rPr>
                      <w:rFonts w:hint="eastAsia"/>
                      <w:lang w:eastAsia="zh-CN"/>
                    </w:rPr>
                    <w:t>”</w:t>
                  </w:r>
                  <w:r>
                    <w:t>以外能够继续使用的零部件</w:t>
                  </w:r>
                  <w:r>
                    <w:rPr>
                      <w:rFonts w:hint="eastAsia"/>
                    </w:rPr>
                    <w:t>，标明</w:t>
                  </w:r>
                  <w:r>
                    <w:rPr>
                      <w:rFonts w:hint="eastAsia"/>
                      <w:lang w:eastAsia="zh-CN"/>
                    </w:rPr>
                    <w:t>“</w:t>
                  </w:r>
                  <w:r>
                    <w:t>报废机动车回用件</w:t>
                  </w:r>
                  <w:r>
                    <w:rPr>
                      <w:rFonts w:hint="eastAsia"/>
                      <w:lang w:eastAsia="zh-CN"/>
                    </w:rPr>
                    <w:t>”</w:t>
                  </w:r>
                  <w:r>
                    <w:rPr>
                      <w:rFonts w:hint="eastAsia"/>
                    </w:rPr>
                    <w:t>后出售</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t>报废机动车回收企业应当如实记录本企业回收的报废机动车</w:t>
                  </w:r>
                  <w:r>
                    <w:rPr>
                      <w:rFonts w:hint="eastAsia"/>
                      <w:lang w:eastAsia="zh-CN"/>
                    </w:rPr>
                    <w:t>“</w:t>
                  </w:r>
                  <w:r>
                    <w:t>五大总成</w:t>
                  </w:r>
                  <w:r>
                    <w:rPr>
                      <w:rFonts w:hint="eastAsia"/>
                      <w:lang w:eastAsia="zh-CN"/>
                    </w:rPr>
                    <w:t>”</w:t>
                  </w:r>
                  <w:r>
                    <w:t>等主要部件的数量、型号、流向等信息，并上传至报废机动车回收信息系统。</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rFonts w:hint="eastAsia"/>
                    </w:rPr>
                  </w:pPr>
                  <w:r>
                    <w:rPr>
                      <w:rFonts w:hint="eastAsia"/>
                    </w:rPr>
                    <w:t>公司做好</w:t>
                  </w:r>
                  <w:r>
                    <w:t>报废机动车</w:t>
                  </w:r>
                  <w:r>
                    <w:rPr>
                      <w:rFonts w:hint="eastAsia"/>
                      <w:lang w:eastAsia="zh-CN"/>
                    </w:rPr>
                    <w:t>“</w:t>
                  </w:r>
                  <w:r>
                    <w:t>五大总成</w:t>
                  </w:r>
                  <w:r>
                    <w:rPr>
                      <w:rFonts w:hint="eastAsia"/>
                      <w:lang w:eastAsia="zh-CN"/>
                    </w:rPr>
                    <w:t>”</w:t>
                  </w:r>
                  <w:r>
                    <w:t>等主要部件的数量、型号、流向等信息，并上传至报废机动车回收信息系统。</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textAlignment w:val="auto"/>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76"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pPr>
                  <w:r>
                    <w:t>拆解报废机动车，应当遵守环境保护法律、法规和强制性标准，采取有效措施保护环境，不得造成环境污染。</w:t>
                  </w:r>
                </w:p>
              </w:tc>
              <w:tc>
                <w:tcPr>
                  <w:tcW w:w="217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420" w:firstLineChars="200"/>
                    <w:jc w:val="left"/>
                    <w:textAlignment w:val="auto"/>
                    <w:rPr>
                      <w:rFonts w:hint="eastAsia"/>
                    </w:rPr>
                  </w:pPr>
                  <w:r>
                    <w:rPr>
                      <w:rFonts w:hint="eastAsia"/>
                    </w:rPr>
                    <w:t>项目生产过程中各危险废物分类储存在危废库内，定期交资质单位处理，落实污染防治措施后，不会造成环境污染。</w:t>
                  </w:r>
                </w:p>
              </w:tc>
              <w:tc>
                <w:tcPr>
                  <w:tcW w:w="344"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pPr>
                  <w:r>
                    <w:t>符合</w:t>
                  </w:r>
                </w:p>
              </w:tc>
            </w:tr>
          </w:tbl>
          <w:p>
            <w:pPr>
              <w:pStyle w:val="67"/>
              <w:keepNext w:val="0"/>
              <w:keepLines w:val="0"/>
              <w:pageBreakBefore w:val="0"/>
              <w:widowControl w:val="0"/>
              <w:kinsoku/>
              <w:wordWrap/>
              <w:overflowPunct/>
              <w:topLinePunct w:val="0"/>
              <w:autoSpaceDE/>
              <w:autoSpaceDN/>
              <w:bidi w:val="0"/>
              <w:adjustRightInd w:val="0"/>
              <w:snapToGrid/>
              <w:ind w:firstLine="480" w:firstLineChars="200"/>
              <w:jc w:val="left"/>
              <w:textAlignment w:val="auto"/>
              <w:rPr>
                <w:rFonts w:hint="default" w:ascii="Times New Roman" w:hAnsi="Times New Roman" w:eastAsia="宋体" w:cs="Times New Roman"/>
                <w:color w:val="auto"/>
                <w:u w:val="none" w:color="auto"/>
                <w:lang w:val="en-US" w:eastAsia="zh-CN"/>
              </w:rPr>
            </w:pPr>
            <w:r>
              <w:rPr>
                <w:rFonts w:hint="default" w:ascii="Times New Roman" w:hAnsi="Times New Roman" w:eastAsia="宋体" w:cs="Times New Roman"/>
                <w:color w:val="auto"/>
                <w:u w:val="none" w:color="auto"/>
                <w:lang w:val="en-US" w:eastAsia="zh-CN"/>
              </w:rPr>
              <w:t>由表1-</w:t>
            </w:r>
            <w:r>
              <w:rPr>
                <w:rFonts w:hint="eastAsia" w:ascii="Times New Roman" w:hAnsi="Times New Roman" w:eastAsia="宋体" w:cs="Times New Roman"/>
                <w:color w:val="auto"/>
                <w:u w:val="none" w:color="auto"/>
                <w:lang w:val="en-US" w:eastAsia="zh-CN"/>
              </w:rPr>
              <w:t>5</w:t>
            </w:r>
            <w:r>
              <w:rPr>
                <w:rFonts w:hint="default" w:ascii="Times New Roman" w:hAnsi="Times New Roman" w:eastAsia="宋体" w:cs="Times New Roman"/>
                <w:color w:val="auto"/>
                <w:u w:val="none" w:color="auto"/>
                <w:lang w:val="en-US" w:eastAsia="zh-CN"/>
              </w:rPr>
              <w:t>可以看出，本</w:t>
            </w:r>
            <w:r>
              <w:rPr>
                <w:rFonts w:hint="eastAsia" w:ascii="Times New Roman" w:hAnsi="Times New Roman" w:eastAsia="宋体" w:cs="Times New Roman"/>
                <w:color w:val="auto"/>
                <w:u w:val="none" w:color="auto"/>
                <w:lang w:val="en-US" w:eastAsia="zh-CN"/>
              </w:rPr>
              <w:t>项目</w:t>
            </w:r>
            <w:r>
              <w:rPr>
                <w:rFonts w:hint="default" w:ascii="Times New Roman" w:hAnsi="Times New Roman" w:eastAsia="宋体" w:cs="Times New Roman"/>
                <w:color w:val="auto"/>
                <w:u w:val="none" w:color="auto"/>
                <w:lang w:val="en-US" w:eastAsia="zh-CN"/>
              </w:rPr>
              <w:t>的建设符合《报废机动车回收管理办法（国务院令第715号）》的要求。</w:t>
            </w:r>
          </w:p>
          <w:p>
            <w:pPr>
              <w:pStyle w:val="67"/>
              <w:keepNext w:val="0"/>
              <w:keepLines w:val="0"/>
              <w:pageBreakBefore w:val="0"/>
              <w:widowControl w:val="0"/>
              <w:kinsoku/>
              <w:wordWrap/>
              <w:overflowPunct/>
              <w:topLinePunct w:val="0"/>
              <w:autoSpaceDE/>
              <w:autoSpaceDN/>
              <w:bidi w:val="0"/>
              <w:adjustRightInd w:val="0"/>
              <w:snapToGrid/>
              <w:ind w:firstLine="482" w:firstLineChars="200"/>
              <w:jc w:val="left"/>
              <w:textAlignment w:val="auto"/>
              <w:rPr>
                <w:rFonts w:hint="eastAsia" w:ascii="Times New Roman" w:hAnsi="Times New Roman" w:eastAsia="宋体" w:cs="宋体"/>
                <w:b/>
                <w:bCs w:val="0"/>
                <w:color w:val="auto"/>
                <w:sz w:val="24"/>
                <w:szCs w:val="24"/>
                <w:u w:val="none" w:color="auto"/>
                <w:lang w:val="en-US" w:eastAsia="zh-CN"/>
              </w:rPr>
            </w:pPr>
            <w:r>
              <w:rPr>
                <w:rFonts w:hint="eastAsia" w:ascii="Times New Roman" w:hAnsi="Times New Roman" w:eastAsia="宋体" w:cs="宋体"/>
                <w:b/>
                <w:bCs w:val="0"/>
                <w:color w:val="auto"/>
                <w:sz w:val="24"/>
                <w:szCs w:val="24"/>
                <w:u w:val="none" w:color="auto"/>
                <w:lang w:val="en-US" w:eastAsia="zh-CN"/>
              </w:rPr>
              <w:t>7、与</w:t>
            </w:r>
            <w:bookmarkStart w:id="5" w:name="OLE_LINK3"/>
            <w:r>
              <w:rPr>
                <w:rFonts w:hint="eastAsia" w:ascii="Times New Roman" w:hAnsi="Times New Roman" w:eastAsia="宋体" w:cs="宋体"/>
                <w:b/>
                <w:bCs w:val="0"/>
                <w:color w:val="auto"/>
                <w:sz w:val="24"/>
                <w:szCs w:val="24"/>
                <w:u w:val="none" w:color="auto"/>
                <w:lang w:val="en-US" w:eastAsia="zh-CN"/>
              </w:rPr>
              <w:t>《</w:t>
            </w:r>
            <w:bookmarkStart w:id="6" w:name="OLE_LINK2"/>
            <w:r>
              <w:rPr>
                <w:rFonts w:hint="eastAsia" w:ascii="Times New Roman" w:hAnsi="Times New Roman" w:eastAsia="宋体" w:cs="宋体"/>
                <w:b/>
                <w:bCs w:val="0"/>
                <w:color w:val="auto"/>
                <w:sz w:val="24"/>
                <w:szCs w:val="24"/>
                <w:u w:val="none" w:color="auto"/>
                <w:lang w:val="en-US" w:eastAsia="zh-CN"/>
              </w:rPr>
              <w:t>报废机动车拆解企业污染控制技术规范</w:t>
            </w:r>
            <w:bookmarkEnd w:id="6"/>
            <w:r>
              <w:rPr>
                <w:rFonts w:hint="eastAsia" w:ascii="Times New Roman" w:hAnsi="Times New Roman" w:eastAsia="宋体" w:cs="宋体"/>
                <w:b/>
                <w:bCs w:val="0"/>
                <w:color w:val="auto"/>
                <w:sz w:val="24"/>
                <w:szCs w:val="24"/>
                <w:u w:val="none" w:color="auto"/>
                <w:lang w:val="en-US" w:eastAsia="zh-CN"/>
              </w:rPr>
              <w:t>》（HJ348-2022）</w:t>
            </w:r>
            <w:bookmarkEnd w:id="5"/>
            <w:r>
              <w:rPr>
                <w:rFonts w:hint="eastAsia" w:ascii="Times New Roman" w:hAnsi="Times New Roman" w:eastAsia="宋体" w:cs="宋体"/>
                <w:b/>
                <w:bCs w:val="0"/>
                <w:color w:val="auto"/>
                <w:sz w:val="24"/>
                <w:szCs w:val="24"/>
                <w:u w:val="none" w:color="auto"/>
                <w:lang w:val="en-US" w:eastAsia="zh-CN"/>
              </w:rPr>
              <w:t>相符性分析</w:t>
            </w:r>
          </w:p>
          <w:p>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Times New Roman" w:hAnsi="Times New Roman" w:eastAsia="宋体"/>
                <w:b/>
                <w:bCs/>
                <w:color w:val="auto"/>
                <w:sz w:val="21"/>
                <w:szCs w:val="21"/>
                <w:u w:val="none" w:color="auto"/>
                <w:lang w:val="en-US" w:eastAsia="zh-CN"/>
              </w:rPr>
            </w:pPr>
            <w:r>
              <w:rPr>
                <w:rFonts w:hint="eastAsia" w:ascii="Times New Roman" w:hAnsi="Times New Roman" w:eastAsia="宋体"/>
                <w:b/>
                <w:bCs/>
                <w:color w:val="auto"/>
                <w:sz w:val="21"/>
                <w:szCs w:val="21"/>
                <w:u w:val="none" w:color="auto"/>
                <w:lang w:val="en-US" w:eastAsia="zh-CN"/>
              </w:rPr>
              <w:t>表1-6 项目与《报废机动车拆解企业污染控制技术规范》</w:t>
            </w:r>
            <w:r>
              <w:rPr>
                <w:rFonts w:hint="eastAsia" w:ascii="Times New Roman" w:hAnsi="Times New Roman" w:eastAsia="宋体" w:cs="宋体"/>
                <w:b/>
                <w:bCs w:val="0"/>
                <w:color w:val="auto"/>
                <w:sz w:val="24"/>
                <w:szCs w:val="24"/>
                <w:u w:val="none" w:color="auto"/>
                <w:lang w:val="en-US" w:eastAsia="zh-CN"/>
              </w:rPr>
              <w:t>（HJ348-2022）</w:t>
            </w:r>
            <w:r>
              <w:rPr>
                <w:rFonts w:hint="eastAsia" w:ascii="Times New Roman" w:hAnsi="Times New Roman" w:eastAsia="宋体"/>
                <w:b/>
                <w:bCs/>
                <w:color w:val="auto"/>
                <w:sz w:val="21"/>
                <w:szCs w:val="21"/>
                <w:u w:val="none" w:color="auto"/>
                <w:lang w:val="en-US" w:eastAsia="zh-CN"/>
              </w:rPr>
              <w:t>符合性分析</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6414"/>
              <w:gridCol w:w="4021"/>
              <w:gridCol w:w="8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内容</w:t>
                  </w: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行业规范要求</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本项目情况</w:t>
                  </w:r>
                </w:p>
              </w:tc>
              <w:tc>
                <w:tcPr>
                  <w:tcW w:w="34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tcBorders>
                    <w:tl2br w:val="nil"/>
                    <w:tr2bl w:val="nil"/>
                  </w:tcBorders>
                  <w:noWrap w:val="0"/>
                  <w:vAlign w:val="center"/>
                </w:tcPr>
                <w:p>
                  <w:pPr>
                    <w:pStyle w:val="44"/>
                    <w:bidi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总体要求</w:t>
                  </w: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a）报废机动车的拆解应遵循减量化、资源化和无害化的原则。报废机动车回收拆解企业应优先采用资源回收率高、污染物排放量少的工艺和设备，防范二次污染，实现减污降碳协同增效。</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b）报废机动车拆解建设项目选址不应位于国务院和国务院有关主管部门及省、自治区、直辖市人民政府划定的生态保护红线区域、永久基本农田和其他需要特别保护的区域内。</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c）报废机动车回收拆解企业应具备集中的运营场地，并实行封闭式规范管理。</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d）报废机动车回收拆解企业应根据HJ1034、HJ1200等规定取得排污许可证，并按照排污许可证管理要求进行规范排污。产生的废气、废水、噪声、固体废物等排放应满足国家和地方的污染物排放标准与排污许可要求，产生的固体废物应按照国家有关环境保护规定和标准要求妥善贮存、利用和处置。</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e）报废机动车回收拆解企业应依照《报废机动车回收管理办法实施细则》等相关要求向机动车生产企业获取报废机动车拆解指导手册等相关技术信息，依规开展报废机动车拆解工作。</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f）报废机动车回收拆解企业应依据GB22128等相关规定开展拆解作业。不应露天拆解报废机动车，拆解产物不应露天堆放，不应对大气、土壤、地表水和地下水造成污染。</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g）报废机动车回收拆解企业应具备与生产规模相匹配的环境保护设施，环境保护设施的设计、施工与运行应遵守“三同时”环境管理制度。</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h）报废机动车回收拆解及贮存过程除满足环境保护相关要求外，还应符合国家安全生产、职业健康、交通运输、消防等法规标准的相关要求。</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优先采用资源回收率高、污染物排放量少的工艺和设备；选址合理符合要求；企业管理规范；产生的废气、废水、噪声等排放应满足国家和地方的污染物排放标准与排污许可要求，固废妥善处置；拆解工作依据相关指导手册等相关技术信息展开；拆解产物室内堆放，不对大气、土壤、地表水和地下水造成污染；具备与对应的环境保护设施和环境管理制度；回收拆解及贮存过程满足环境保护国家安全生产、职业健康、交通运输、消防等法规标准的相关要求。</w:t>
                  </w:r>
                </w:p>
              </w:tc>
              <w:tc>
                <w:tcPr>
                  <w:tcW w:w="34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restart"/>
                  <w:tcBorders>
                    <w:tl2br w:val="nil"/>
                    <w:tr2bl w:val="nil"/>
                  </w:tcBorders>
                  <w:noWrap w:val="0"/>
                  <w:vAlign w:val="center"/>
                </w:tcPr>
                <w:p>
                  <w:pPr>
                    <w:pStyle w:val="44"/>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基础设施污染控制要求</w:t>
                  </w: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报废机动车回收拆解企业应划分不同的功能区，包括办公区和作业区。作业区应包括：</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eastAsia="宋体" w:cs="Times New Roman"/>
                      <w:kern w:val="0"/>
                      <w:sz w:val="21"/>
                      <w:szCs w:val="20"/>
                      <w:lang w:val="en-US" w:eastAsia="zh-CN" w:bidi="ar-SA"/>
                    </w:rPr>
                    <w:t>a）</w:t>
                  </w:r>
                  <w:r>
                    <w:rPr>
                      <w:rFonts w:hint="default" w:ascii="Times New Roman" w:hAnsi="Times New Roman" w:cs="Times New Roman"/>
                      <w:lang w:val="en-US" w:eastAsia="zh-CN"/>
                    </w:rPr>
                    <w:t>整车贮存区（分为传统燃料机动车区和电动汽车区）；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b）动力蓄电池拆卸区；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c）铅蓄电池拆卸区；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d）电池分类贮存区；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e）拆解区；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f）产品（半成品；不包括电池）贮存区；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g）破碎分选区；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h）一般工业固体废物贮存区；</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i）危险废物贮存区。</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本项目办公区和作业区分开，办公场地单独划分区域；根据项目总平面布置，本项目按照要求设有</w:t>
                  </w:r>
                  <w:bookmarkStart w:id="7" w:name="OLE_LINK5"/>
                  <w:r>
                    <w:rPr>
                      <w:rFonts w:hint="default" w:ascii="Times New Roman" w:hAnsi="Times New Roman" w:cs="Times New Roman"/>
                      <w:lang w:val="en-US" w:eastAsia="zh-CN"/>
                    </w:rPr>
                    <w:t>整车贮存区、预处理区、总成贮存区（含总成拆解区）、分拣区（含切割区）、产品（半成品）贮存区、回用件贮存区、一般工业固体废物贮存区、危废暂存间</w:t>
                  </w:r>
                  <w:bookmarkEnd w:id="7"/>
                  <w:r>
                    <w:rPr>
                      <w:rFonts w:hint="default" w:ascii="Times New Roman" w:hAnsi="Times New Roman" w:cs="Times New Roman"/>
                      <w:lang w:val="en-US" w:eastAsia="zh-CN"/>
                    </w:rPr>
                    <w:t>。</w:t>
                  </w:r>
                </w:p>
              </w:tc>
              <w:tc>
                <w:tcPr>
                  <w:tcW w:w="34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报废机动车回收拆解企业厂区内功能区的设计和建设应满足以下要求：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eastAsia="宋体" w:cs="Times New Roman"/>
                      <w:kern w:val="0"/>
                      <w:sz w:val="21"/>
                      <w:szCs w:val="20"/>
                      <w:lang w:val="en-US" w:eastAsia="zh-CN" w:bidi="ar-SA"/>
                    </w:rPr>
                    <w:t>a）</w:t>
                  </w:r>
                  <w:r>
                    <w:rPr>
                      <w:rFonts w:hint="default" w:ascii="Times New Roman" w:hAnsi="Times New Roman" w:cs="Times New Roman"/>
                      <w:lang w:val="en-US" w:eastAsia="zh-CN"/>
                    </w:rPr>
                    <w:t>作业区面积大小和功能区划分应满足拆解作业的需要；</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b）不同的功能区应具有明显的标识；</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c）作业区应具有防渗地面和油水收集设施，地面应符合GB50037的防油渗地面要求；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d）作业区地面混凝土强度等级不低于C20，厚度不低于150mm，其中物流通道路面和拆解作业区域强度不低于C30，厚度不低于200mm。大型拆解设备承重区域的硬化标准参照设备工艺要求执行；</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e）拆解区应为封闭或半封闭建筑物；</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f）破碎分选区应设在封闭区域内，控制工业废气、粉尘和噪声污染；</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g）危险废物贮存区应设置液体导流和收集装置，地面应无液体积聚，如有冲洗废水应纳入废水收集处理设施处理；</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h）不同种类的危险废物应单独收集、分类存放，中间有明显间隔；贮存场所应设置警示标识，同时还应满足GB18597中其他相关要求；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i）铅蓄电池的拆卸、贮存区的地面应做防酸、防腐、防渗及硬化处理，同时还应满足HJ519中其他相关要求；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j）动力蓄电池拆卸、贮存区应满足HJ1186中的相关要求，地面应采用环氧地坪等硬化措施，地面应做防酸、防腐、防渗、硬化及绝缘处理；</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k）各贮存区应在显著位置设置标识，标明贮存物的类别、名称、规格、注意事项等，根据其特性合理划分贮存区域，采取必要的隔离措施。</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本项目作业区面积为</w:t>
                  </w:r>
                  <w:r>
                    <w:rPr>
                      <w:rFonts w:hint="eastAsia" w:ascii="Times New Roman" w:hAnsi="Times New Roman" w:cs="Times New Roman"/>
                      <w:color w:val="auto"/>
                      <w:lang w:val="en-US" w:eastAsia="zh-CN"/>
                    </w:rPr>
                    <w:t>16797</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w:t>
                  </w:r>
                  <w:r>
                    <w:rPr>
                      <w:rFonts w:hint="eastAsia" w:ascii="Times New Roman" w:hAnsi="Times New Roman" w:cs="Times New Roman"/>
                      <w:lang w:val="en-US" w:eastAsia="zh-CN"/>
                    </w:rPr>
                    <w:t>能够满足拆解作业需求</w:t>
                  </w:r>
                  <w:r>
                    <w:rPr>
                      <w:rFonts w:hint="default" w:ascii="Times New Roman" w:hAnsi="Times New Roman" w:cs="Times New Roman"/>
                      <w:lang w:val="en-US" w:eastAsia="zh-CN"/>
                    </w:rPr>
                    <w:t>，</w:t>
                  </w:r>
                  <w:r>
                    <w:rPr>
                      <w:rFonts w:hint="eastAsia" w:ascii="Times New Roman" w:hAnsi="Times New Roman" w:cs="Times New Roman"/>
                      <w:lang w:val="en-US" w:eastAsia="zh-CN"/>
                    </w:rPr>
                    <w:t>已</w:t>
                  </w:r>
                  <w:r>
                    <w:rPr>
                      <w:rFonts w:hint="default" w:ascii="Times New Roman" w:hAnsi="Times New Roman" w:cs="Times New Roman"/>
                      <w:lang w:val="en-US" w:eastAsia="zh-CN"/>
                    </w:rPr>
                    <w:t>根据拆解、贮存等不同要求进行功能区细化分区；不同功能区张贴指示牌；</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作业区地面和贮存区地面均按照GB50037进行防渗、硬化，并设置导流沟；</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作业区地面混凝土强度等级不低于C20，厚度不低于150mm，其中物流通道路面和拆解作业区域强度不低于C30，厚度不低于200mm；</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拆解区设置在标准厂房内；</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破碎（即解体机）</w:t>
                  </w:r>
                  <w:r>
                    <w:rPr>
                      <w:rFonts w:hint="default" w:ascii="Times New Roman" w:hAnsi="Times New Roman" w:cs="Times New Roman"/>
                      <w:lang w:val="en-US" w:eastAsia="zh-CN"/>
                    </w:rPr>
                    <w:t>设置在密闭房间内，严格控制粉尘和噪声污染；</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危险废物设置危废暂存间暂存，进行分类收集、贮存，并设置标识标牌，可满足GB18597要求，无地面冲洗废水；</w:t>
                  </w:r>
                </w:p>
                <w:p>
                  <w:pPr>
                    <w:pStyle w:val="44"/>
                    <w:bidi w:val="0"/>
                    <w:ind w:firstLine="42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铅蓄电池仅拆卸、暂存，不做进一步处理，铅蓄电池存于危废暂存间内，地面做好防酸、防渗、防腐措施，满足HJ519中要求；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动力蓄电池拆卸、贮存区满足HJ1186中的相关要求，地面做好硬化、防酸、防腐、防渗及绝缘处理；</w:t>
                  </w:r>
                </w:p>
                <w:p>
                  <w:pPr>
                    <w:ind w:firstLine="420" w:firstLineChars="200"/>
                    <w:rPr>
                      <w:rFonts w:hint="default" w:ascii="Times New Roman" w:hAnsi="Times New Roman" w:cs="Times New Roman"/>
                      <w:lang w:val="en-US" w:eastAsia="zh-CN"/>
                    </w:rPr>
                  </w:pPr>
                  <w:r>
                    <w:rPr>
                      <w:rFonts w:hint="default" w:ascii="Times New Roman" w:hAnsi="Times New Roman" w:cs="Times New Roman"/>
                      <w:lang w:val="en-US" w:eastAsia="zh-CN"/>
                    </w:rPr>
                    <w:t>危废暂存间、动力蓄电池贮存区、汽车零部件等各贮存区均在显著位置设置标识，标明贮存物的类别、名称、规格、注意事项等。</w:t>
                  </w:r>
                </w:p>
              </w:tc>
              <w:tc>
                <w:tcPr>
                  <w:tcW w:w="349"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报废机动车回收拆解企业内的道路应采取硬化措施，如出现破损应及时维修。</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ascii="Times New Roman" w:hAnsi="Times New Roman" w:cs="Times New Roman"/>
                    </w:rPr>
                    <w:t>厂区内道路</w:t>
                  </w:r>
                  <w:r>
                    <w:rPr>
                      <w:rFonts w:hint="eastAsia" w:ascii="Times New Roman" w:hAnsi="Times New Roman" w:cs="Times New Roman"/>
                      <w:lang w:eastAsia="zh-CN"/>
                    </w:rPr>
                    <w:t>已</w:t>
                  </w:r>
                  <w:r>
                    <w:rPr>
                      <w:rFonts w:ascii="Times New Roman" w:hAnsi="Times New Roman" w:cs="Times New Roman"/>
                    </w:rPr>
                    <w:t>采取水泥硬化，专人定期巡查，发现破损，及时维修</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报废机动车回收拆解企业应做到雨污分流，在作业区内产生的初期雨水、清洗水和其他非生活废水应设置专门的收集设施和污水处理设施。厂区内应按照GB/T50483的要求设置初期雨水收集池。</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项目实行雨污分流；</w:t>
                  </w:r>
                  <w:r>
                    <w:rPr>
                      <w:rFonts w:hint="eastAsia" w:ascii="Times New Roman" w:cs="Times New Roman"/>
                      <w:color w:val="auto"/>
                      <w:sz w:val="21"/>
                      <w:szCs w:val="21"/>
                      <w:u w:val="wave"/>
                      <w:lang w:eastAsia="zh-CN"/>
                    </w:rPr>
                    <w:t>初期雨水经初期雨水收集池收集后，与</w:t>
                  </w:r>
                  <w:r>
                    <w:rPr>
                      <w:rFonts w:hint="default" w:ascii="Times New Roman" w:hAnsi="Times New Roman" w:eastAsia="宋体" w:cs="Times New Roman"/>
                      <w:color w:val="auto"/>
                      <w:sz w:val="21"/>
                      <w:szCs w:val="21"/>
                      <w:u w:val="wave"/>
                    </w:rPr>
                    <w:t>项目</w:t>
                  </w:r>
                  <w:r>
                    <w:rPr>
                      <w:rFonts w:hint="eastAsia" w:ascii="Times New Roman" w:hAnsi="Times New Roman" w:eastAsia="宋体" w:cs="Times New Roman"/>
                      <w:color w:val="auto"/>
                      <w:sz w:val="21"/>
                      <w:szCs w:val="21"/>
                      <w:u w:val="wave"/>
                      <w:lang w:eastAsia="zh-CN"/>
                    </w:rPr>
                    <w:t>车间地面拖洗废水</w:t>
                  </w:r>
                  <w:r>
                    <w:rPr>
                      <w:rFonts w:hint="eastAsia" w:ascii="Times New Roman" w:cs="Times New Roman"/>
                      <w:color w:val="auto"/>
                      <w:sz w:val="21"/>
                      <w:szCs w:val="21"/>
                      <w:u w:val="wave"/>
                      <w:lang w:eastAsia="zh-CN"/>
                    </w:rPr>
                    <w:t>一并</w:t>
                  </w:r>
                  <w:r>
                    <w:rPr>
                      <w:rFonts w:hint="default" w:ascii="Times New Roman" w:hAnsi="Times New Roman" w:eastAsia="宋体" w:cs="Times New Roman"/>
                      <w:color w:val="auto"/>
                      <w:sz w:val="21"/>
                      <w:szCs w:val="21"/>
                      <w:u w:val="wave"/>
                    </w:rPr>
                    <w:t>经</w:t>
                  </w:r>
                  <w:r>
                    <w:rPr>
                      <w:rFonts w:hint="eastAsia" w:ascii="Times New Roman" w:cs="Times New Roman"/>
                      <w:color w:val="auto"/>
                      <w:sz w:val="21"/>
                      <w:szCs w:val="21"/>
                      <w:u w:val="wave"/>
                      <w:lang w:eastAsia="zh-CN"/>
                    </w:rPr>
                    <w:t>三级</w:t>
                  </w:r>
                  <w:r>
                    <w:rPr>
                      <w:rFonts w:hint="eastAsia" w:ascii="Times New Roman" w:hAnsi="Times New Roman" w:eastAsia="宋体" w:cs="Times New Roman"/>
                      <w:color w:val="auto"/>
                      <w:sz w:val="21"/>
                      <w:szCs w:val="21"/>
                      <w:u w:val="wave"/>
                      <w:lang w:eastAsia="zh-CN"/>
                    </w:rPr>
                    <w:t>隔油</w:t>
                  </w:r>
                  <w:r>
                    <w:rPr>
                      <w:rFonts w:hint="default" w:ascii="Times New Roman" w:hAnsi="Times New Roman" w:eastAsia="宋体" w:cs="Times New Roman"/>
                      <w:color w:val="auto"/>
                      <w:sz w:val="21"/>
                      <w:szCs w:val="21"/>
                      <w:u w:val="wave"/>
                    </w:rPr>
                    <w:t>沉淀</w:t>
                  </w:r>
                  <w:r>
                    <w:rPr>
                      <w:rFonts w:hint="eastAsia" w:ascii="Times New Roman" w:cs="Times New Roman"/>
                      <w:color w:val="auto"/>
                      <w:sz w:val="21"/>
                      <w:szCs w:val="21"/>
                      <w:u w:val="wave"/>
                      <w:lang w:eastAsia="zh-CN"/>
                    </w:rPr>
                    <w:t>池</w:t>
                  </w:r>
                  <w:r>
                    <w:rPr>
                      <w:rFonts w:hint="eastAsia" w:ascii="Times New Roman" w:cs="Times New Roman"/>
                      <w:color w:val="auto"/>
                      <w:sz w:val="21"/>
                      <w:szCs w:val="21"/>
                      <w:u w:val="wave"/>
                      <w:lang w:val="en-US" w:eastAsia="zh-CN"/>
                    </w:rPr>
                    <w:t>+高效油水分离器处理后</w:t>
                  </w:r>
                  <w:r>
                    <w:rPr>
                      <w:rFonts w:hint="default" w:ascii="Times New Roman" w:hAnsi="Times New Roman" w:eastAsia="宋体" w:cs="Times New Roman"/>
                      <w:color w:val="auto"/>
                      <w:sz w:val="21"/>
                      <w:szCs w:val="21"/>
                      <w:u w:val="wave"/>
                    </w:rPr>
                    <w:t>排入园区污水管网最后进入衡阳西渡高新区污水处理厂深度处理；生活污水经化粪池处理后排入园区污水管网最后进入衡阳西渡高新区污水处理厂深度处理</w:t>
                  </w:r>
                  <w:r>
                    <w:rPr>
                      <w:rFonts w:hint="default" w:ascii="Times New Roman" w:hAnsi="Times New Roman" w:cs="Times New Roman"/>
                      <w:color w:val="auto"/>
                      <w:lang w:val="en-US" w:eastAsia="zh-CN"/>
                    </w:rPr>
                    <w:t>。</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restart"/>
                  <w:tcBorders>
                    <w:tl2br w:val="nil"/>
                    <w:tr2bl w:val="nil"/>
                  </w:tcBorders>
                  <w:noWrap w:val="0"/>
                  <w:vAlign w:val="center"/>
                </w:tcPr>
                <w:p>
                  <w:pPr>
                    <w:pStyle w:val="44"/>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拆解过程污染控制要求</w:t>
                  </w: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传统燃料报废机动车在开展拆解作业前，应抽排下列气体及液体：燃油、发动机油、变速器/齿轮箱（包括后差速器和/或分动器）油、动力转向油、制动液等石油基油或者液态合成润滑剂、冷却液、挡风玻璃清洗液、制冷剂等，并使用专用容器回收贮存。操作场所应有防漏、截流和清污措施，抽排挥发性油液时应通过油气回收装置吸收拆解区域内的挥发性气体。防止上述气体及液体遗撒或泄漏。</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按照规范进行操作，使用专用容器储存废油液，车间地面定期拖洗。</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报废电动汽车进场检测时，受损变形以及漏液、漏电、电源供应工作不正常或其他的事故车辆应进行明显标识，及时隔离并优先处理，避免造成环境风险。</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报废电动汽车进场检测，工作不正常或其他的事故车辆进行明显标识，及时隔离并优先处理。</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电动汽车在开展拆解作业前，应采用防静电设备彻底抽排制冷剂，并用专用容器回收储存，避免电解质和有机溶剂泄漏。拆卸下来的动力蓄电池存在漏液、冒烟、漏电、外壳破损等情形的，应及时处理并采用专用容器单独存放，避免动力蓄电池自燃引起的环境风险。</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报废电动汽车采用防静电设备彻底抽排制冷剂，并用专用容器回收储存，动力蓄电池存在漏液、冒烟、漏电、外壳破损等情形的，及时处理并采用专用容器单独存放。</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动力蓄电池不应与铅蓄电池混合贮存。</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按要求操作</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报废机动车回收拆解企业不应在未完成各项拆解作业前对报废机动车进行破碎处理或者直接进行熔炼处理。</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本项目不进行破碎、熔炼处理</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报废机动车回收拆解企业不应焚烧报废机动车拆解过程中产生的废电线电缆、废轮胎和其他废物。</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本项目不焚烧报废机动车拆解过程中产生的废电线电缆、废轮胎和其他废物。</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报废机动车拆解产生的废旧玻璃、报废机动车破碎残余物、引爆后的安全气囊等应避免危险废物的沾染，未沾染危险废物的应按一般工业固体废物进行管理。</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按要求操作</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拆解产生的废铅蓄电池、废矿物油、废电路板、废尾气净化催化剂以及含有或沾染危险废物的废弃包装物、容器等依据《国家危险废物名录》属于危险废物的，应按照危险废物贮存管理相关要求进行分区、分类贮存。废弃含油抹布和劳保用品宜集中收集。</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本项目设置规范危废暂存间用于储存废铅蓄电池等拆解过程中产生的危险废物</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报废机动车回收拆解企业不应倾倒铅蓄电池内的电解液、铅块和铅膏等废物。对于破损的铅蓄电池，应单独贮存，并采取防止电解液泄漏的措施。</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本项目不倾倒电解液，并采取防渗漏措施</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报废机动车拆解产生的产物和固体废物应合理分类，不能自行利用处置的，分别委托具有相关资质、相应处理能力或经营范围的单位利用和处置。</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拆解产生的产物和固体废物合理分类，危废委托有相关资质单位进行处理</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拆解产物应符合国家及地方处理处置要求，其中主要拆解产物特性及去向见附录A。如报废机动车回收拆解企业具备与报废机动车拆解处理相关的深加工或二次加工经营业务，应当符合其他相关污染控制要求。</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按要求操作</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报废机动车油箱中的燃料（汽油、柴油、天然气、液化石油气、甲醇等）应分类收集。</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燃料分类收集</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restart"/>
                  <w:tcBorders>
                    <w:tl2br w:val="nil"/>
                    <w:tr2bl w:val="nil"/>
                  </w:tcBorders>
                  <w:noWrap w:val="0"/>
                  <w:vAlign w:val="center"/>
                </w:tcPr>
                <w:p>
                  <w:pPr>
                    <w:pStyle w:val="44"/>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企业污染物排放要求</w:t>
                  </w: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2" w:firstLineChars="200"/>
                    <w:jc w:val="left"/>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水污染物排放要求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报废机动车回收拆解企业厂区收集的初期雨水、清洗水和其他非生活废水等应通过收集管道（井）等收集后进入污水处理设施进行处理，达到国家和地方的污染物排放标准后方可排放。</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已建设初期雨水收集池、</w:t>
                  </w:r>
                  <w:r>
                    <w:rPr>
                      <w:rFonts w:hint="eastAsia" w:ascii="Times New Roman" w:cs="Times New Roman"/>
                      <w:lang w:val="en-US" w:eastAsia="zh-CN"/>
                    </w:rPr>
                    <w:t>三级隔油</w:t>
                  </w:r>
                  <w:r>
                    <w:rPr>
                      <w:rFonts w:hint="default" w:ascii="Times New Roman" w:hAnsi="Times New Roman" w:cs="Times New Roman"/>
                      <w:lang w:val="en-US" w:eastAsia="zh-CN"/>
                    </w:rPr>
                    <w:t>沉淀池，</w:t>
                  </w:r>
                  <w:r>
                    <w:rPr>
                      <w:rFonts w:hint="eastAsia" w:ascii="Times New Roman" w:cs="Times New Roman"/>
                      <w:color w:val="auto"/>
                      <w:sz w:val="21"/>
                      <w:szCs w:val="21"/>
                      <w:u w:val="wave"/>
                      <w:lang w:eastAsia="zh-CN"/>
                    </w:rPr>
                    <w:t>初期雨水经初期雨水收集池收集后，与</w:t>
                  </w:r>
                  <w:r>
                    <w:rPr>
                      <w:rFonts w:hint="default" w:ascii="Times New Roman" w:hAnsi="Times New Roman" w:eastAsia="宋体" w:cs="Times New Roman"/>
                      <w:color w:val="auto"/>
                      <w:sz w:val="21"/>
                      <w:szCs w:val="21"/>
                      <w:u w:val="wave"/>
                    </w:rPr>
                    <w:t>项目</w:t>
                  </w:r>
                  <w:r>
                    <w:rPr>
                      <w:rFonts w:hint="eastAsia" w:ascii="Times New Roman" w:hAnsi="Times New Roman" w:eastAsia="宋体" w:cs="Times New Roman"/>
                      <w:color w:val="auto"/>
                      <w:sz w:val="21"/>
                      <w:szCs w:val="21"/>
                      <w:u w:val="wave"/>
                      <w:lang w:eastAsia="zh-CN"/>
                    </w:rPr>
                    <w:t>车间地面拖洗废水</w:t>
                  </w:r>
                  <w:r>
                    <w:rPr>
                      <w:rFonts w:hint="eastAsia" w:ascii="Times New Roman" w:cs="Times New Roman"/>
                      <w:color w:val="auto"/>
                      <w:sz w:val="21"/>
                      <w:szCs w:val="21"/>
                      <w:u w:val="wave"/>
                      <w:lang w:eastAsia="zh-CN"/>
                    </w:rPr>
                    <w:t>一并</w:t>
                  </w:r>
                  <w:r>
                    <w:rPr>
                      <w:rFonts w:hint="default" w:ascii="Times New Roman" w:hAnsi="Times New Roman" w:eastAsia="宋体" w:cs="Times New Roman"/>
                      <w:color w:val="auto"/>
                      <w:sz w:val="21"/>
                      <w:szCs w:val="21"/>
                      <w:u w:val="wave"/>
                    </w:rPr>
                    <w:t>经</w:t>
                  </w:r>
                  <w:r>
                    <w:rPr>
                      <w:rFonts w:hint="eastAsia" w:ascii="Times New Roman" w:cs="Times New Roman"/>
                      <w:color w:val="auto"/>
                      <w:sz w:val="21"/>
                      <w:szCs w:val="21"/>
                      <w:u w:val="wave"/>
                      <w:lang w:eastAsia="zh-CN"/>
                    </w:rPr>
                    <w:t>三级</w:t>
                  </w:r>
                  <w:r>
                    <w:rPr>
                      <w:rFonts w:hint="eastAsia" w:ascii="Times New Roman" w:hAnsi="Times New Roman" w:eastAsia="宋体" w:cs="Times New Roman"/>
                      <w:color w:val="auto"/>
                      <w:sz w:val="21"/>
                      <w:szCs w:val="21"/>
                      <w:u w:val="wave"/>
                      <w:lang w:eastAsia="zh-CN"/>
                    </w:rPr>
                    <w:t>隔油</w:t>
                  </w:r>
                  <w:r>
                    <w:rPr>
                      <w:rFonts w:hint="default" w:ascii="Times New Roman" w:hAnsi="Times New Roman" w:eastAsia="宋体" w:cs="Times New Roman"/>
                      <w:color w:val="auto"/>
                      <w:sz w:val="21"/>
                      <w:szCs w:val="21"/>
                      <w:u w:val="wave"/>
                    </w:rPr>
                    <w:t>沉淀</w:t>
                  </w:r>
                  <w:r>
                    <w:rPr>
                      <w:rFonts w:hint="eastAsia" w:ascii="Times New Roman" w:cs="Times New Roman"/>
                      <w:color w:val="auto"/>
                      <w:sz w:val="21"/>
                      <w:szCs w:val="21"/>
                      <w:u w:val="wave"/>
                      <w:lang w:eastAsia="zh-CN"/>
                    </w:rPr>
                    <w:t>池</w:t>
                  </w:r>
                  <w:r>
                    <w:rPr>
                      <w:rFonts w:hint="eastAsia" w:ascii="Times New Roman" w:cs="Times New Roman"/>
                      <w:color w:val="auto"/>
                      <w:sz w:val="21"/>
                      <w:szCs w:val="21"/>
                      <w:u w:val="wave"/>
                      <w:lang w:val="en-US" w:eastAsia="zh-CN"/>
                    </w:rPr>
                    <w:t>+高效油水分离器处理后</w:t>
                  </w:r>
                  <w:r>
                    <w:rPr>
                      <w:rFonts w:hint="default" w:ascii="Times New Roman" w:hAnsi="Times New Roman" w:eastAsia="宋体" w:cs="Times New Roman"/>
                      <w:color w:val="auto"/>
                      <w:sz w:val="21"/>
                      <w:szCs w:val="21"/>
                      <w:u w:val="wave"/>
                    </w:rPr>
                    <w:t>排入园区污水管网最后进入衡阳西渡高新区污水处理厂深度处理</w:t>
                  </w:r>
                  <w:r>
                    <w:rPr>
                      <w:rFonts w:hint="default" w:ascii="Times New Roman" w:hAnsi="Times New Roman" w:cs="Times New Roman"/>
                      <w:lang w:val="en-US" w:eastAsia="zh-CN"/>
                    </w:rPr>
                    <w:t>。</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2" w:firstLineChars="200"/>
                    <w:jc w:val="left"/>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大气污染物排放要求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a）报废机动车回收拆解企业排放废气中颗粒物、挥发性有机物（VOCs）等应符合GB16297、GB37822规定的排放要求。地方污染物排放标准有更严格要求的，从其规定。</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b）报废机动车回收拆解企业应在厂区及易产生粉尘的生产环节采取有效防尘、降尘、集尘措施，拆解过程产生的粉尘等应收集净化后排放。</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c）报废机动车回收拆解企业的恶臭污染物排放应满足GB14554中的相关要求。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报废机动车回收拆解企业应依照《消耗臭氧层物质管理条例》，对消耗臭氧层物质和氢氟碳化物进行分类回收，并交由专业单位进行利用或无害化处置，不应直接排放。涉及《中国受控消耗臭氧层物质清单》所列的废制冷剂应按照国家相关规定进行管理。</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项目排放废气中颗粒物、挥发性有机物（VOCs）等符合地方《大气污染物综合排放标准》（DB32/4041</w:t>
                  </w:r>
                  <w:r>
                    <w:rPr>
                      <w:rFonts w:hint="eastAsia" w:ascii="Times New Roman" w:hAnsi="Times New Roman" w:cs="Times New Roman"/>
                      <w:lang w:val="en-US" w:eastAsia="zh-CN"/>
                    </w:rPr>
                    <w:t>-</w:t>
                  </w:r>
                  <w:r>
                    <w:rPr>
                      <w:rFonts w:hint="default" w:ascii="Times New Roman" w:hAnsi="Times New Roman" w:cs="Times New Roman"/>
                      <w:lang w:val="en-US" w:eastAsia="zh-CN"/>
                    </w:rPr>
                    <w:t>2021）规定的排放要求。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b w:val="0"/>
                      <w:bCs w:val="0"/>
                      <w:lang w:val="en-US" w:eastAsia="zh-CN"/>
                    </w:rPr>
                  </w:pPr>
                  <w:r>
                    <w:rPr>
                      <w:rFonts w:hint="default" w:ascii="Times New Roman" w:hAnsi="Times New Roman" w:cs="Times New Roman"/>
                      <w:b w:val="0"/>
                      <w:bCs w:val="0"/>
                      <w:lang w:val="en-US" w:eastAsia="zh-CN"/>
                    </w:rPr>
                    <w:t>项目在切割工艺</w:t>
                  </w:r>
                  <w:r>
                    <w:rPr>
                      <w:rFonts w:hint="eastAsia" w:ascii="Times New Roman" w:hAnsi="Times New Roman" w:cs="Times New Roman"/>
                      <w:b w:val="0"/>
                      <w:bCs w:val="0"/>
                      <w:lang w:val="en-US" w:eastAsia="zh-CN"/>
                    </w:rPr>
                    <w:t>、解体机均</w:t>
                  </w:r>
                  <w:r>
                    <w:rPr>
                      <w:rFonts w:hint="default" w:ascii="Times New Roman" w:hAnsi="Times New Roman" w:cs="Times New Roman"/>
                      <w:b w:val="0"/>
                      <w:bCs w:val="0"/>
                      <w:lang w:val="en-US" w:eastAsia="zh-CN"/>
                    </w:rPr>
                    <w:t>设置了移动式除尘装置。</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项目严格按照《消耗臭氧层物质管理条例》，对消耗臭氧层物质和氢氟碳化</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物进行分类回收，并交由专业单位进行利用或无害化处置，不直接排放。涉及《中国受控消耗臭氧层物质清单》所列的废制冷剂按照国家相关规定进行管理。</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2" w:firstLineChars="200"/>
                    <w:jc w:val="left"/>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噪声排放控制要求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a）报废机动车回收拆解企业应采取隔音降噪措施，减小厂界噪声，满足GB12348中的相关要求。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b）对于破碎机、分选机、风机等机械设备，应采用合理的降噪、减噪措施。如选用低噪声设备，安装隔振元件、柔性接头、隔振垫等。</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c）在空压机、风机等的输气管道或在进气口、排气口上安装消声元件，采取屏蔽隔声措施等。</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对于搬运、手工拆解、车辆运输等非机械噪声产生环节，宜采取可减少固体振动和碰撞过程噪声产生的管理措施，如使用手动运输车辆、车间地面涂刷防护地坪、使用软性传输装置等措施；加强工人的防噪声劳动保护措施，如使用耳塞等。</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（1）项目已采用隔音降噪措施，减小厂界噪声，满足GB12348中的相关要求；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（2）项目不设破碎设备，风机等机械设备，选用低噪声设备，安装隔振元件、柔性接头、隔振垫等；</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（3）在风机等的输气管道和进气口、排气口上安装消声元件，采取屏蔽隔声措施等；</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对于搬运、手工拆解、车辆运输等非机械噪声产生环节，采取可减少固体振动和碰撞过程噪声产生的管理措施，如使用手动运输车辆、车间地面涂刷防护地坪、使用软性传输装置等措施；加强工人的防噪声劳动保护措施，如使用耳塞等。。</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固体废物污染控制要求一般工业固体废物中不应混入危险废物。拆解过程中产生的一般工业固体废物应满足GB18599的其他相关要求；危险废物应满足GB18597中的其他相关要求。</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本项目固体废物与危险废物分类贮存管理，能够满足GB18599和GB18597中的相关要求。</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restart"/>
                  <w:tcBorders>
                    <w:tl2br w:val="nil"/>
                    <w:tr2bl w:val="nil"/>
                  </w:tcBorders>
                  <w:noWrap w:val="0"/>
                  <w:vAlign w:val="center"/>
                </w:tcPr>
                <w:p>
                  <w:pPr>
                    <w:pStyle w:val="44"/>
                    <w:bidi w:val="0"/>
                    <w:jc w:val="center"/>
                    <w:rPr>
                      <w:rFonts w:hint="default" w:ascii="Times New Roman" w:hAnsi="Times New Roman" w:cs="Times New Roman"/>
                      <w:lang w:val="en-US" w:eastAsia="zh-CN"/>
                    </w:rPr>
                  </w:pPr>
                  <w:r>
                    <w:rPr>
                      <w:rFonts w:hint="default" w:ascii="Times New Roman" w:hAnsi="Times New Roman" w:cs="Times New Roman"/>
                      <w:lang w:val="en-US" w:eastAsia="zh-CN"/>
                    </w:rPr>
                    <w:t>企业环境管理要求</w:t>
                  </w: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2" w:firstLineChars="200"/>
                    <w:jc w:val="left"/>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固体废物管理要求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1）企业应建立、健全一般工业固体废物污染环境防治责任制度，采取以下措施防止造成环境污染：</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eastAsia="宋体" w:cs="Times New Roman"/>
                      <w:kern w:val="0"/>
                      <w:sz w:val="21"/>
                      <w:szCs w:val="20"/>
                      <w:lang w:val="en-US" w:eastAsia="zh-CN" w:bidi="ar-SA"/>
                    </w:rPr>
                    <w:t>a）</w:t>
                  </w:r>
                  <w:r>
                    <w:rPr>
                      <w:rFonts w:hint="default" w:ascii="Times New Roman" w:hAnsi="Times New Roman" w:cs="Times New Roman"/>
                      <w:lang w:val="en-US" w:eastAsia="zh-CN"/>
                    </w:rPr>
                    <w:t>建立一般工业固体废物台账记录，应满足一般工业固体废物管理台账制定指南相关要求；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b）分类收集后贮存应设置标识标签，注明拆解产物的名称、贮存时间、数量等信息；贮存过程应采取防止货物和包装损坏或泄漏。</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2）企业应建立、健全污染环境防治责任制度，采取以下措施严格控制危险废物造成环境污染：</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eastAsia="宋体" w:cs="Times New Roman"/>
                      <w:kern w:val="0"/>
                      <w:sz w:val="21"/>
                      <w:szCs w:val="20"/>
                      <w:lang w:val="en-US" w:eastAsia="zh-CN" w:bidi="ar-SA"/>
                    </w:rPr>
                    <w:t>a）</w:t>
                  </w:r>
                  <w:r>
                    <w:rPr>
                      <w:rFonts w:hint="default" w:ascii="Times New Roman" w:hAnsi="Times New Roman" w:cs="Times New Roman"/>
                      <w:lang w:val="en-US" w:eastAsia="zh-CN"/>
                    </w:rPr>
                    <w:t>制定危险废物管理计划和建立危险废物台账记录，应满足HJ1259相关要求；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b）交由持有危险废物经营许可证并具有相关经营范围的企业进行处理，并签订委托处理合同；</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c）拆解过程产生的固体废物危险特性不明时，按照相关要求开展危险废物鉴别工作；</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d）转移危险废物时，应严格执行《危险废物转移管理办法》有关要求。</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本项目按照要求建立一般工业固体废物台账，并记录；分类收集后贮存应设置标识标签等信息；制定危险废物管理计划和建立危险废物台账记录，交由持有危险废物经营许可证并具有相关经营范围的企业进行处理，并签订委托处理合同，拆解过程产生的固体废物危险特性不明时，按照相关要求开展危险废物鉴别工作，转移危险废物时，应严格执行《危险废物转移管理办法》有关要求。</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2" w:firstLineChars="200"/>
                    <w:jc w:val="left"/>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环境监测要求</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报废机动车回收拆解企业应按照HJ819等规定，建立企业监测制度，制定自行监测方案，对污染物排放状况及其周边环境质量的影响开展自行监测，保存原始监测记录，并公布监测结果，监测报告记录应至少保存3年。</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自行监测方案应包括企业基本情况、监测点位、监测频次、监测指标（含特征污染物）、执行排放标准及其限值、监测方法和仪器、监测质量控制、监测点位示意图、监测结果信息公开时限、应急监测方案等。</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3）报废机动车回收拆解企业不具备自行监测能力的，应委托具有监测服务资质的单位监测。</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项目严格按照HJ819等规定，拟建立企业监测制度，制定自行监测方案，对污染物排放状况及其周边环境质量的影响开展自行监测，保存原始监测记录，并公布监测结果，监测报告记录至少保存3年。</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项目自行监测方案包括企业基本情况、监测点位、监测频次、监测指标（含特征污染物）、执行排放标准及其限值、监测方法和仪器、监测质量控制、监测点位示意图、监测结果信息公开时限、应急监测方案等。</w:t>
                  </w:r>
                </w:p>
                <w:p>
                  <w:pPr>
                    <w:pStyle w:val="44"/>
                    <w:keepNext w:val="0"/>
                    <w:keepLines w:val="0"/>
                    <w:pageBreakBefore w:val="0"/>
                    <w:widowControl w:val="0"/>
                    <w:kinsoku/>
                    <w:wordWrap/>
                    <w:overflowPunct/>
                    <w:topLinePunct w:val="0"/>
                    <w:autoSpaceDE/>
                    <w:autoSpaceDN/>
                    <w:bidi w:val="0"/>
                    <w:adjustRightInd w:val="0"/>
                    <w:snapToGrid w:val="0"/>
                    <w:ind w:firstLine="420" w:firstLineChars="200"/>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项目不具备自行监测能力，委托具有监测服务资质的单位监测。</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49" w:type="pct"/>
                  <w:vMerge w:val="continue"/>
                  <w:tcBorders>
                    <w:tl2br w:val="nil"/>
                    <w:tr2bl w:val="nil"/>
                  </w:tcBorders>
                  <w:noWrap w:val="0"/>
                  <w:vAlign w:val="center"/>
                </w:tcPr>
                <w:p>
                  <w:pPr>
                    <w:pStyle w:val="44"/>
                    <w:bidi w:val="0"/>
                    <w:jc w:val="center"/>
                    <w:rPr>
                      <w:rFonts w:hint="default" w:ascii="Times New Roman" w:hAnsi="Times New Roman" w:cs="Times New Roman"/>
                      <w:lang w:val="en-US" w:eastAsia="zh-CN"/>
                    </w:rPr>
                  </w:pPr>
                </w:p>
              </w:tc>
              <w:tc>
                <w:tcPr>
                  <w:tcW w:w="2643"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技术人员管理要求报废机动车回收拆解企业应对操作人员、技术人员及管理人员进行环境保护相关的法律法规、环境应急处理等理论知识和操作技能培训。培训应包含以下内容：</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eastAsia="宋体" w:cs="Times New Roman"/>
                      <w:kern w:val="0"/>
                      <w:sz w:val="21"/>
                      <w:szCs w:val="20"/>
                      <w:lang w:val="en-US" w:eastAsia="zh-CN" w:bidi="ar-SA"/>
                    </w:rPr>
                    <w:t>a）</w:t>
                  </w:r>
                  <w:r>
                    <w:rPr>
                      <w:rFonts w:hint="default" w:ascii="Times New Roman" w:hAnsi="Times New Roman" w:cs="Times New Roman"/>
                      <w:lang w:val="en-US" w:eastAsia="zh-CN"/>
                    </w:rPr>
                    <w:t>有关环境保护法律法规要求；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b）企业生产的工艺流程、污染物的产生环节和污染防治措施；</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c）环境污染物的排放限值；</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d）污染防治设备设施的运行维护要求；</w:t>
                  </w:r>
                </w:p>
                <w:p>
                  <w:pPr>
                    <w:pStyle w:val="44"/>
                    <w:keepNext w:val="0"/>
                    <w:keepLines w:val="0"/>
                    <w:pageBreakBefore w:val="0"/>
                    <w:widowControl w:val="0"/>
                    <w:numPr>
                      <w:ilvl w:val="0"/>
                      <w:numId w:val="0"/>
                    </w:numPr>
                    <w:kinsoku/>
                    <w:wordWrap/>
                    <w:overflowPunct/>
                    <w:topLinePunct w:val="0"/>
                    <w:autoSpaceDE/>
                    <w:autoSpaceDN/>
                    <w:bidi w:val="0"/>
                    <w:adjustRightInd w:val="0"/>
                    <w:snapToGrid w:val="0"/>
                    <w:ind w:firstLine="420" w:firstLineChars="200"/>
                    <w:jc w:val="lef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e）发生突发环境事件的处理措施等。</w:t>
                  </w:r>
                </w:p>
              </w:tc>
              <w:tc>
                <w:tcPr>
                  <w:tcW w:w="165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按规范要求进行培训</w:t>
                  </w:r>
                </w:p>
              </w:tc>
              <w:tc>
                <w:tcPr>
                  <w:tcW w:w="349" w:type="pct"/>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符合</w:t>
                  </w:r>
                </w:p>
              </w:tc>
            </w:tr>
          </w:tbl>
          <w:p>
            <w:pPr>
              <w:pStyle w:val="67"/>
              <w:keepNext w:val="0"/>
              <w:keepLines w:val="0"/>
              <w:pageBreakBefore w:val="0"/>
              <w:widowControl w:val="0"/>
              <w:kinsoku/>
              <w:wordWrap/>
              <w:overflowPunct/>
              <w:topLinePunct w:val="0"/>
              <w:bidi w:val="0"/>
              <w:adjustRightInd w:val="0"/>
              <w:snapToGrid/>
              <w:ind w:firstLine="0"/>
              <w:jc w:val="left"/>
              <w:textAlignment w:val="auto"/>
              <w:rPr>
                <w:rFonts w:ascii="Times New Roman" w:hAnsi="Times New Roman"/>
                <w:color w:val="auto"/>
                <w:kern w:val="2"/>
                <w:sz w:val="28"/>
                <w:szCs w:val="28"/>
                <w:u w:val="none"/>
              </w:rPr>
            </w:pPr>
            <w:bookmarkStart w:id="8" w:name="OLE_LINK4"/>
            <w:r>
              <w:rPr>
                <w:rFonts w:hint="eastAsia" w:ascii="Times New Roman" w:hAnsi="Times New Roman"/>
                <w:b/>
                <w:color w:val="auto"/>
                <w:kern w:val="2"/>
                <w:szCs w:val="24"/>
                <w:u w:val="none"/>
                <w:lang w:val="en-US" w:eastAsia="zh-CN"/>
              </w:rPr>
              <w:t>8</w:t>
            </w:r>
            <w:r>
              <w:rPr>
                <w:rFonts w:ascii="Times New Roman" w:hAnsi="Times New Roman"/>
                <w:b/>
                <w:color w:val="auto"/>
                <w:kern w:val="2"/>
                <w:szCs w:val="24"/>
                <w:u w:val="none"/>
              </w:rPr>
              <w:t>、与《报废</w:t>
            </w:r>
            <w:r>
              <w:rPr>
                <w:rFonts w:hint="eastAsia" w:ascii="Times New Roman" w:hAnsi="Times New Roman"/>
                <w:b/>
                <w:color w:val="auto"/>
                <w:kern w:val="2"/>
                <w:szCs w:val="24"/>
                <w:u w:val="none"/>
              </w:rPr>
              <w:t>机动车</w:t>
            </w:r>
            <w:r>
              <w:rPr>
                <w:rFonts w:ascii="Times New Roman" w:hAnsi="Times New Roman"/>
                <w:b/>
                <w:color w:val="auto"/>
                <w:kern w:val="2"/>
                <w:szCs w:val="24"/>
                <w:u w:val="none"/>
              </w:rPr>
              <w:t>回收拆解企业技术规范》（</w:t>
            </w:r>
            <w:r>
              <w:rPr>
                <w:rFonts w:hint="eastAsia" w:ascii="Times New Roman" w:hAnsi="Times New Roman"/>
                <w:b/>
                <w:color w:val="auto"/>
                <w:kern w:val="2"/>
                <w:szCs w:val="24"/>
                <w:u w:val="none"/>
              </w:rPr>
              <w:t>GB22128-2019</w:t>
            </w:r>
            <w:r>
              <w:rPr>
                <w:rFonts w:ascii="Times New Roman" w:hAnsi="Times New Roman"/>
                <w:b/>
                <w:color w:val="auto"/>
                <w:kern w:val="2"/>
                <w:szCs w:val="24"/>
                <w:u w:val="none"/>
              </w:rPr>
              <w:t>）相符性分析</w:t>
            </w:r>
          </w:p>
          <w:p>
            <w:pPr>
              <w:keepNext w:val="0"/>
              <w:keepLines w:val="0"/>
              <w:pageBreakBefore w:val="0"/>
              <w:widowControl w:val="0"/>
              <w:kinsoku/>
              <w:wordWrap/>
              <w:overflowPunct/>
              <w:topLinePunct w:val="0"/>
              <w:autoSpaceDE w:val="0"/>
              <w:autoSpaceDN w:val="0"/>
              <w:bidi w:val="0"/>
              <w:adjustRightInd w:val="0"/>
              <w:snapToGrid/>
              <w:spacing w:line="360" w:lineRule="auto"/>
              <w:ind w:firstLine="360" w:firstLineChars="150"/>
              <w:jc w:val="left"/>
              <w:textAlignment w:val="auto"/>
              <w:rPr>
                <w:rFonts w:hint="eastAsia" w:ascii="Times New Roman" w:hAnsi="Times New Roman"/>
                <w:color w:val="auto"/>
                <w:sz w:val="24"/>
                <w:szCs w:val="22"/>
                <w:u w:val="none"/>
              </w:rPr>
            </w:pPr>
            <w:r>
              <w:rPr>
                <w:rFonts w:hint="eastAsia" w:ascii="Times New Roman" w:hAnsi="Times New Roman"/>
                <w:color w:val="auto"/>
                <w:sz w:val="24"/>
                <w:szCs w:val="22"/>
                <w:u w:val="none"/>
                <w:lang w:eastAsia="zh-CN"/>
              </w:rPr>
              <w:t>本项目与</w:t>
            </w:r>
            <w:r>
              <w:rPr>
                <w:rFonts w:ascii="Times New Roman" w:hAnsi="Times New Roman"/>
                <w:color w:val="auto"/>
                <w:sz w:val="24"/>
                <w:szCs w:val="22"/>
                <w:u w:val="none"/>
              </w:rPr>
              <w:t>《报废</w:t>
            </w:r>
            <w:r>
              <w:rPr>
                <w:rFonts w:hint="eastAsia" w:ascii="Times New Roman" w:hAnsi="Times New Roman"/>
                <w:color w:val="auto"/>
                <w:sz w:val="24"/>
                <w:szCs w:val="22"/>
                <w:u w:val="none"/>
              </w:rPr>
              <w:t>机动车</w:t>
            </w:r>
            <w:r>
              <w:rPr>
                <w:rFonts w:ascii="Times New Roman" w:hAnsi="Times New Roman"/>
                <w:color w:val="auto"/>
                <w:sz w:val="24"/>
                <w:szCs w:val="22"/>
                <w:u w:val="none"/>
              </w:rPr>
              <w:t>回收拆解企业技术规范》（</w:t>
            </w:r>
            <w:r>
              <w:rPr>
                <w:rFonts w:hint="eastAsia" w:ascii="Times New Roman" w:hAnsi="Times New Roman"/>
                <w:color w:val="auto"/>
                <w:sz w:val="24"/>
                <w:szCs w:val="22"/>
                <w:u w:val="none"/>
              </w:rPr>
              <w:t>GB22128-2019</w:t>
            </w:r>
            <w:r>
              <w:rPr>
                <w:rFonts w:ascii="Times New Roman" w:hAnsi="Times New Roman"/>
                <w:color w:val="auto"/>
                <w:sz w:val="24"/>
                <w:szCs w:val="22"/>
                <w:u w:val="none"/>
              </w:rPr>
              <w:t>）</w:t>
            </w:r>
            <w:r>
              <w:rPr>
                <w:rFonts w:hint="eastAsia" w:ascii="Times New Roman" w:hAnsi="Times New Roman"/>
                <w:color w:val="auto"/>
                <w:sz w:val="24"/>
                <w:szCs w:val="22"/>
                <w:u w:val="none"/>
                <w:lang w:eastAsia="zh-CN"/>
              </w:rPr>
              <w:t>的相符性见下表</w:t>
            </w:r>
            <w:r>
              <w:rPr>
                <w:rFonts w:ascii="Times New Roman" w:hAnsi="Times New Roman"/>
                <w:color w:val="auto"/>
                <w:sz w:val="24"/>
                <w:szCs w:val="22"/>
                <w:u w:val="none"/>
              </w:rPr>
              <w:t>。</w:t>
            </w: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Times New Roman" w:hAnsi="Times New Roman"/>
                <w:b/>
                <w:bCs/>
                <w:color w:val="auto"/>
                <w:sz w:val="21"/>
                <w:szCs w:val="20"/>
                <w:u w:val="none"/>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Times New Roman" w:hAnsi="Times New Roman"/>
                <w:b/>
                <w:bCs/>
                <w:color w:val="auto"/>
                <w:sz w:val="21"/>
                <w:szCs w:val="20"/>
                <w:u w:val="none"/>
              </w:rPr>
            </w:pPr>
            <w:r>
              <w:rPr>
                <w:rFonts w:ascii="Times New Roman" w:hAnsi="Times New Roman"/>
                <w:b/>
                <w:bCs/>
                <w:color w:val="auto"/>
                <w:sz w:val="21"/>
                <w:szCs w:val="20"/>
                <w:u w:val="none"/>
              </w:rPr>
              <w:t>表1-</w:t>
            </w:r>
            <w:r>
              <w:rPr>
                <w:rFonts w:hint="eastAsia" w:ascii="Times New Roman" w:hAnsi="Times New Roman"/>
                <w:b/>
                <w:bCs/>
                <w:color w:val="auto"/>
                <w:sz w:val="21"/>
                <w:szCs w:val="20"/>
                <w:u w:val="none"/>
                <w:lang w:val="en-US" w:eastAsia="zh-CN"/>
              </w:rPr>
              <w:t xml:space="preserve">7 </w:t>
            </w:r>
            <w:r>
              <w:rPr>
                <w:rFonts w:hint="eastAsia" w:ascii="Times New Roman" w:hAnsi="Times New Roman"/>
                <w:b/>
                <w:bCs/>
                <w:color w:val="auto"/>
                <w:sz w:val="21"/>
                <w:szCs w:val="20"/>
                <w:u w:val="none"/>
              </w:rPr>
              <w:t xml:space="preserve"> </w:t>
            </w:r>
            <w:r>
              <w:rPr>
                <w:rFonts w:ascii="Times New Roman" w:hAnsi="Times New Roman"/>
                <w:b/>
                <w:bCs/>
                <w:color w:val="auto"/>
                <w:sz w:val="21"/>
                <w:szCs w:val="20"/>
                <w:u w:val="none"/>
              </w:rPr>
              <w:t>与《报废</w:t>
            </w:r>
            <w:r>
              <w:rPr>
                <w:rFonts w:hint="eastAsia" w:ascii="Times New Roman" w:hAnsi="Times New Roman"/>
                <w:b/>
                <w:bCs/>
                <w:color w:val="auto"/>
                <w:sz w:val="21"/>
                <w:szCs w:val="20"/>
                <w:u w:val="none"/>
              </w:rPr>
              <w:t>机动车</w:t>
            </w:r>
            <w:r>
              <w:rPr>
                <w:rFonts w:ascii="Times New Roman" w:hAnsi="Times New Roman"/>
                <w:b/>
                <w:bCs/>
                <w:color w:val="auto"/>
                <w:sz w:val="21"/>
                <w:szCs w:val="20"/>
                <w:u w:val="none"/>
              </w:rPr>
              <w:t>回收拆解企业技术规范》</w:t>
            </w:r>
            <w:r>
              <w:rPr>
                <w:rFonts w:hint="eastAsia" w:ascii="Times New Roman" w:hAnsi="Times New Roman"/>
                <w:b/>
                <w:bCs/>
                <w:color w:val="auto"/>
                <w:sz w:val="21"/>
                <w:szCs w:val="20"/>
                <w:u w:val="none"/>
              </w:rPr>
              <w:t>（GB22128-2019）</w:t>
            </w:r>
            <w:r>
              <w:rPr>
                <w:rFonts w:ascii="Times New Roman" w:hAnsi="Times New Roman"/>
                <w:b/>
                <w:bCs/>
                <w:color w:val="auto"/>
                <w:sz w:val="21"/>
                <w:szCs w:val="20"/>
                <w:u w:val="none"/>
              </w:rPr>
              <w:t>符合性分析</w:t>
            </w:r>
          </w:p>
          <w:tbl>
            <w:tblPr>
              <w:tblStyle w:val="25"/>
              <w:tblW w:w="1213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5824"/>
              <w:gridCol w:w="4565"/>
              <w:gridCol w:w="7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ascii="Times New Roman" w:hAnsi="Times New Roman" w:eastAsia="宋体"/>
                      <w:b/>
                      <w:bCs/>
                      <w:color w:val="auto"/>
                      <w:kern w:val="0"/>
                      <w:sz w:val="21"/>
                      <w:szCs w:val="21"/>
                      <w:u w:val="none"/>
                    </w:rPr>
                  </w:pPr>
                  <w:r>
                    <w:rPr>
                      <w:rFonts w:ascii="Times New Roman" w:hAnsi="Times New Roman" w:eastAsia="宋体"/>
                      <w:b/>
                      <w:bCs/>
                      <w:color w:val="auto"/>
                      <w:kern w:val="0"/>
                      <w:sz w:val="21"/>
                      <w:szCs w:val="21"/>
                      <w:u w:val="none"/>
                    </w:rPr>
                    <w:t>内容</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ascii="Times New Roman" w:hAnsi="Times New Roman" w:eastAsia="宋体"/>
                      <w:b/>
                      <w:bCs/>
                      <w:color w:val="auto"/>
                      <w:kern w:val="0"/>
                      <w:sz w:val="21"/>
                      <w:szCs w:val="21"/>
                      <w:u w:val="none"/>
                    </w:rPr>
                  </w:pPr>
                  <w:r>
                    <w:rPr>
                      <w:rFonts w:ascii="Times New Roman" w:hAnsi="Times New Roman" w:eastAsia="宋体"/>
                      <w:b/>
                      <w:bCs/>
                      <w:color w:val="auto"/>
                      <w:kern w:val="0"/>
                      <w:sz w:val="21"/>
                      <w:szCs w:val="21"/>
                      <w:u w:val="none"/>
                    </w:rPr>
                    <w:t>行业规范要求</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ascii="Times New Roman" w:hAnsi="Times New Roman" w:eastAsia="宋体"/>
                      <w:b/>
                      <w:bCs/>
                      <w:color w:val="auto"/>
                      <w:kern w:val="0"/>
                      <w:sz w:val="21"/>
                      <w:szCs w:val="21"/>
                      <w:u w:val="none"/>
                    </w:rPr>
                  </w:pPr>
                  <w:r>
                    <w:rPr>
                      <w:rFonts w:ascii="Times New Roman" w:hAnsi="Times New Roman" w:eastAsia="宋体"/>
                      <w:b/>
                      <w:bCs/>
                      <w:color w:val="auto"/>
                      <w:kern w:val="0"/>
                      <w:sz w:val="21"/>
                      <w:szCs w:val="21"/>
                      <w:u w:val="none"/>
                    </w:rPr>
                    <w:t>本项目情况</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left="-105" w:leftChars="-50" w:right="-105" w:rightChars="-50"/>
                    <w:jc w:val="center"/>
                    <w:textAlignment w:val="auto"/>
                    <w:rPr>
                      <w:rFonts w:ascii="Times New Roman" w:hAnsi="Times New Roman" w:eastAsia="宋体"/>
                      <w:b/>
                      <w:bCs/>
                      <w:color w:val="auto"/>
                      <w:kern w:val="0"/>
                      <w:sz w:val="21"/>
                      <w:szCs w:val="21"/>
                      <w:u w:val="none"/>
                    </w:rPr>
                  </w:pPr>
                  <w:r>
                    <w:rPr>
                      <w:rFonts w:ascii="Times New Roman" w:hAnsi="Times New Roman" w:eastAsia="宋体"/>
                      <w:b/>
                      <w:bCs/>
                      <w:color w:val="auto"/>
                      <w:kern w:val="0"/>
                      <w:sz w:val="21"/>
                      <w:szCs w:val="21"/>
                      <w:u w:val="none"/>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lang w:eastAsia="zh-CN"/>
                    </w:rPr>
                  </w:pPr>
                  <w:r>
                    <w:rPr>
                      <w:rFonts w:hint="eastAsia" w:ascii="Times New Roman" w:hAnsi="Times New Roman" w:eastAsia="宋体"/>
                      <w:b w:val="0"/>
                      <w:bCs w:val="0"/>
                      <w:color w:val="auto"/>
                      <w:kern w:val="0"/>
                      <w:sz w:val="21"/>
                      <w:szCs w:val="21"/>
                      <w:u w:val="none"/>
                      <w:lang w:eastAsia="zh-CN"/>
                    </w:rPr>
                    <w:t>拆解产能要求</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rPr>
                  </w:pPr>
                  <w:r>
                    <w:rPr>
                      <w:rFonts w:hint="eastAsia" w:ascii="Times New Roman" w:hAnsi="Times New Roman" w:eastAsia="宋体"/>
                      <w:b w:val="0"/>
                      <w:bCs w:val="0"/>
                      <w:color w:val="auto"/>
                      <w:kern w:val="0"/>
                      <w:sz w:val="21"/>
                      <w:szCs w:val="21"/>
                      <w:u w:val="none"/>
                    </w:rPr>
                    <w:t>单个企业最低年拆解产能应满足下表要求。表中单个企业年拆解产能标准车型为GA 802中所定义的小型载客汽车，其他车型依据整备质量换算，标准车型整备质量为1.4t。</w:t>
                  </w:r>
                </w:p>
                <w:tbl>
                  <w:tblPr>
                    <w:tblStyle w:val="26"/>
                    <w:tblpPr w:leftFromText="180" w:rightFromText="180" w:vertAnchor="text" w:horzAnchor="page" w:tblpX="652" w:tblpY="53"/>
                    <w:tblOverlap w:val="never"/>
                    <w:tblW w:w="0" w:type="auto"/>
                    <w:tblInd w:w="1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108" w:type="dxa"/>
                      <w:bottom w:w="0" w:type="dxa"/>
                      <w:right w:w="108" w:type="dxa"/>
                    </w:tblCellMar>
                  </w:tblPr>
                  <w:tblGrid>
                    <w:gridCol w:w="1250"/>
                    <w:gridCol w:w="32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lang w:eastAsia="zh-CN"/>
                          </w:rPr>
                        </w:pPr>
                        <w:r>
                          <w:rPr>
                            <w:rFonts w:hint="eastAsia" w:ascii="Times New Roman" w:hAnsi="Times New Roman" w:eastAsia="宋体"/>
                            <w:b w:val="0"/>
                            <w:bCs w:val="0"/>
                            <w:color w:val="auto"/>
                            <w:kern w:val="0"/>
                            <w:sz w:val="21"/>
                            <w:szCs w:val="21"/>
                            <w:u w:val="none"/>
                            <w:vertAlign w:val="baseline"/>
                            <w:lang w:eastAsia="zh-CN"/>
                          </w:rPr>
                          <w:t>地区类型</w:t>
                        </w:r>
                      </w:p>
                    </w:tc>
                    <w:tc>
                      <w:tcPr>
                        <w:tcW w:w="3231"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单个企业最低年拆解产能/万辆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Ⅰ档</w:t>
                        </w:r>
                      </w:p>
                    </w:tc>
                    <w:tc>
                      <w:tcPr>
                        <w:tcW w:w="3231"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lang w:val="en-US" w:eastAsia="zh-CN"/>
                          </w:rPr>
                        </w:pPr>
                        <w:r>
                          <w:rPr>
                            <w:rFonts w:hint="eastAsia" w:ascii="Times New Roman" w:hAnsi="Times New Roman" w:eastAsia="宋体"/>
                            <w:b w:val="0"/>
                            <w:bCs w:val="0"/>
                            <w:color w:val="auto"/>
                            <w:kern w:val="0"/>
                            <w:sz w:val="21"/>
                            <w:szCs w:val="21"/>
                            <w:u w:val="none"/>
                            <w:vertAlign w:val="baseline"/>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Ⅱ档</w:t>
                        </w:r>
                      </w:p>
                    </w:tc>
                    <w:tc>
                      <w:tcPr>
                        <w:tcW w:w="3231"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lang w:val="en-US" w:eastAsia="zh-CN"/>
                          </w:rPr>
                        </w:pPr>
                        <w:r>
                          <w:rPr>
                            <w:rFonts w:hint="eastAsia" w:ascii="Times New Roman" w:hAnsi="Times New Roman" w:eastAsia="宋体"/>
                            <w:b w:val="0"/>
                            <w:bCs w:val="0"/>
                            <w:color w:val="auto"/>
                            <w:kern w:val="0"/>
                            <w:sz w:val="21"/>
                            <w:szCs w:val="21"/>
                            <w:u w:val="none"/>
                            <w:vertAlign w:val="baseline"/>
                            <w:lang w:val="en-US" w:eastAsia="zh-CN"/>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Ⅲ档</w:t>
                        </w:r>
                      </w:p>
                    </w:tc>
                    <w:tc>
                      <w:tcPr>
                        <w:tcW w:w="3231"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default" w:ascii="Times New Roman" w:hAnsi="Times New Roman" w:eastAsia="宋体"/>
                            <w:b w:val="0"/>
                            <w:bCs w:val="0"/>
                            <w:color w:val="auto"/>
                            <w:kern w:val="0"/>
                            <w:sz w:val="21"/>
                            <w:szCs w:val="21"/>
                            <w:u w:val="none"/>
                            <w:vertAlign w:val="baseline"/>
                            <w:lang w:val="en-US" w:eastAsia="zh-CN"/>
                          </w:rPr>
                        </w:pPr>
                        <w:r>
                          <w:rPr>
                            <w:rFonts w:hint="eastAsia" w:ascii="Times New Roman" w:hAnsi="Times New Roman" w:eastAsia="宋体"/>
                            <w:b w:val="0"/>
                            <w:bCs w:val="0"/>
                            <w:color w:val="auto"/>
                            <w:kern w:val="0"/>
                            <w:sz w:val="21"/>
                            <w:szCs w:val="21"/>
                            <w:u w:val="none"/>
                            <w:vertAlign w:val="baseline"/>
                            <w:lang w:val="en-US" w:eastAsia="zh-CN"/>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Ⅳ档</w:t>
                        </w:r>
                      </w:p>
                    </w:tc>
                    <w:tc>
                      <w:tcPr>
                        <w:tcW w:w="3231" w:type="dxa"/>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lang w:val="en-US" w:eastAsia="zh-CN"/>
                          </w:rPr>
                        </w:pPr>
                        <w:r>
                          <w:rPr>
                            <w:rFonts w:hint="eastAsia" w:ascii="Times New Roman" w:hAnsi="Times New Roman" w:eastAsia="宋体"/>
                            <w:b w:val="0"/>
                            <w:bCs w:val="0"/>
                            <w:color w:val="auto"/>
                            <w:kern w:val="0"/>
                            <w:sz w:val="21"/>
                            <w:szCs w:val="21"/>
                            <w:u w:val="none"/>
                            <w:vertAlign w:val="baseline"/>
                            <w:lang w:val="en-US" w:eastAsia="zh-CN"/>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Ⅴ档</w:t>
                        </w:r>
                      </w:p>
                    </w:tc>
                    <w:tc>
                      <w:tcPr>
                        <w:tcW w:w="3231" w:type="dxa"/>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5" w:hRule="atLeast"/>
                    </w:trPr>
                    <w:tc>
                      <w:tcPr>
                        <w:tcW w:w="125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vertAlign w:val="baseline"/>
                          </w:rPr>
                        </w:pPr>
                        <w:r>
                          <w:rPr>
                            <w:rFonts w:hint="eastAsia" w:ascii="Times New Roman" w:hAnsi="Times New Roman" w:eastAsia="宋体"/>
                            <w:b w:val="0"/>
                            <w:bCs w:val="0"/>
                            <w:color w:val="auto"/>
                            <w:kern w:val="0"/>
                            <w:sz w:val="21"/>
                            <w:szCs w:val="21"/>
                            <w:u w:val="none"/>
                            <w:vertAlign w:val="baseline"/>
                          </w:rPr>
                          <w:t>Ⅵ档</w:t>
                        </w:r>
                      </w:p>
                    </w:tc>
                    <w:tc>
                      <w:tcPr>
                        <w:tcW w:w="3231"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default" w:ascii="Times New Roman" w:hAnsi="Times New Roman" w:eastAsia="宋体"/>
                            <w:b w:val="0"/>
                            <w:bCs w:val="0"/>
                            <w:color w:val="auto"/>
                            <w:kern w:val="0"/>
                            <w:sz w:val="21"/>
                            <w:szCs w:val="21"/>
                            <w:u w:val="none"/>
                            <w:vertAlign w:val="baseline"/>
                            <w:lang w:val="en-US" w:eastAsia="zh-CN"/>
                          </w:rPr>
                        </w:pPr>
                        <w:r>
                          <w:rPr>
                            <w:rFonts w:hint="eastAsia" w:ascii="Times New Roman" w:hAnsi="Times New Roman" w:eastAsia="宋体"/>
                            <w:b w:val="0"/>
                            <w:bCs w:val="0"/>
                            <w:color w:val="auto"/>
                            <w:kern w:val="0"/>
                            <w:sz w:val="21"/>
                            <w:szCs w:val="21"/>
                            <w:u w:val="none"/>
                            <w:vertAlign w:val="baseline"/>
                            <w:lang w:val="en-US" w:eastAsia="zh-CN"/>
                          </w:rPr>
                          <w:t>0.5</w:t>
                        </w:r>
                      </w:p>
                    </w:tc>
                  </w:tr>
                </w:tbl>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b w:val="0"/>
                      <w:bCs w:val="0"/>
                      <w:color w:val="auto"/>
                      <w:kern w:val="0"/>
                      <w:sz w:val="21"/>
                      <w:szCs w:val="21"/>
                      <w:u w:val="none"/>
                      <w:lang w:eastAsia="zh-CN"/>
                    </w:rPr>
                  </w:pP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default" w:ascii="Times New Roman" w:hAnsi="Times New Roman" w:eastAsia="宋体"/>
                      <w:b w:val="0"/>
                      <w:bCs w:val="0"/>
                      <w:color w:val="auto"/>
                      <w:kern w:val="0"/>
                      <w:sz w:val="21"/>
                      <w:szCs w:val="21"/>
                      <w:u w:val="none"/>
                      <w:lang w:val="en-US" w:eastAsia="zh-CN"/>
                    </w:rPr>
                  </w:pPr>
                  <w:r>
                    <w:rPr>
                      <w:rFonts w:hint="eastAsia" w:ascii="Times New Roman" w:hAnsi="Times New Roman" w:eastAsia="宋体"/>
                      <w:b w:val="0"/>
                      <w:bCs w:val="0"/>
                      <w:color w:val="auto"/>
                      <w:kern w:val="0"/>
                      <w:sz w:val="21"/>
                      <w:szCs w:val="21"/>
                      <w:u w:val="none"/>
                      <w:lang w:eastAsia="zh-CN"/>
                    </w:rPr>
                    <w:t>本项目申报年拆解能力为</w:t>
                  </w:r>
                  <w:r>
                    <w:rPr>
                      <w:rFonts w:hint="eastAsia" w:ascii="Times New Roman" w:hAnsi="Times New Roman" w:eastAsia="宋体"/>
                      <w:b w:val="0"/>
                      <w:bCs w:val="0"/>
                      <w:color w:val="auto"/>
                      <w:kern w:val="0"/>
                      <w:sz w:val="21"/>
                      <w:szCs w:val="21"/>
                      <w:u w:val="none"/>
                      <w:lang w:val="en-US" w:eastAsia="zh-CN"/>
                    </w:rPr>
                    <w:t>1.5万辆，换算整备质量后年拆解能力为2.6万辆，Ⅴ档单个企业最低年拆解产能为1万辆，符合要求。</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left="-105" w:leftChars="-50" w:right="-105" w:rightChars="-50"/>
                    <w:jc w:val="center"/>
                    <w:textAlignment w:val="auto"/>
                    <w:rPr>
                      <w:rFonts w:ascii="Times New Roman" w:hAnsi="Times New Roman" w:eastAsia="宋体"/>
                      <w:b w:val="0"/>
                      <w:bCs w:val="0"/>
                      <w:color w:val="auto"/>
                      <w:kern w:val="0"/>
                      <w:sz w:val="21"/>
                      <w:szCs w:val="21"/>
                      <w:u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1.场地</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a) 符合所在地城市总体规划或国土空间规划；</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b) 符合GB 50187、HJ 348的选址要求，不得建在城市居民区、商业区、饮用水水源保护区及其他环境敏感区内，且避开受环境威胁的地带、地段和地区；</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c) 项目所在地有工业园区或再生利用园区的应建设在园区内</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u w:val="none"/>
                      <w:lang w:eastAsia="zh-CN"/>
                    </w:rPr>
                  </w:pPr>
                  <w:r>
                    <w:rPr>
                      <w:rFonts w:hint="eastAsia" w:ascii="Times New Roman" w:hAnsi="Times New Roman" w:eastAsia="宋体"/>
                      <w:color w:val="auto"/>
                      <w:kern w:val="0"/>
                      <w:sz w:val="21"/>
                      <w:szCs w:val="21"/>
                      <w:u w:val="none"/>
                      <w:lang w:eastAsia="zh-CN"/>
                    </w:rPr>
                    <w:t>本项目位于衡阳市衡阳县阳古社区湖南衡利丰陶瓷有限公司内（属于湖南衡阳西渡高新技术产业开发园区范围内），</w:t>
                  </w:r>
                  <w:r>
                    <w:rPr>
                      <w:rFonts w:ascii="Times New Roman" w:hAnsi="Times New Roman" w:eastAsia="宋体"/>
                      <w:color w:val="auto"/>
                      <w:kern w:val="0"/>
                      <w:sz w:val="21"/>
                      <w:szCs w:val="21"/>
                      <w:u w:val="none"/>
                    </w:rPr>
                    <w:t>符合所在地城市总体规划或国土空间规划；符合 GB 50187、HJ348的选址要求；项目所在地属于工业用地。</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最低经营面积（占地面积〉 应满足如下要求：a ) I 档-II 档地区为20000m</w:t>
                  </w:r>
                  <w:r>
                    <w:rPr>
                      <w:rFonts w:ascii="Times New Roman" w:hAnsi="Times New Roman" w:eastAsia="宋体"/>
                      <w:color w:val="auto"/>
                      <w:kern w:val="0"/>
                      <w:sz w:val="21"/>
                      <w:szCs w:val="21"/>
                      <w:u w:val="none"/>
                      <w:vertAlign w:val="superscript"/>
                    </w:rPr>
                    <w:t>2</w:t>
                  </w:r>
                  <w:r>
                    <w:rPr>
                      <w:rFonts w:ascii="Times New Roman" w:hAnsi="Times New Roman" w:eastAsia="宋体"/>
                      <w:color w:val="auto"/>
                      <w:kern w:val="0"/>
                      <w:sz w:val="21"/>
                      <w:szCs w:val="21"/>
                      <w:u w:val="none"/>
                    </w:rPr>
                    <w:t>，III 档-IV 档地区为15000m</w:t>
                  </w:r>
                  <w:r>
                    <w:rPr>
                      <w:rFonts w:ascii="Times New Roman" w:hAnsi="Times New Roman" w:eastAsia="宋体"/>
                      <w:color w:val="auto"/>
                      <w:kern w:val="0"/>
                      <w:sz w:val="21"/>
                      <w:szCs w:val="21"/>
                      <w:u w:val="none"/>
                      <w:vertAlign w:val="superscript"/>
                    </w:rPr>
                    <w:t>2</w:t>
                  </w:r>
                  <w:r>
                    <w:rPr>
                      <w:rFonts w:ascii="Times New Roman" w:hAnsi="Times New Roman" w:eastAsia="宋体"/>
                      <w:color w:val="auto"/>
                      <w:kern w:val="0"/>
                      <w:sz w:val="21"/>
                      <w:szCs w:val="21"/>
                      <w:u w:val="none"/>
                    </w:rPr>
                    <w:t>，V档-VI档地区为10000m</w:t>
                  </w:r>
                  <w:r>
                    <w:rPr>
                      <w:rFonts w:ascii="Times New Roman" w:hAnsi="Times New Roman" w:eastAsia="宋体"/>
                      <w:color w:val="auto"/>
                      <w:kern w:val="0"/>
                      <w:sz w:val="21"/>
                      <w:szCs w:val="21"/>
                      <w:u w:val="none"/>
                      <w:vertAlign w:val="superscript"/>
                    </w:rPr>
                    <w:t>2</w:t>
                  </w:r>
                  <w:r>
                    <w:rPr>
                      <w:rFonts w:ascii="Times New Roman" w:hAnsi="Times New Roman" w:eastAsia="宋体"/>
                      <w:color w:val="auto"/>
                      <w:kern w:val="0"/>
                      <w:sz w:val="21"/>
                      <w:szCs w:val="21"/>
                      <w:u w:val="none"/>
                    </w:rPr>
                    <w:t>；b) 其中作业场地（包括拆解和贮存场地）面积不低于经营面积的60%。</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项目属于V档地区类型，经营面积（占地面积）</w:t>
                  </w:r>
                  <w:r>
                    <w:rPr>
                      <w:rFonts w:hint="eastAsia" w:ascii="Times New Roman" w:hAnsi="Times New Roman" w:eastAsia="宋体"/>
                      <w:color w:val="auto"/>
                      <w:kern w:val="0"/>
                      <w:sz w:val="21"/>
                      <w:szCs w:val="21"/>
                      <w:u w:val="none"/>
                      <w:lang w:val="en-US" w:eastAsia="zh-CN"/>
                    </w:rPr>
                    <w:t>21235.5</w:t>
                  </w:r>
                  <w:r>
                    <w:rPr>
                      <w:rFonts w:ascii="Times New Roman" w:hAnsi="Times New Roman" w:eastAsia="宋体"/>
                      <w:color w:val="auto"/>
                      <w:kern w:val="0"/>
                      <w:sz w:val="21"/>
                      <w:szCs w:val="21"/>
                      <w:u w:val="none"/>
                    </w:rPr>
                    <w:t>m</w:t>
                  </w:r>
                  <w:r>
                    <w:rPr>
                      <w:rFonts w:ascii="Times New Roman" w:hAnsi="Times New Roman" w:eastAsia="宋体"/>
                      <w:color w:val="auto"/>
                      <w:kern w:val="0"/>
                      <w:sz w:val="21"/>
                      <w:szCs w:val="21"/>
                      <w:u w:val="none"/>
                      <w:vertAlign w:val="superscript"/>
                    </w:rPr>
                    <w:t>2</w:t>
                  </w:r>
                  <w:r>
                    <w:rPr>
                      <w:rFonts w:ascii="Times New Roman" w:hAnsi="Times New Roman" w:eastAsia="宋体"/>
                      <w:color w:val="auto"/>
                      <w:kern w:val="0"/>
                      <w:sz w:val="21"/>
                      <w:szCs w:val="21"/>
                      <w:u w:val="none"/>
                    </w:rPr>
                    <w:t>；</w:t>
                  </w:r>
                  <w:r>
                    <w:rPr>
                      <w:rFonts w:hint="eastAsia" w:ascii="Times New Roman" w:hAnsi="Times New Roman" w:eastAsia="宋体"/>
                      <w:bCs/>
                      <w:color w:val="auto"/>
                      <w:sz w:val="21"/>
                      <w:szCs w:val="21"/>
                      <w:u w:val="none"/>
                    </w:rPr>
                    <w:t>其中</w:t>
                  </w:r>
                  <w:r>
                    <w:rPr>
                      <w:rFonts w:hint="eastAsia" w:ascii="Times New Roman" w:hAnsi="Times New Roman" w:eastAsia="宋体"/>
                      <w:bCs/>
                      <w:color w:val="auto"/>
                      <w:sz w:val="21"/>
                      <w:szCs w:val="21"/>
                      <w:u w:val="none"/>
                      <w:lang w:eastAsia="zh-CN"/>
                    </w:rPr>
                    <w:t>有效作业面积为</w:t>
                  </w:r>
                  <w:r>
                    <w:rPr>
                      <w:rFonts w:hint="eastAsia" w:ascii="Times New Roman" w:hAnsi="Times New Roman" w:eastAsia="宋体"/>
                      <w:bCs/>
                      <w:color w:val="auto"/>
                      <w:sz w:val="21"/>
                      <w:szCs w:val="21"/>
                      <w:u w:val="none"/>
                      <w:lang w:val="en-US" w:eastAsia="zh-CN"/>
                    </w:rPr>
                    <w:t>16797</w:t>
                  </w:r>
                  <w:r>
                    <w:rPr>
                      <w:rFonts w:ascii="Times New Roman" w:hAnsi="Times New Roman" w:eastAsia="宋体"/>
                      <w:color w:val="auto"/>
                      <w:kern w:val="0"/>
                      <w:sz w:val="21"/>
                      <w:szCs w:val="21"/>
                      <w:u w:val="none"/>
                    </w:rPr>
                    <w:t>m</w:t>
                  </w:r>
                  <w:r>
                    <w:rPr>
                      <w:rFonts w:hint="eastAsia" w:ascii="Times New Roman" w:hAnsi="Times New Roman" w:eastAsia="宋体"/>
                      <w:color w:val="auto"/>
                      <w:kern w:val="0"/>
                      <w:sz w:val="21"/>
                      <w:szCs w:val="21"/>
                      <w:u w:val="none"/>
                      <w:vertAlign w:val="superscript"/>
                      <w:lang w:val="en-US" w:eastAsia="zh-CN"/>
                    </w:rPr>
                    <w:t>2</w:t>
                  </w:r>
                  <w:r>
                    <w:rPr>
                      <w:rFonts w:hint="eastAsia" w:ascii="Times New Roman" w:hAnsi="Times New Roman" w:eastAsia="宋体"/>
                      <w:bCs/>
                      <w:color w:val="auto"/>
                      <w:sz w:val="21"/>
                      <w:szCs w:val="21"/>
                      <w:u w:val="none"/>
                    </w:rPr>
                    <w:t>，</w:t>
                  </w:r>
                  <w:r>
                    <w:rPr>
                      <w:rFonts w:ascii="Times New Roman" w:hAnsi="Times New Roman" w:eastAsia="宋体"/>
                      <w:bCs/>
                      <w:color w:val="auto"/>
                      <w:sz w:val="21"/>
                      <w:szCs w:val="21"/>
                      <w:u w:val="none"/>
                    </w:rPr>
                    <w:t>作业场地</w:t>
                  </w:r>
                  <w:r>
                    <w:rPr>
                      <w:rFonts w:hint="eastAsia" w:ascii="Times New Roman" w:hAnsi="Times New Roman" w:eastAsia="宋体"/>
                      <w:bCs/>
                      <w:color w:val="auto"/>
                      <w:sz w:val="21"/>
                      <w:szCs w:val="21"/>
                      <w:u w:val="none"/>
                    </w:rPr>
                    <w:t>面积占营业面积的</w:t>
                  </w:r>
                  <w:r>
                    <w:rPr>
                      <w:rFonts w:hint="eastAsia"/>
                      <w:bCs/>
                      <w:color w:val="auto"/>
                      <w:sz w:val="21"/>
                      <w:szCs w:val="21"/>
                      <w:u w:val="none"/>
                      <w:lang w:val="en-US" w:eastAsia="zh-CN"/>
                    </w:rPr>
                    <w:t>79.1</w:t>
                  </w:r>
                  <w:r>
                    <w:rPr>
                      <w:rFonts w:hint="eastAsia" w:ascii="Times New Roman" w:hAnsi="Times New Roman" w:eastAsia="宋体"/>
                      <w:bCs/>
                      <w:color w:val="auto"/>
                      <w:sz w:val="21"/>
                      <w:szCs w:val="21"/>
                      <w:u w:val="none"/>
                    </w:rPr>
                    <w:t>%</w:t>
                  </w:r>
                  <w:r>
                    <w:rPr>
                      <w:rFonts w:hint="eastAsia" w:ascii="Times New Roman" w:hAnsi="Times New Roman" w:eastAsia="宋体"/>
                      <w:bCs/>
                      <w:color w:val="auto"/>
                      <w:sz w:val="21"/>
                      <w:szCs w:val="21"/>
                      <w:u w:val="none"/>
                      <w:lang w:eastAsia="zh-CN"/>
                    </w:rPr>
                    <w:t>，满足要求</w:t>
                  </w:r>
                  <w:r>
                    <w:rPr>
                      <w:rFonts w:hint="eastAsia" w:ascii="Times New Roman" w:hAnsi="Times New Roman" w:eastAsia="宋体"/>
                      <w:bCs/>
                      <w:color w:val="auto"/>
                      <w:sz w:val="21"/>
                      <w:szCs w:val="21"/>
                      <w:u w:val="none"/>
                    </w:rPr>
                    <w:t>。</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严格执行《工业项目建设用地控制指标》建设用地标准，且场地建设符合HJ 348的企业建设环境保护要求。</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hint="eastAsia" w:ascii="Times New Roman" w:hAnsi="Times New Roman" w:eastAsia="宋体"/>
                      <w:color w:val="auto"/>
                      <w:kern w:val="0"/>
                      <w:sz w:val="21"/>
                      <w:szCs w:val="21"/>
                      <w:u w:val="none"/>
                      <w:lang w:eastAsia="zh-CN"/>
                    </w:rPr>
                    <w:t>符合《工业项目建设用地控制指标》和HJ 348</w:t>
                  </w:r>
                  <w:r>
                    <w:rPr>
                      <w:rFonts w:hint="eastAsia" w:ascii="Times New Roman" w:hAnsi="Times New Roman" w:eastAsia="宋体"/>
                      <w:color w:val="auto"/>
                      <w:kern w:val="0"/>
                      <w:sz w:val="21"/>
                      <w:szCs w:val="21"/>
                      <w:u w:val="none"/>
                    </w:rPr>
                    <w:t>。</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场地应具备拆解场地、贮存场地和办公场地。其中，拆解场地和贮存场地（包括临时贮存）的地面应硬化并防渗漏，满足GB 50037的防油渗地面要求。</w:t>
                  </w:r>
                </w:p>
              </w:tc>
              <w:tc>
                <w:tcPr>
                  <w:tcW w:w="4565"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u w:val="none"/>
                    </w:rPr>
                  </w:pPr>
                  <w:r>
                    <w:rPr>
                      <w:rFonts w:hint="eastAsia" w:ascii="Times New Roman" w:hAnsi="Times New Roman" w:eastAsia="宋体"/>
                      <w:color w:val="auto"/>
                      <w:kern w:val="0"/>
                      <w:sz w:val="21"/>
                      <w:szCs w:val="21"/>
                      <w:u w:val="none"/>
                    </w:rPr>
                    <w:t>本项目包含拆解场地、贮存场地和办公场地，并</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u w:val="none"/>
                      <w:lang w:val="en-US" w:eastAsia="zh-CN" w:bidi="ar-SA"/>
                    </w:rPr>
                  </w:pPr>
                  <w:r>
                    <w:rPr>
                      <w:rFonts w:hint="eastAsia" w:ascii="Times New Roman" w:hAnsi="Times New Roman" w:eastAsia="宋体"/>
                      <w:color w:val="auto"/>
                      <w:kern w:val="0"/>
                      <w:sz w:val="21"/>
                      <w:szCs w:val="21"/>
                      <w:u w:val="none"/>
                    </w:rPr>
                    <w:t>且拆解场地、贮存场地，全部地面硬化、防渗。</w:t>
                  </w:r>
                </w:p>
              </w:tc>
              <w:tc>
                <w:tcPr>
                  <w:tcW w:w="769" w:type="dxa"/>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lang w:val="en-US" w:eastAsia="zh-CN" w:bidi="ar-SA"/>
                    </w:rPr>
                  </w:pPr>
                  <w:r>
                    <w:rPr>
                      <w:rFonts w:ascii="Times New Roman" w:hAnsi="Times New Roman" w:eastAsia="宋体"/>
                      <w:color w:val="auto"/>
                      <w:kern w:val="0"/>
                      <w:sz w:val="21"/>
                      <w:szCs w:val="21"/>
                      <w:u w:val="none"/>
                    </w:rPr>
                    <w:t>符合</w:t>
                  </w:r>
                </w:p>
              </w:tc>
            </w:tr>
            <w:bookmarkEnd w:id="8"/>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拆解场地应为封闭或半封闭构建物，应通风、光线良好，安全环保设施设备齐全。</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hint="eastAsia" w:ascii="Times New Roman" w:hAnsi="Times New Roman" w:eastAsia="宋体"/>
                      <w:color w:val="auto"/>
                      <w:kern w:val="0"/>
                      <w:sz w:val="21"/>
                      <w:szCs w:val="21"/>
                      <w:u w:val="none"/>
                    </w:rPr>
                    <w:t>本项目拆解作业区为半封闭型，地面防渗硬化，车间通风、光线良好，安全防范措施齐全。</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贮存场地应分为报废机动车贮存场地、回用件贮存场地及固体废物贮存场地。固体废物贮存场地应具有满足GB 18599 要求的一般工业固体废物贮存设施和满足GB 18597 要求的危险废物贮存设施。</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hint="eastAsia" w:ascii="Times New Roman" w:hAnsi="Times New Roman" w:eastAsia="宋体"/>
                      <w:color w:val="auto"/>
                      <w:kern w:val="0"/>
                      <w:sz w:val="21"/>
                      <w:szCs w:val="21"/>
                      <w:u w:val="none"/>
                    </w:rPr>
                    <w:t>本项目设有报废机动车贮存</w:t>
                  </w:r>
                  <w:r>
                    <w:rPr>
                      <w:rFonts w:hint="eastAsia" w:ascii="Times New Roman" w:hAnsi="Times New Roman" w:eastAsia="宋体"/>
                      <w:color w:val="auto"/>
                      <w:kern w:val="0"/>
                      <w:sz w:val="21"/>
                      <w:szCs w:val="21"/>
                      <w:u w:val="none"/>
                      <w:lang w:eastAsia="zh-CN"/>
                    </w:rPr>
                    <w:t>区</w:t>
                  </w:r>
                  <w:r>
                    <w:rPr>
                      <w:rFonts w:hint="eastAsia" w:ascii="Times New Roman" w:hAnsi="Times New Roman" w:eastAsia="宋体"/>
                      <w:color w:val="auto"/>
                      <w:kern w:val="0"/>
                      <w:sz w:val="21"/>
                      <w:szCs w:val="21"/>
                      <w:u w:val="none"/>
                    </w:rPr>
                    <w:t>、回用件贮存</w:t>
                  </w:r>
                  <w:r>
                    <w:rPr>
                      <w:rFonts w:hint="eastAsia" w:ascii="Times New Roman" w:hAnsi="Times New Roman" w:eastAsia="宋体"/>
                      <w:color w:val="auto"/>
                      <w:kern w:val="0"/>
                      <w:sz w:val="21"/>
                      <w:szCs w:val="21"/>
                      <w:u w:val="none"/>
                      <w:lang w:eastAsia="zh-CN"/>
                    </w:rPr>
                    <w:t>区</w:t>
                  </w:r>
                  <w:r>
                    <w:rPr>
                      <w:rFonts w:hint="eastAsia" w:ascii="Times New Roman" w:hAnsi="Times New Roman" w:eastAsia="宋体"/>
                      <w:color w:val="auto"/>
                      <w:kern w:val="0"/>
                      <w:sz w:val="21"/>
                      <w:szCs w:val="21"/>
                      <w:u w:val="none"/>
                    </w:rPr>
                    <w:t>、固体废物贮存</w:t>
                  </w:r>
                  <w:r>
                    <w:rPr>
                      <w:rFonts w:hint="eastAsia" w:ascii="Times New Roman" w:hAnsi="Times New Roman" w:eastAsia="宋体"/>
                      <w:color w:val="auto"/>
                      <w:kern w:val="0"/>
                      <w:sz w:val="21"/>
                      <w:szCs w:val="21"/>
                      <w:u w:val="none"/>
                      <w:lang w:eastAsia="zh-CN"/>
                    </w:rPr>
                    <w:t>区</w:t>
                  </w:r>
                  <w:r>
                    <w:rPr>
                      <w:rFonts w:hint="eastAsia" w:ascii="Times New Roman" w:hAnsi="Times New Roman" w:eastAsia="宋体"/>
                      <w:color w:val="auto"/>
                      <w:kern w:val="0"/>
                      <w:sz w:val="21"/>
                      <w:szCs w:val="21"/>
                      <w:u w:val="none"/>
                    </w:rPr>
                    <w:t>。固体废物贮存场地满足一般工业固体废物和危险废物贮存设施要求。</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2.设施设备</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应具备以下一般拆解设施设备：</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a)车辆称重设备；b)室内或有防雨顶棚的拆解预处理平台；c)车架（车身）剪断、切割设备或压扁设备，不得仅以氧割设备代替；d)起重、运输或专用拖车等设备；e)总成拆解平台；f)气动拆解工具；g)简易拆解工具。</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本项目设施了地磅用于车辆的称重。具有室内的拆解预处理平台；设置有剪断、切割等设备；设置有起重、运输及专用拖车等设备，总成拆解平台，气动拆解工具，简易拆解工具。</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应具备以下安全设施设备：</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a)安全气囊直接引爆装置或者拆除、贮存、引爆装置；</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b)满足GB 50016规定的消防设施设备；</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c)应急救援设备 。</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项目机动车拆解处设置专用设备专门用于安全气囊的引爆，报废机动车拆下得气囊置于引爆容器内，使用电子引爆器进行引爆，引爆容器为封闭箱式装置，可起到阻隔噪音的作用，且可有效保证车间内操作人员安全。</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具备以下环保设施设备：</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a )满足HJ 348要求的油水分离器等企业建设环境保护设备；b)配有专用废液收集装置和分类存放各种废液的专用密闭容器；c)机动车空调制冷剂收集装置和分类存放各种制冷剂的密闭容器；d)分类存放机油滤清器和铅酸蓄电池的容器。</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项目环保设备满足HJ 348要求的油水分离，配有专用废液收集装置和分类存放各种废液的专用密闭容器，设置有空调制冷剂收集装置和分类存放各种制冷剂的密闭容器，分类存放机油滤清器和铅酸蓄电池的容器。</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应具备电脑、拍照设备、电子监控等设施设备</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按设计内容可知，企业设置有电脑、拍照设备、电子监控等设施设备装置。</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I 档-II 档地区的企业还应具备以下高效拆解设施设备：a)精细拆解平台及相应的设备工装；b)解体机或拆解线等拆解设备；c)大型高效剪断、切割设备；d)集中高效废液回收设备。</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本项目</w:t>
                  </w:r>
                  <w:r>
                    <w:rPr>
                      <w:rFonts w:hint="eastAsia" w:ascii="Times New Roman" w:hAnsi="Times New Roman" w:eastAsia="宋体"/>
                      <w:color w:val="auto"/>
                      <w:kern w:val="0"/>
                      <w:sz w:val="21"/>
                      <w:szCs w:val="21"/>
                      <w:u w:val="none"/>
                      <w:lang w:eastAsia="zh-CN"/>
                    </w:rPr>
                    <w:t>设有解体机</w:t>
                  </w:r>
                  <w:r>
                    <w:rPr>
                      <w:rFonts w:ascii="Times New Roman" w:hAnsi="Times New Roman" w:eastAsia="宋体"/>
                      <w:color w:val="auto"/>
                      <w:kern w:val="0"/>
                      <w:sz w:val="21"/>
                      <w:szCs w:val="21"/>
                      <w:u w:val="none"/>
                    </w:rPr>
                    <w:t>。</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拆解电动汽车的企业还应具备以下设施设备及材料：a)绝缘检测设备等安全评估设备；b)动力蓄电池断电设备；c)吊具、夹臂、机械手</w:t>
                  </w:r>
                </w:p>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和升降工装等动力蓄电池拆卸设备；d)防静电废液、空调制冷剂抽排设备；e)绝缘工作服等安全防护及救援设备；f)绝缘气动工具；g)绝缘辅助工具；h)动力蓄电池绝缘处理材料；I)放电设施设备。</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u w:val="none"/>
                      <w:lang w:eastAsia="zh-CN"/>
                    </w:rPr>
                  </w:pPr>
                  <w:r>
                    <w:rPr>
                      <w:rFonts w:hint="eastAsia" w:ascii="Times New Roman" w:hAnsi="Times New Roman" w:eastAsia="宋体"/>
                      <w:color w:val="auto"/>
                      <w:kern w:val="0"/>
                      <w:sz w:val="21"/>
                      <w:szCs w:val="21"/>
                      <w:u w:val="none"/>
                      <w:lang w:eastAsia="zh-CN"/>
                    </w:rPr>
                    <w:t>按设施设备要求进行配备。</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3.人员</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企业技术人员应经过岗前培训，其专业技能应能满足规范拆解、环保作业、安全操作等相应要求，并配备专业安全生产管理人员和环保管理人员，国家有持证上岗规定的，应持证上岗。</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color w:val="auto"/>
                      <w:szCs w:val="21"/>
                      <w:u w:val="none"/>
                    </w:rPr>
                    <w:t>项目</w:t>
                  </w:r>
                  <w:r>
                    <w:rPr>
                      <w:rFonts w:hint="eastAsia"/>
                      <w:color w:val="auto"/>
                      <w:szCs w:val="21"/>
                      <w:u w:val="none"/>
                      <w:lang w:eastAsia="zh-CN"/>
                    </w:rPr>
                    <w:t>定员</w:t>
                  </w:r>
                  <w:r>
                    <w:rPr>
                      <w:rFonts w:hint="eastAsia" w:ascii="Times New Roman" w:hAnsi="Times New Roman"/>
                      <w:color w:val="auto"/>
                      <w:szCs w:val="21"/>
                      <w:u w:val="none"/>
                      <w:lang w:val="en-US" w:eastAsia="zh-CN"/>
                    </w:rPr>
                    <w:t>10人</w:t>
                  </w:r>
                  <w:r>
                    <w:rPr>
                      <w:rFonts w:ascii="Times New Roman" w:hAnsi="Times New Roman"/>
                      <w:color w:val="auto"/>
                      <w:szCs w:val="21"/>
                      <w:u w:val="none"/>
                    </w:rPr>
                    <w:t>，</w:t>
                  </w:r>
                  <w:r>
                    <w:rPr>
                      <w:rFonts w:ascii="Times New Roman" w:hAnsi="Times New Roman" w:eastAsia="宋体"/>
                      <w:color w:val="auto"/>
                      <w:kern w:val="0"/>
                      <w:sz w:val="21"/>
                      <w:szCs w:val="21"/>
                      <w:u w:val="none"/>
                    </w:rPr>
                    <w:t>其专业技能均能满足规范拆解、环保作业、安全操作等要求，持证上岗</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具有电动汽车拆解业务的企业应具有动力蓄电池贮存管理人员及2人以上持电工特种作业操作证人员。动力蓄电池贮存管理人员应具有动力蓄电池防火、防世漏、防短路等相关专业知识。拆解人员应在汽车生产企业提供的拆解信息或手册的指导下进行拆解。</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u w:val="none"/>
                      <w:lang w:eastAsia="zh-CN"/>
                    </w:rPr>
                  </w:pPr>
                  <w:r>
                    <w:rPr>
                      <w:rFonts w:hint="eastAsia" w:ascii="Times New Roman" w:hAnsi="Times New Roman" w:eastAsia="宋体"/>
                      <w:color w:val="auto"/>
                      <w:kern w:val="0"/>
                      <w:sz w:val="21"/>
                      <w:szCs w:val="21"/>
                      <w:u w:val="none"/>
                      <w:lang w:eastAsia="zh-CN"/>
                    </w:rPr>
                    <w:t>将按要求具备相关管理人员及特种作业操作人员。</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4.安全</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实施满足GB/T33000要求的安全管理制度，具有水、电、气等安全使用说明，安全生产规程，防火、防汛、应急预案等。拆除的安全气囊组件应在易燃、易爆等危险品仓库及高压输电线路防护区域以外引爆，并在引爆区域设有爆炸物安全警示标志和隔离栏。</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企业具有水、电、气等安全使用说明，环评要求企业按安全生产规程操作，防火、防汛、同时编制应急预案，要求拆除的安全气囊组件不应在易燃、易爆等危险品仓库及高压输电线路防护区域引爆，设安全警示标志和隔离栏。</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场地内应设置相应的安全标志，安全标志的使用应满足 GB 2894 中关于禁止、警告、指令、提示标志的要求</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要求企业场地内设置禁止、警告、指令、提示相应的安全标志。</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应按照 GBZ 188 的规定对接触汽油等有害化学因素，噪声、手传振动等有害物理因素的作业人员及粉尘、电工、压力容器等作业人员进行监护</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要求对接触汽油等有害化学因素，噪声、手传振动等有害物理因素的作业人员及粉尘、电工、压力容器等作业人员进行监护。</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5.信息管理</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建立电子信息档案，按以下方式记录报废机动车回收登记、固体废物信息:对回收的报废机动车进行逐车登记，并按要求将报废机动车所有人(单位)名称、有效证件号码、牌照号码、车型、品牌型号、车身颜色、重量、发动机号和/或动力蓄电池编码、车辆识别代码、出厂年份、接收或收购且期等相关信息录入“全国汽车流通信息管理应用服务”系统，信息保存期限不低于3年</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按照信息管理要求，建立电子信息档案，并将相关信息录入“全国汽车流通值息管理应用服务”系统，信息保存期限不低于3年。</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将固体废物的来源、种类、产生量、产生时间及处理(流向)等数据，录入到“全国固体废物管理信息系统”或省级省级生态环境主管部门自建与其联网的相关系统，其中危险废物处理(流向)信息保存期限为3年</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规范一般固体废物和危险废物的管理，严格执行危险废物的处置要求，并与</w:t>
                  </w:r>
                  <w:r>
                    <w:rPr>
                      <w:rFonts w:hint="eastAsia" w:ascii="Times New Roman" w:hAnsi="Times New Roman" w:eastAsia="宋体"/>
                      <w:color w:val="auto"/>
                      <w:kern w:val="0"/>
                      <w:sz w:val="21"/>
                      <w:szCs w:val="21"/>
                      <w:u w:val="none"/>
                      <w:lang w:eastAsia="zh-CN"/>
                    </w:rPr>
                    <w:t>湖南</w:t>
                  </w:r>
                  <w:r>
                    <w:rPr>
                      <w:rFonts w:ascii="Times New Roman" w:hAnsi="Times New Roman" w:eastAsia="宋体"/>
                      <w:color w:val="auto"/>
                      <w:kern w:val="0"/>
                      <w:sz w:val="21"/>
                      <w:szCs w:val="21"/>
                      <w:u w:val="none"/>
                    </w:rPr>
                    <w:t>省固体废物管理信息系统联网，相关数据保存不低于3年。</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生产经营场所应设置全覆盖的电子监控系统，实时记录报废机动车回收和拆解过程，相关信息保存期限不低于1年</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拆解车间设置全覆盖的电子摄像监控系统，实时记录报废机动车回收和拆解过程，相关信息保存期限不低于1年。</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6.环保要求</w:t>
                  </w: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报废机动车拆解过程应满足HJ348中所规定的清污分流、污水达标排放等环境保护和污染控制的相关要求</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u w:val="none"/>
                      <w:lang w:eastAsia="zh-CN"/>
                    </w:rPr>
                  </w:pPr>
                  <w:r>
                    <w:rPr>
                      <w:rFonts w:ascii="Times New Roman" w:hAnsi="Times New Roman" w:eastAsia="宋体"/>
                      <w:color w:val="auto"/>
                      <w:kern w:val="0"/>
                      <w:sz w:val="21"/>
                      <w:szCs w:val="21"/>
                      <w:u w:val="none"/>
                    </w:rPr>
                    <w:t>本</w:t>
                  </w:r>
                  <w:r>
                    <w:rPr>
                      <w:rFonts w:hint="eastAsia" w:ascii="Times New Roman" w:hAnsi="Times New Roman" w:eastAsia="宋体"/>
                      <w:color w:val="auto"/>
                      <w:kern w:val="0"/>
                      <w:sz w:val="21"/>
                      <w:szCs w:val="21"/>
                      <w:u w:val="none"/>
                      <w:lang w:eastAsia="zh-CN"/>
                    </w:rPr>
                    <w:t>项目</w:t>
                  </w:r>
                  <w:r>
                    <w:rPr>
                      <w:rFonts w:hint="default" w:ascii="Times New Roman" w:hAnsi="Times New Roman" w:eastAsia="宋体" w:cs="Times New Roman"/>
                      <w:color w:val="000000"/>
                      <w:sz w:val="21"/>
                      <w:szCs w:val="21"/>
                    </w:rPr>
                    <w:t>排水实施雨污分流，</w:t>
                  </w:r>
                  <w:r>
                    <w:rPr>
                      <w:rFonts w:hint="eastAsia" w:ascii="Times New Roman" w:cs="Times New Roman"/>
                      <w:color w:val="auto"/>
                      <w:sz w:val="21"/>
                      <w:szCs w:val="21"/>
                      <w:u w:val="wave"/>
                      <w:lang w:eastAsia="zh-CN"/>
                    </w:rPr>
                    <w:t>初期雨水经初期雨水收集池收集后，与</w:t>
                  </w:r>
                  <w:r>
                    <w:rPr>
                      <w:rFonts w:hint="default" w:ascii="Times New Roman" w:hAnsi="Times New Roman" w:eastAsia="宋体" w:cs="Times New Roman"/>
                      <w:color w:val="auto"/>
                      <w:sz w:val="21"/>
                      <w:szCs w:val="21"/>
                      <w:u w:val="wave"/>
                    </w:rPr>
                    <w:t>项目</w:t>
                  </w:r>
                  <w:r>
                    <w:rPr>
                      <w:rFonts w:hint="eastAsia" w:ascii="Times New Roman" w:hAnsi="Times New Roman" w:eastAsia="宋体" w:cs="Times New Roman"/>
                      <w:color w:val="auto"/>
                      <w:sz w:val="21"/>
                      <w:szCs w:val="21"/>
                      <w:u w:val="wave"/>
                      <w:lang w:eastAsia="zh-CN"/>
                    </w:rPr>
                    <w:t>车间地面拖洗废水</w:t>
                  </w:r>
                  <w:r>
                    <w:rPr>
                      <w:rFonts w:hint="eastAsia" w:ascii="Times New Roman" w:cs="Times New Roman"/>
                      <w:color w:val="auto"/>
                      <w:sz w:val="21"/>
                      <w:szCs w:val="21"/>
                      <w:u w:val="wave"/>
                      <w:lang w:eastAsia="zh-CN"/>
                    </w:rPr>
                    <w:t>一并</w:t>
                  </w:r>
                  <w:r>
                    <w:rPr>
                      <w:rFonts w:hint="default" w:ascii="Times New Roman" w:hAnsi="Times New Roman" w:eastAsia="宋体" w:cs="Times New Roman"/>
                      <w:color w:val="auto"/>
                      <w:sz w:val="21"/>
                      <w:szCs w:val="21"/>
                      <w:u w:val="wave"/>
                    </w:rPr>
                    <w:t>经</w:t>
                  </w:r>
                  <w:r>
                    <w:rPr>
                      <w:rFonts w:hint="eastAsia" w:ascii="Times New Roman" w:cs="Times New Roman"/>
                      <w:color w:val="auto"/>
                      <w:sz w:val="21"/>
                      <w:szCs w:val="21"/>
                      <w:u w:val="wave"/>
                      <w:lang w:eastAsia="zh-CN"/>
                    </w:rPr>
                    <w:t>三级</w:t>
                  </w:r>
                  <w:r>
                    <w:rPr>
                      <w:rFonts w:hint="eastAsia" w:ascii="Times New Roman" w:hAnsi="Times New Roman" w:eastAsia="宋体" w:cs="Times New Roman"/>
                      <w:color w:val="auto"/>
                      <w:sz w:val="21"/>
                      <w:szCs w:val="21"/>
                      <w:u w:val="wave"/>
                      <w:lang w:eastAsia="zh-CN"/>
                    </w:rPr>
                    <w:t>隔油</w:t>
                  </w:r>
                  <w:r>
                    <w:rPr>
                      <w:rFonts w:hint="default" w:ascii="Times New Roman" w:hAnsi="Times New Roman" w:eastAsia="宋体" w:cs="Times New Roman"/>
                      <w:color w:val="auto"/>
                      <w:sz w:val="21"/>
                      <w:szCs w:val="21"/>
                      <w:u w:val="wave"/>
                    </w:rPr>
                    <w:t>沉淀</w:t>
                  </w:r>
                  <w:r>
                    <w:rPr>
                      <w:rFonts w:hint="eastAsia" w:ascii="Times New Roman" w:cs="Times New Roman"/>
                      <w:color w:val="auto"/>
                      <w:sz w:val="21"/>
                      <w:szCs w:val="21"/>
                      <w:u w:val="wave"/>
                      <w:lang w:eastAsia="zh-CN"/>
                    </w:rPr>
                    <w:t>池</w:t>
                  </w:r>
                  <w:r>
                    <w:rPr>
                      <w:rFonts w:hint="eastAsia" w:ascii="Times New Roman" w:cs="Times New Roman"/>
                      <w:color w:val="auto"/>
                      <w:sz w:val="21"/>
                      <w:szCs w:val="21"/>
                      <w:u w:val="wave"/>
                      <w:lang w:val="en-US" w:eastAsia="zh-CN"/>
                    </w:rPr>
                    <w:t>+高效油水分离器处理后</w:t>
                  </w:r>
                  <w:r>
                    <w:rPr>
                      <w:rFonts w:hint="default" w:ascii="Times New Roman" w:hAnsi="Times New Roman" w:eastAsia="宋体" w:cs="Times New Roman"/>
                      <w:color w:val="auto"/>
                      <w:sz w:val="21"/>
                      <w:szCs w:val="21"/>
                      <w:u w:val="wave"/>
                    </w:rPr>
                    <w:t>排入园区污水管网最后进入衡阳西渡高新区污水处理厂深度处理；生活污水经化粪池处理后排入园区污水管网最后进入衡阳西渡高新区污水处理厂深度处理</w:t>
                  </w:r>
                  <w:r>
                    <w:rPr>
                      <w:rFonts w:hint="default" w:ascii="Times New Roman" w:hAnsi="Times New Roman" w:eastAsia="宋体" w:cs="Times New Roman"/>
                      <w:color w:val="auto"/>
                      <w:sz w:val="21"/>
                      <w:szCs w:val="21"/>
                    </w:rPr>
                    <w:t>。</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应实施满足危险废物规范化管理要求的环境管理制度，其中对列入《国家危险废物名录》的危险废物应严格按照有关规定进行管理</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项目建立了严格的一般固废和危险废物管理制度，并于有资质的单位签订危废处置合同，按照《报废机动车拆解环境保护技术规范》(GB22128-2008)、《危险废物贮存污染控制标准》(GB18597-2001)有关要求及《危险废物管理制度》中贮存、运输、处理规定进行管理。</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p>
              </w:tc>
              <w:tc>
                <w:tcPr>
                  <w:tcW w:w="58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应满足GB12348中所规定的2类声环境功能区工业企业厂界环境噪声排放限值要求</w:t>
                  </w:r>
                </w:p>
              </w:tc>
              <w:tc>
                <w:tcPr>
                  <w:tcW w:w="456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根据预测，项目四周厂界噪声能够满足《工业企业厂界环境噪声排放标准》</w:t>
                  </w:r>
                  <w:r>
                    <w:rPr>
                      <w:rFonts w:hint="eastAsia" w:ascii="Times New Roman" w:hAnsi="Times New Roman" w:eastAsia="宋体"/>
                      <w:color w:val="auto"/>
                      <w:kern w:val="0"/>
                      <w:sz w:val="21"/>
                      <w:szCs w:val="21"/>
                      <w:u w:val="none"/>
                      <w:lang w:eastAsia="zh-CN"/>
                    </w:rPr>
                    <w:t>（</w:t>
                  </w:r>
                  <w:r>
                    <w:rPr>
                      <w:rFonts w:ascii="Times New Roman" w:hAnsi="Times New Roman" w:eastAsia="宋体"/>
                      <w:color w:val="auto"/>
                      <w:kern w:val="0"/>
                      <w:sz w:val="21"/>
                      <w:szCs w:val="21"/>
                      <w:u w:val="none"/>
                    </w:rPr>
                    <w:t>GB12348-2008</w:t>
                  </w:r>
                  <w:r>
                    <w:rPr>
                      <w:rFonts w:hint="eastAsia" w:ascii="Times New Roman" w:hAnsi="Times New Roman" w:eastAsia="宋体"/>
                      <w:color w:val="auto"/>
                      <w:kern w:val="0"/>
                      <w:sz w:val="21"/>
                      <w:szCs w:val="21"/>
                      <w:u w:val="none"/>
                      <w:lang w:eastAsia="zh-CN"/>
                    </w:rPr>
                    <w:t>）</w:t>
                  </w:r>
                  <w:r>
                    <w:rPr>
                      <w:rFonts w:hint="eastAsia" w:ascii="Times New Roman" w:hAnsi="Times New Roman" w:eastAsia="宋体"/>
                      <w:color w:val="auto"/>
                      <w:kern w:val="0"/>
                      <w:sz w:val="21"/>
                      <w:szCs w:val="21"/>
                      <w:u w:val="none"/>
                      <w:lang w:val="en-US" w:eastAsia="zh-CN"/>
                    </w:rPr>
                    <w:t>2</w:t>
                  </w:r>
                  <w:r>
                    <w:rPr>
                      <w:rFonts w:ascii="Times New Roman" w:hAnsi="Times New Roman" w:eastAsia="宋体"/>
                      <w:color w:val="auto"/>
                      <w:kern w:val="0"/>
                      <w:sz w:val="21"/>
                      <w:szCs w:val="21"/>
                      <w:u w:val="none"/>
                    </w:rPr>
                    <w:t>类区标准限值要求。</w:t>
                  </w:r>
                </w:p>
              </w:tc>
              <w:tc>
                <w:tcPr>
                  <w:tcW w:w="76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u w:val="none"/>
                    </w:rPr>
                  </w:pPr>
                  <w:r>
                    <w:rPr>
                      <w:rFonts w:ascii="Times New Roman" w:hAnsi="Times New Roman" w:eastAsia="宋体"/>
                      <w:color w:val="auto"/>
                      <w:kern w:val="0"/>
                      <w:sz w:val="21"/>
                      <w:szCs w:val="21"/>
                      <w:u w:val="none"/>
                    </w:rPr>
                    <w:t>符合</w:t>
                  </w:r>
                </w:p>
              </w:tc>
            </w:tr>
          </w:tbl>
          <w:p>
            <w:pPr>
              <w:autoSpaceDE w:val="0"/>
              <w:autoSpaceDN w:val="0"/>
              <w:spacing w:line="360" w:lineRule="auto"/>
              <w:ind w:firstLine="480" w:firstLineChars="200"/>
              <w:rPr>
                <w:rFonts w:ascii="Times New Roman" w:hAnsi="Times New Roman" w:eastAsia="宋体"/>
                <w:color w:val="auto"/>
                <w:sz w:val="24"/>
                <w:szCs w:val="24"/>
              </w:rPr>
            </w:pPr>
            <w:r>
              <w:rPr>
                <w:rFonts w:ascii="Times New Roman" w:hAnsi="Times New Roman" w:eastAsia="宋体"/>
                <w:bCs/>
                <w:color w:val="auto"/>
                <w:sz w:val="24"/>
                <w:szCs w:val="24"/>
              </w:rPr>
              <w:t>由表1-</w:t>
            </w:r>
            <w:r>
              <w:rPr>
                <w:rFonts w:hint="eastAsia" w:ascii="Times New Roman" w:hAnsi="Times New Roman" w:eastAsia="宋体"/>
                <w:bCs/>
                <w:color w:val="auto"/>
                <w:sz w:val="24"/>
                <w:szCs w:val="24"/>
                <w:lang w:val="en-US" w:eastAsia="zh-CN"/>
              </w:rPr>
              <w:t>7</w:t>
            </w:r>
            <w:r>
              <w:rPr>
                <w:rFonts w:ascii="Times New Roman" w:hAnsi="Times New Roman" w:eastAsia="宋体"/>
                <w:bCs/>
                <w:color w:val="auto"/>
                <w:sz w:val="24"/>
                <w:szCs w:val="24"/>
              </w:rPr>
              <w:t>可以看出，本</w:t>
            </w:r>
            <w:r>
              <w:rPr>
                <w:rFonts w:hint="eastAsia" w:ascii="Times New Roman" w:hAnsi="Times New Roman" w:eastAsia="宋体"/>
                <w:bCs/>
                <w:color w:val="auto"/>
                <w:sz w:val="24"/>
                <w:szCs w:val="24"/>
                <w:lang w:eastAsia="zh-CN"/>
              </w:rPr>
              <w:t>项目</w:t>
            </w:r>
            <w:r>
              <w:rPr>
                <w:rFonts w:ascii="Times New Roman" w:hAnsi="Times New Roman" w:eastAsia="宋体"/>
                <w:bCs/>
                <w:color w:val="auto"/>
                <w:sz w:val="24"/>
                <w:szCs w:val="24"/>
              </w:rPr>
              <w:t>的建设符合《</w:t>
            </w:r>
            <w:r>
              <w:rPr>
                <w:rFonts w:hint="eastAsia" w:ascii="Times New Roman" w:hAnsi="Times New Roman" w:eastAsia="宋体"/>
                <w:bCs/>
                <w:color w:val="auto"/>
                <w:sz w:val="24"/>
                <w:szCs w:val="24"/>
              </w:rPr>
              <w:t>报废机动车回收管理办法（国务院令第715号）</w:t>
            </w:r>
            <w:r>
              <w:rPr>
                <w:rFonts w:ascii="Times New Roman" w:hAnsi="Times New Roman" w:eastAsia="宋体"/>
                <w:bCs/>
                <w:color w:val="auto"/>
                <w:sz w:val="24"/>
                <w:szCs w:val="24"/>
              </w:rPr>
              <w:t>》的要求。</w:t>
            </w:r>
          </w:p>
          <w:p>
            <w:pPr>
              <w:pStyle w:val="67"/>
              <w:keepNext w:val="0"/>
              <w:keepLines w:val="0"/>
              <w:pageBreakBefore w:val="0"/>
              <w:widowControl w:val="0"/>
              <w:kinsoku/>
              <w:wordWrap/>
              <w:overflowPunct/>
              <w:topLinePunct w:val="0"/>
              <w:bidi w:val="0"/>
              <w:adjustRightInd w:val="0"/>
              <w:snapToGrid/>
              <w:ind w:firstLine="0"/>
              <w:jc w:val="left"/>
              <w:textAlignment w:val="auto"/>
              <w:rPr>
                <w:rFonts w:ascii="Times New Roman" w:hAnsi="Times New Roman"/>
                <w:color w:val="auto"/>
                <w:kern w:val="2"/>
                <w:sz w:val="28"/>
                <w:szCs w:val="28"/>
                <w:u w:val="none"/>
              </w:rPr>
            </w:pPr>
            <w:r>
              <w:rPr>
                <w:rFonts w:hint="eastAsia" w:ascii="Times New Roman" w:hAnsi="Times New Roman"/>
                <w:b/>
                <w:color w:val="auto"/>
                <w:kern w:val="2"/>
                <w:szCs w:val="24"/>
                <w:u w:val="none"/>
                <w:lang w:val="en-US" w:eastAsia="zh-CN"/>
              </w:rPr>
              <w:t>9</w:t>
            </w:r>
            <w:r>
              <w:rPr>
                <w:rFonts w:ascii="Times New Roman" w:hAnsi="Times New Roman"/>
                <w:b/>
                <w:color w:val="auto"/>
                <w:kern w:val="2"/>
                <w:szCs w:val="24"/>
                <w:u w:val="none"/>
              </w:rPr>
              <w:t>、与</w:t>
            </w:r>
            <w:r>
              <w:rPr>
                <w:rFonts w:hint="eastAsia" w:ascii="Times New Roman" w:hAnsi="Times New Roman"/>
                <w:b/>
                <w:color w:val="auto"/>
                <w:kern w:val="2"/>
                <w:szCs w:val="24"/>
                <w:u w:val="none"/>
                <w:lang w:eastAsia="zh-CN"/>
              </w:rPr>
              <w:t>《</w:t>
            </w:r>
            <w:r>
              <w:rPr>
                <w:rFonts w:hint="eastAsia" w:ascii="Times New Roman" w:hAnsi="Times New Roman"/>
                <w:b/>
                <w:color w:val="auto"/>
                <w:kern w:val="2"/>
                <w:szCs w:val="24"/>
                <w:u w:val="none"/>
              </w:rPr>
              <w:t>报废机动车回用件拆卸技术规范（GB/T 44727—2024）</w:t>
            </w:r>
            <w:r>
              <w:rPr>
                <w:rFonts w:hint="eastAsia" w:ascii="Times New Roman" w:hAnsi="Times New Roman"/>
                <w:b/>
                <w:color w:val="auto"/>
                <w:kern w:val="2"/>
                <w:szCs w:val="24"/>
                <w:u w:val="none"/>
                <w:lang w:eastAsia="zh-CN"/>
              </w:rPr>
              <w:t>》</w:t>
            </w:r>
            <w:r>
              <w:rPr>
                <w:rFonts w:ascii="Times New Roman" w:hAnsi="Times New Roman"/>
                <w:b/>
                <w:color w:val="auto"/>
                <w:kern w:val="2"/>
                <w:szCs w:val="24"/>
                <w:u w:val="none"/>
              </w:rPr>
              <w:t>相符性分析</w:t>
            </w: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ascii="Times New Roman" w:hAnsi="Times New Roman"/>
                <w:b/>
                <w:bCs/>
                <w:color w:val="auto"/>
                <w:sz w:val="21"/>
                <w:szCs w:val="20"/>
                <w:u w:val="none"/>
              </w:rPr>
            </w:pPr>
            <w:r>
              <w:rPr>
                <w:rFonts w:ascii="Times New Roman" w:hAnsi="Times New Roman"/>
                <w:b/>
                <w:bCs/>
                <w:color w:val="auto"/>
                <w:sz w:val="21"/>
                <w:szCs w:val="20"/>
                <w:u w:val="none"/>
              </w:rPr>
              <w:t>表1-</w:t>
            </w:r>
            <w:r>
              <w:rPr>
                <w:rFonts w:hint="eastAsia" w:ascii="Times New Roman" w:hAnsi="Times New Roman"/>
                <w:b/>
                <w:bCs/>
                <w:color w:val="auto"/>
                <w:sz w:val="21"/>
                <w:szCs w:val="20"/>
                <w:u w:val="none"/>
                <w:lang w:val="en-US" w:eastAsia="zh-CN"/>
              </w:rPr>
              <w:t>8</w:t>
            </w:r>
            <w:r>
              <w:rPr>
                <w:rFonts w:hint="eastAsia" w:ascii="Times New Roman" w:hAnsi="Times New Roman"/>
                <w:b/>
                <w:bCs/>
                <w:color w:val="auto"/>
                <w:sz w:val="21"/>
                <w:szCs w:val="20"/>
                <w:u w:val="none"/>
              </w:rPr>
              <w:t xml:space="preserve"> </w:t>
            </w:r>
            <w:r>
              <w:rPr>
                <w:rFonts w:ascii="Times New Roman" w:hAnsi="Times New Roman"/>
                <w:b/>
                <w:bCs/>
                <w:color w:val="auto"/>
                <w:sz w:val="21"/>
                <w:szCs w:val="20"/>
                <w:u w:val="none"/>
              </w:rPr>
              <w:t>与</w:t>
            </w:r>
            <w:r>
              <w:rPr>
                <w:rFonts w:hint="eastAsia" w:ascii="Times New Roman" w:hAnsi="Times New Roman"/>
                <w:b/>
                <w:color w:val="auto"/>
                <w:kern w:val="2"/>
                <w:szCs w:val="24"/>
                <w:u w:val="none"/>
                <w:lang w:eastAsia="zh-CN"/>
              </w:rPr>
              <w:t>《</w:t>
            </w:r>
            <w:r>
              <w:rPr>
                <w:rFonts w:hint="eastAsia" w:ascii="Times New Roman" w:hAnsi="Times New Roman"/>
                <w:b/>
                <w:bCs/>
                <w:color w:val="auto"/>
                <w:sz w:val="21"/>
                <w:szCs w:val="20"/>
                <w:u w:val="none"/>
              </w:rPr>
              <w:t>报废机动车回用件拆卸技术规范（GB/T 44727—2024）》</w:t>
            </w:r>
            <w:r>
              <w:rPr>
                <w:rFonts w:ascii="Times New Roman" w:hAnsi="Times New Roman"/>
                <w:b/>
                <w:bCs/>
                <w:color w:val="auto"/>
                <w:sz w:val="21"/>
                <w:szCs w:val="20"/>
                <w:u w:val="none"/>
              </w:rPr>
              <w:t>符合性分析</w:t>
            </w:r>
          </w:p>
          <w:tbl>
            <w:tblPr>
              <w:tblStyle w:val="25"/>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96"/>
              <w:gridCol w:w="5602"/>
              <w:gridCol w:w="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4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宋体" w:hAnsi="宋体" w:eastAsia="宋体" w:cs="宋体"/>
                      <w:b/>
                      <w:bCs/>
                      <w:color w:val="auto"/>
                      <w:kern w:val="0"/>
                      <w:sz w:val="21"/>
                      <w:szCs w:val="21"/>
                      <w:u w:val="none"/>
                      <w:lang w:eastAsia="zh-CN"/>
                    </w:rPr>
                  </w:pPr>
                  <w:r>
                    <w:rPr>
                      <w:rFonts w:hint="eastAsia" w:ascii="宋体" w:hAnsi="宋体" w:eastAsia="宋体" w:cs="宋体"/>
                      <w:b/>
                      <w:bCs/>
                      <w:color w:val="auto"/>
                      <w:kern w:val="0"/>
                      <w:sz w:val="21"/>
                      <w:szCs w:val="21"/>
                      <w:u w:val="none"/>
                      <w:lang w:val="en-US" w:eastAsia="zh-CN"/>
                    </w:rPr>
                    <w:t>文件相关内容</w:t>
                  </w:r>
                </w:p>
              </w:tc>
              <w:tc>
                <w:tcPr>
                  <w:tcW w:w="2308"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宋体" w:hAnsi="宋体" w:eastAsia="宋体" w:cs="宋体"/>
                      <w:b/>
                      <w:bCs/>
                      <w:color w:val="auto"/>
                      <w:kern w:val="0"/>
                      <w:sz w:val="21"/>
                      <w:szCs w:val="21"/>
                      <w:u w:val="none"/>
                      <w:lang w:eastAsia="zh-CN"/>
                    </w:rPr>
                  </w:pPr>
                  <w:r>
                    <w:rPr>
                      <w:rFonts w:hint="eastAsia" w:ascii="宋体" w:hAnsi="宋体" w:eastAsia="宋体" w:cs="宋体"/>
                      <w:b/>
                      <w:bCs/>
                      <w:color w:val="auto"/>
                      <w:kern w:val="0"/>
                      <w:sz w:val="21"/>
                      <w:szCs w:val="21"/>
                      <w:u w:val="none"/>
                      <w:lang w:val="en-US" w:eastAsia="zh-CN"/>
                    </w:rPr>
                    <w:t>项目情况</w:t>
                  </w:r>
                </w:p>
              </w:tc>
              <w:tc>
                <w:tcPr>
                  <w:tcW w:w="34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ind w:left="-105" w:leftChars="-50" w:right="-105" w:rightChars="-50"/>
                    <w:jc w:val="center"/>
                    <w:textAlignment w:val="auto"/>
                    <w:rPr>
                      <w:rFonts w:hint="eastAsia" w:ascii="宋体" w:hAnsi="宋体" w:eastAsia="宋体" w:cs="宋体"/>
                      <w:b/>
                      <w:bCs/>
                      <w:color w:val="auto"/>
                      <w:kern w:val="0"/>
                      <w:sz w:val="21"/>
                      <w:szCs w:val="21"/>
                      <w:u w:val="none"/>
                    </w:rPr>
                  </w:pPr>
                  <w:r>
                    <w:rPr>
                      <w:rFonts w:hint="eastAsia" w:ascii="宋体" w:hAnsi="宋体" w:eastAsia="宋体" w:cs="宋体"/>
                      <w:b/>
                      <w:bCs/>
                      <w:color w:val="auto"/>
                      <w:kern w:val="0"/>
                      <w:sz w:val="21"/>
                      <w:szCs w:val="21"/>
                      <w:u w:val="none"/>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4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4.1报废机动车回收拆解企业和回用件服务性企业应按照市场需求确定回用件拆卸单元。</w:t>
                  </w:r>
                </w:p>
              </w:tc>
              <w:tc>
                <w:tcPr>
                  <w:tcW w:w="2308"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项目按市场需求确定回用件拆卸单元</w:t>
                  </w:r>
                </w:p>
              </w:tc>
              <w:tc>
                <w:tcPr>
                  <w:tcW w:w="34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4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4.2报废机动车回收拆解企业和回用件服务性企业回用件拆卸过程的安全及环保要求应满足GB22128和HJ348的相关规定。</w:t>
                  </w:r>
                </w:p>
              </w:tc>
              <w:tc>
                <w:tcPr>
                  <w:tcW w:w="2308"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根据上述相符性分析，本项目的安全及环保要求满足GB22128和HJ348的相关规定。</w:t>
                  </w:r>
                </w:p>
              </w:tc>
              <w:tc>
                <w:tcPr>
                  <w:tcW w:w="34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47"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4.3报废机动车回收拆解企业进行电动汽车用动力蓄电池拆卸应符合GB22128和GB/T34015.2的要求，拆卸后应交售电动汽车生产企业建立的动力蓄电池回收服务网点或从事废旧动力蓄电池综合利用的企业处理。报废机动车回收拆解企业应在拆除动力蓄电池后对电动汽车进行回用件拆卸。</w:t>
                  </w:r>
                </w:p>
              </w:tc>
              <w:tc>
                <w:tcPr>
                  <w:tcW w:w="2308" w:type="pc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本项目电动汽车拆卸后的动力蓄电池交售电动汽车生产企业建立的动力蓄电池回收服务网点或从事废旧动力蓄电池综合利用的企业处理。后续继续对电动汽车进行回用件拆卸。</w:t>
                  </w:r>
                </w:p>
              </w:tc>
              <w:tc>
                <w:tcPr>
                  <w:tcW w:w="34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360" w:lineRule="exact"/>
                    <w:textAlignment w:val="auto"/>
                    <w:rPr>
                      <w:rFonts w:hint="eastAsia" w:ascii="宋体" w:hAnsi="宋体" w:eastAsia="宋体" w:cs="宋体"/>
                      <w:color w:val="auto"/>
                      <w:kern w:val="0"/>
                      <w:sz w:val="21"/>
                      <w:szCs w:val="21"/>
                      <w:u w:val="none"/>
                    </w:rPr>
                  </w:pPr>
                  <w:r>
                    <w:rPr>
                      <w:rFonts w:hint="eastAsia" w:ascii="宋体" w:hAnsi="宋体" w:eastAsia="宋体" w:cs="宋体"/>
                      <w:color w:val="auto"/>
                      <w:kern w:val="0"/>
                      <w:sz w:val="21"/>
                      <w:szCs w:val="21"/>
                      <w:u w:val="none"/>
                    </w:rPr>
                    <w:t>符合</w:t>
                  </w:r>
                </w:p>
              </w:tc>
            </w:tr>
          </w:tbl>
          <w:p>
            <w:pPr>
              <w:pStyle w:val="67"/>
              <w:keepNext w:val="0"/>
              <w:keepLines w:val="0"/>
              <w:pageBreakBefore w:val="0"/>
              <w:widowControl w:val="0"/>
              <w:kinsoku/>
              <w:wordWrap/>
              <w:overflowPunct/>
              <w:topLinePunct w:val="0"/>
              <w:bidi w:val="0"/>
              <w:adjustRightInd w:val="0"/>
              <w:snapToGrid/>
              <w:ind w:firstLine="0"/>
              <w:jc w:val="left"/>
              <w:textAlignment w:val="auto"/>
              <w:rPr>
                <w:rFonts w:ascii="Times New Roman" w:hAnsi="Times New Roman"/>
                <w:color w:val="auto"/>
                <w:kern w:val="2"/>
                <w:sz w:val="28"/>
                <w:szCs w:val="28"/>
                <w:u w:val="none"/>
              </w:rPr>
            </w:pPr>
            <w:r>
              <w:rPr>
                <w:rFonts w:hint="eastAsia" w:ascii="Times New Roman" w:hAnsi="Times New Roman"/>
                <w:b/>
                <w:color w:val="auto"/>
                <w:kern w:val="2"/>
                <w:szCs w:val="24"/>
                <w:u w:val="none"/>
                <w:lang w:val="en-US" w:eastAsia="zh-CN"/>
              </w:rPr>
              <w:t>10</w:t>
            </w:r>
            <w:r>
              <w:rPr>
                <w:rFonts w:ascii="Times New Roman" w:hAnsi="Times New Roman"/>
                <w:b/>
                <w:color w:val="auto"/>
                <w:kern w:val="2"/>
                <w:szCs w:val="24"/>
                <w:u w:val="none"/>
              </w:rPr>
              <w:t>、与</w:t>
            </w:r>
            <w:r>
              <w:rPr>
                <w:rFonts w:hint="eastAsia" w:ascii="Times New Roman" w:hAnsi="Times New Roman"/>
                <w:b/>
                <w:color w:val="auto"/>
                <w:kern w:val="2"/>
                <w:szCs w:val="24"/>
                <w:u w:val="none"/>
              </w:rPr>
              <w:t>《报废机动车回用件溯源管理技术规范（GB/T 4472</w:t>
            </w:r>
            <w:r>
              <w:rPr>
                <w:rFonts w:hint="eastAsia" w:ascii="Times New Roman" w:hAnsi="Times New Roman"/>
                <w:b/>
                <w:color w:val="auto"/>
                <w:kern w:val="2"/>
                <w:szCs w:val="24"/>
                <w:u w:val="none"/>
                <w:lang w:val="en-US" w:eastAsia="zh-CN"/>
              </w:rPr>
              <w:t>8</w:t>
            </w:r>
            <w:r>
              <w:rPr>
                <w:rFonts w:hint="eastAsia" w:ascii="Times New Roman" w:hAnsi="Times New Roman"/>
                <w:b/>
                <w:color w:val="auto"/>
                <w:kern w:val="2"/>
                <w:szCs w:val="24"/>
                <w:u w:val="none"/>
              </w:rPr>
              <w:t>—2024）》</w:t>
            </w:r>
            <w:r>
              <w:rPr>
                <w:rFonts w:ascii="Times New Roman" w:hAnsi="Times New Roman"/>
                <w:b/>
                <w:color w:val="auto"/>
                <w:kern w:val="2"/>
                <w:szCs w:val="24"/>
                <w:u w:val="none"/>
              </w:rPr>
              <w:t>相符性分析</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bCs/>
                <w:color w:val="auto"/>
                <w:sz w:val="24"/>
                <w:szCs w:val="24"/>
              </w:rPr>
            </w:pPr>
            <w:r>
              <w:rPr>
                <w:rFonts w:hint="eastAsia" w:ascii="Times New Roman" w:hAnsi="Times New Roman" w:eastAsia="宋体"/>
                <w:bCs/>
                <w:color w:val="auto"/>
                <w:sz w:val="24"/>
                <w:szCs w:val="24"/>
              </w:rPr>
              <w:t>本项目为报废机动车拆解项目，拆解下来的具有再制造条件的五大总成等回用件均按照《报废机动车回用件溯源管理技术规范》（GB/T44728-2024）要求进行溯源信息管理，按文件要求记录回用件相关信息，确保溯源信息准确可靠、可公开获得、可计量。</w:t>
            </w:r>
          </w:p>
          <w:p>
            <w:pPr>
              <w:pStyle w:val="3"/>
              <w:keepNext/>
              <w:keepLines/>
              <w:pageBreakBefore w:val="0"/>
              <w:widowControl w:val="0"/>
              <w:tabs>
                <w:tab w:val="left" w:pos="360"/>
                <w:tab w:val="left" w:pos="432"/>
              </w:tabs>
              <w:kinsoku/>
              <w:wordWrap/>
              <w:overflowPunct/>
              <w:topLinePunct w:val="0"/>
              <w:autoSpaceDE/>
              <w:autoSpaceDN/>
              <w:bidi w:val="0"/>
              <w:adjustRightInd/>
              <w:snapToGrid/>
              <w:spacing w:line="360" w:lineRule="auto"/>
              <w:jc w:val="both"/>
              <w:textAlignment w:val="auto"/>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11</w:t>
            </w:r>
            <w:r>
              <w:rPr>
                <w:rFonts w:ascii="Times New Roman" w:hAnsi="Times New Roman" w:eastAsia="宋体"/>
                <w:b/>
                <w:color w:val="auto"/>
                <w:sz w:val="24"/>
                <w:szCs w:val="24"/>
              </w:rPr>
              <w:t>、与《</w:t>
            </w:r>
            <w:r>
              <w:rPr>
                <w:rFonts w:hint="eastAsia" w:ascii="Times New Roman" w:hAnsi="Times New Roman" w:eastAsia="宋体"/>
                <w:b/>
                <w:color w:val="auto"/>
                <w:sz w:val="24"/>
                <w:szCs w:val="24"/>
              </w:rPr>
              <w:t>报废机动车回收管理办法实施细则（商务部令2020年第2号）</w:t>
            </w:r>
            <w:r>
              <w:rPr>
                <w:rFonts w:ascii="Times New Roman" w:hAnsi="Times New Roman" w:eastAsia="宋体"/>
                <w:b/>
                <w:color w:val="auto"/>
                <w:sz w:val="24"/>
                <w:szCs w:val="24"/>
              </w:rPr>
              <w:t>》相符性分析</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t>为了规范报废机动车回收活动，保护环境，促进循环经济发展，保障道路交通安全。《</w:t>
            </w:r>
            <w:r>
              <w:rPr>
                <w:rFonts w:hint="eastAsia" w:ascii="Times New Roman" w:hAnsi="Times New Roman" w:eastAsia="宋体"/>
                <w:bCs/>
                <w:color w:val="auto"/>
                <w:sz w:val="24"/>
                <w:szCs w:val="24"/>
              </w:rPr>
              <w:t>报废机动车回收管理办法实施细则（商务部令2020年第2号）</w:t>
            </w:r>
            <w:r>
              <w:rPr>
                <w:rFonts w:ascii="Times New Roman" w:hAnsi="Times New Roman" w:eastAsia="宋体"/>
                <w:bCs/>
                <w:color w:val="auto"/>
                <w:sz w:val="24"/>
                <w:szCs w:val="24"/>
              </w:rPr>
              <w:t>》对企业的要求，结合项目实际情况，相符性分析详见下表。</w:t>
            </w:r>
          </w:p>
          <w:p>
            <w:pPr>
              <w:autoSpaceDE w:val="0"/>
              <w:autoSpaceDN w:val="0"/>
              <w:spacing w:line="360" w:lineRule="auto"/>
              <w:jc w:val="center"/>
              <w:rPr>
                <w:rFonts w:ascii="Times New Roman" w:hAnsi="Times New Roman" w:eastAsia="宋体"/>
                <w:b/>
                <w:color w:val="auto"/>
                <w:sz w:val="21"/>
                <w:szCs w:val="21"/>
              </w:rPr>
            </w:pPr>
            <w:r>
              <w:rPr>
                <w:rFonts w:ascii="Times New Roman" w:hAnsi="Times New Roman" w:eastAsia="宋体"/>
                <w:b/>
                <w:color w:val="auto"/>
                <w:sz w:val="21"/>
                <w:szCs w:val="21"/>
              </w:rPr>
              <w:t>表</w:t>
            </w:r>
            <w:r>
              <w:rPr>
                <w:rFonts w:hint="eastAsia" w:ascii="Times New Roman" w:hAnsi="Times New Roman" w:eastAsia="宋体"/>
                <w:b/>
                <w:color w:val="auto"/>
                <w:sz w:val="21"/>
                <w:szCs w:val="21"/>
                <w:lang w:val="en-US" w:eastAsia="zh-CN"/>
              </w:rPr>
              <w:t>1-9</w:t>
            </w:r>
            <w:r>
              <w:rPr>
                <w:rFonts w:ascii="Times New Roman" w:hAnsi="Times New Roman" w:eastAsia="宋体"/>
                <w:b/>
                <w:color w:val="auto"/>
                <w:sz w:val="21"/>
                <w:szCs w:val="21"/>
              </w:rPr>
              <w:t xml:space="preserve"> 本项目与《</w:t>
            </w:r>
            <w:r>
              <w:rPr>
                <w:rFonts w:hint="eastAsia" w:ascii="Times New Roman" w:hAnsi="Times New Roman" w:eastAsia="宋体"/>
                <w:b/>
                <w:color w:val="auto"/>
                <w:sz w:val="21"/>
                <w:szCs w:val="21"/>
              </w:rPr>
              <w:t>报废机动车回收管理办法实施细则（商务部令2020年第2号）</w:t>
            </w:r>
            <w:r>
              <w:rPr>
                <w:rFonts w:ascii="Times New Roman" w:hAnsi="Times New Roman" w:eastAsia="宋体"/>
                <w:b/>
                <w:color w:val="auto"/>
                <w:sz w:val="21"/>
                <w:szCs w:val="21"/>
              </w:rPr>
              <w:t>》相符性分析</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008"/>
              <w:gridCol w:w="5290"/>
              <w:gridCol w:w="8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textAlignment w:val="auto"/>
                    <w:rPr>
                      <w:rFonts w:ascii="Times New Roman" w:hAnsi="Times New Roman" w:eastAsia="宋体"/>
                      <w:b/>
                      <w:bCs/>
                      <w:color w:val="auto"/>
                      <w:kern w:val="0"/>
                      <w:sz w:val="21"/>
                      <w:szCs w:val="21"/>
                    </w:rPr>
                  </w:pPr>
                  <w:r>
                    <w:rPr>
                      <w:rFonts w:ascii="Times New Roman" w:hAnsi="Times New Roman" w:eastAsia="宋体"/>
                      <w:b/>
                      <w:bCs/>
                      <w:color w:val="auto"/>
                      <w:kern w:val="0"/>
                      <w:sz w:val="21"/>
                      <w:szCs w:val="21"/>
                    </w:rPr>
                    <w:t>规范要求</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textAlignment w:val="auto"/>
                    <w:rPr>
                      <w:rFonts w:ascii="Times New Roman" w:hAnsi="Times New Roman" w:eastAsia="宋体"/>
                      <w:b/>
                      <w:bCs/>
                      <w:color w:val="auto"/>
                      <w:kern w:val="0"/>
                      <w:sz w:val="21"/>
                      <w:szCs w:val="21"/>
                    </w:rPr>
                  </w:pPr>
                  <w:r>
                    <w:rPr>
                      <w:rFonts w:ascii="Times New Roman" w:hAnsi="Times New Roman" w:eastAsia="宋体"/>
                      <w:b/>
                      <w:bCs/>
                      <w:color w:val="auto"/>
                      <w:kern w:val="0"/>
                      <w:sz w:val="21"/>
                      <w:szCs w:val="21"/>
                    </w:rPr>
                    <w:t>本项目情况</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ind w:left="-105" w:leftChars="-50" w:right="-105" w:rightChars="-50"/>
                    <w:jc w:val="center"/>
                    <w:textAlignment w:val="auto"/>
                    <w:rPr>
                      <w:rFonts w:ascii="Times New Roman" w:hAnsi="Times New Roman" w:eastAsia="宋体"/>
                      <w:b/>
                      <w:bCs/>
                      <w:color w:val="auto"/>
                      <w:kern w:val="0"/>
                      <w:sz w:val="21"/>
                      <w:szCs w:val="21"/>
                    </w:rPr>
                  </w:pPr>
                  <w:r>
                    <w:rPr>
                      <w:rFonts w:ascii="Times New Roman" w:hAnsi="Times New Roman" w:eastAsia="宋体"/>
                      <w:b/>
                      <w:bCs/>
                      <w:color w:val="auto"/>
                      <w:kern w:val="0"/>
                      <w:sz w:val="21"/>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国家对回收拆解企业实行资质认定制度。未经资质认定，任何单位或者个人不得从事报废机动车回收拆解活动。</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公司将按照取得报废机动车回收拆解资质认定的要求，取得资质，本次环境影响评价文件的审批文件为资质审定的书面材料之一。</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77" w:type="dxa"/>
                  <w:gridSpan w:val="3"/>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olor w:val="auto"/>
                      <w:kern w:val="0"/>
                      <w:sz w:val="21"/>
                      <w:szCs w:val="21"/>
                    </w:rPr>
                  </w:pPr>
                  <w:r>
                    <w:rPr>
                      <w:rFonts w:ascii="Times New Roman" w:hAnsi="Times New Roman" w:eastAsia="宋体"/>
                      <w:b/>
                      <w:bCs/>
                      <w:color w:val="auto"/>
                      <w:kern w:val="0"/>
                      <w:sz w:val="21"/>
                      <w:szCs w:val="21"/>
                    </w:rPr>
                    <w:t>回收拆解行为规范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hint="eastAsia" w:ascii="Times New Roman" w:hAnsi="Times New Roman" w:eastAsia="宋体"/>
                      <w:color w:val="auto"/>
                      <w:kern w:val="0"/>
                      <w:sz w:val="21"/>
                      <w:szCs w:val="21"/>
                    </w:rPr>
                    <w:t>回收拆解企业在回收报废机动车时，应当核验机动车所有人有效身份证件，逐车登记机动车型号、号牌号码、车辆识别代号、发动机号等信息，并收回下列证牌：</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（一）机动车登记证书原件；</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（二）机动车行驶证原件；</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（三）机动车号牌。</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回收拆解企业应当核对报废机动车的车辆型号、号牌号码、车辆识别代号、发动机号等实车信息是否与机动车登记证书、机动车行驶证记载的信息一致。</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无法提供本条第一款所列三项证牌中任意一项的，应当由机动车所有人出具书面情况说明，并对其真实性负责。</w:t>
                  </w:r>
                </w:p>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hint="eastAsia" w:ascii="Times New Roman" w:hAnsi="Times New Roman" w:eastAsia="宋体"/>
                      <w:color w:val="auto"/>
                      <w:kern w:val="0"/>
                      <w:sz w:val="21"/>
                      <w:szCs w:val="21"/>
                    </w:rPr>
                    <w:t>机动车所有人为自然人且委托他人代办的，还需提供受委托人有效证件及授权委托书；机动车所有人为机关、企业、事业单位、社会团体等的，需提供加盖单位公章的营业执照复印件、统一社会信用代码证书复印件或者社会团体法人登记证书复印件以及单位授权委托书、经办人身份证件。</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sz w:val="21"/>
                      <w:szCs w:val="21"/>
                    </w:rPr>
                    <w:t>公司做好报废机动车进厂登记管理，逐车登记机动车型号、号牌号码、车辆识别代号、发动机号等信息，</w:t>
                  </w:r>
                  <w:r>
                    <w:rPr>
                      <w:rFonts w:hint="eastAsia" w:ascii="Times New Roman" w:hAnsi="Times New Roman" w:eastAsia="宋体"/>
                      <w:color w:val="auto"/>
                      <w:kern w:val="0"/>
                      <w:sz w:val="21"/>
                      <w:szCs w:val="21"/>
                    </w:rPr>
                    <w:t>并核实是否与机动车登记证书、机动车行驶证记载的信息一致。</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对于无法提供三项证牌中任意一项的，要求机动车所有人出具书面情况说明，并对其真实性负责。</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sz w:val="21"/>
                      <w:szCs w:val="21"/>
                    </w:rPr>
                  </w:pPr>
                  <w:r>
                    <w:rPr>
                      <w:rFonts w:hint="eastAsia" w:ascii="Times New Roman" w:hAnsi="Times New Roman" w:eastAsia="宋体"/>
                      <w:color w:val="auto"/>
                      <w:kern w:val="0"/>
                      <w:sz w:val="21"/>
                      <w:szCs w:val="21"/>
                    </w:rPr>
                    <w:t>对于机动车所有人为自然人且委托他人代办的，要求提供受委托人有效证件及授权委托书；机动车所有人为机关、企业、事业单位、社会团体等的，要求提供加盖单位公章的营业执照复印件、统一社会信用代码证书复印件或者社会团体法人登记证书复印件以及单位授权委托书、经办人身份证件。</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回收拆解企业在回收报废机动车后，应当通过“全国汽车流通信息管理应用服务”系统如实录入机动车信息，打印《报废机动车回收证明》，上传机动车拆解前照片，机动车拆解后，上传拆解后照片。上传的照片应当包括机动车拆解前整体外观、拆解后状况以及车辆识别代号等特征。对按照规定应当在公安机关监督下解体的报废机动车，回收拆解企业应当在机动车拆解后，打印《报废机动车回收证明》。</w:t>
                  </w:r>
                </w:p>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hint="eastAsia" w:ascii="Times New Roman" w:hAnsi="Times New Roman" w:eastAsia="宋体"/>
                      <w:color w:val="auto"/>
                      <w:kern w:val="0"/>
                      <w:sz w:val="21"/>
                      <w:szCs w:val="21"/>
                    </w:rPr>
                    <w:t>回收拆解企业应当按照国家有关规定及时向公安机关交通管理部门申请机动车注销登记，将注销证明及《报废机动车回收证明》交给机动车所有人。</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sz w:val="21"/>
                      <w:szCs w:val="21"/>
                    </w:rPr>
                  </w:pPr>
                  <w:r>
                    <w:rPr>
                      <w:rFonts w:hint="eastAsia" w:ascii="Times New Roman" w:hAnsi="Times New Roman" w:eastAsia="宋体"/>
                      <w:color w:val="auto"/>
                      <w:kern w:val="0"/>
                      <w:sz w:val="21"/>
                      <w:szCs w:val="21"/>
                    </w:rPr>
                    <w:t>报废机动车按要求进厂后，公司即通过“全国汽车流通信息管理应用服务”系统如实录入机动车信息，打印《报废机动车回收证明》，上传机动车拆解前照片，机动车拆解后，上传拆解后照片。同时，将注销证明及《报废机动车回收证明》交给机动车所有人</w:t>
                  </w:r>
                  <w:r>
                    <w:rPr>
                      <w:rFonts w:hint="eastAsia" w:ascii="Times New Roman" w:hAnsi="Times New Roman" w:eastAsia="宋体"/>
                      <w:color w:val="auto"/>
                      <w:kern w:val="0"/>
                      <w:sz w:val="21"/>
                      <w:szCs w:val="21"/>
                      <w:lang w:eastAsia="zh-CN"/>
                    </w:rPr>
                    <w:t>；本项目不涉及</w:t>
                  </w:r>
                  <w:r>
                    <w:rPr>
                      <w:rFonts w:hint="eastAsia" w:ascii="Times New Roman" w:hAnsi="Times New Roman" w:eastAsia="宋体"/>
                      <w:color w:val="auto"/>
                      <w:kern w:val="0"/>
                      <w:sz w:val="21"/>
                      <w:szCs w:val="21"/>
                    </w:rPr>
                    <w:t>大型客车、货车等营运车辆的拆解。</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报废机动车“五大总成”和尾气后处理装置，以及新能源汽车动力蓄电池不齐全的，机动车所有人应当书面说明情况，并对其真实性负责。机动车车架（或者车身）或者发动机缺失的应当认定为车辆缺失，回收拆解企业不得出具《报废机动车回收证明》。</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对于报废机动车“五大总成”和尾气后处理装置，要求机动车所有人应当书面说明情况，并对其真实性负责。</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对于机动车车架（或者车身）或者发动机缺失的应当认定为车辆缺失，公司将不进行回收拆解处理。</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机动车存在抵押、质押情形的，回收拆解企业不得出具《报废机动车回收证明》。</w:t>
                  </w:r>
                </w:p>
                <w:p>
                  <w:pPr>
                    <w:pStyle w:val="10"/>
                    <w:keepNext w:val="0"/>
                    <w:keepLines w:val="0"/>
                    <w:pageBreakBefore w:val="0"/>
                    <w:kinsoku/>
                    <w:wordWrap/>
                    <w:overflowPunct/>
                    <w:topLinePunct w:val="0"/>
                    <w:bidi w:val="0"/>
                    <w:adjustRightInd/>
                    <w:snapToGrid/>
                    <w:spacing w:before="0" w:after="0" w:line="360" w:lineRule="exact"/>
                    <w:ind w:right="0"/>
                    <w:textAlignment w:val="auto"/>
                    <w:rPr>
                      <w:rFonts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发现回收的报废机动车疑似为赃物或者用于盗窃、抢劫等犯罪活动工具的，以及涉嫌伪造变造号牌、车辆识别代号、发动机号的，回收拆解企业应当向公安机关报告。已经打印的《报废机动车回收证明》应当予以作废。</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明确进厂报废机动车来源，发现回收的报废机动车疑似赃物或者用于盗窃、抢劫等犯罪活动的犯罪工具的，及时向公安机关报告。公司将不进行回收拆解处理。</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hint="eastAsia" w:ascii="Times New Roman" w:hAnsi="Times New Roman" w:eastAsia="宋体"/>
                      <w:color w:val="auto"/>
                      <w:kern w:val="0"/>
                      <w:sz w:val="21"/>
                      <w:szCs w:val="21"/>
                    </w:rPr>
                    <w:t>回收拆解企业必须在其资质认定的拆解经营场地内对回收的报废机动车予以拆解，禁止以任何方式交易报废机动车整车、拼装车。回收的报废大型客、货车等营运车辆和校车，应当在公安机关现场或者视频监督下解体。回收拆解企业应当积极配合报废机动车监督解体工作。</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公司将在资质认定的场地内进行回收、拆解报废机动车，所有回收的报废机动车均进行拆解处理，可回收利用的部件，标明“</w:t>
                  </w:r>
                  <w:r>
                    <w:rPr>
                      <w:rFonts w:ascii="Times New Roman" w:hAnsi="Times New Roman" w:eastAsia="宋体"/>
                      <w:color w:val="auto"/>
                      <w:kern w:val="0"/>
                      <w:sz w:val="21"/>
                      <w:szCs w:val="21"/>
                    </w:rPr>
                    <w:t>报废机动车回用件</w:t>
                  </w:r>
                  <w:r>
                    <w:rPr>
                      <w:rFonts w:hint="eastAsia" w:ascii="Times New Roman" w:hAnsi="Times New Roman" w:eastAsia="宋体"/>
                      <w:color w:val="auto"/>
                      <w:kern w:val="0"/>
                      <w:sz w:val="21"/>
                      <w:szCs w:val="21"/>
                    </w:rPr>
                    <w:t>”后出售。</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厂区大型客车、货车等营运车辆的拆解场所，设置监控视频并与公安系统联网。</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回收拆解企业拆解报废机动车应当符合国家标准《报废机动车回收拆解企业技术规范》（GB22128）相关要求，并建立生产经营全覆盖的电子监控系统，录像保存至少1年。</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本项目按要求执行。</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应当遵守环境保护法律、法规和强制性标准，建立固体废物管理台账，如实记录报废机动车拆解产物的种类、数量、流向、贮存、利用和处置等信息，并通过“全国固体废物管理信息系统”进行填报；制定危险废物管理计划，按照国家有关规定贮存、运输、转移和利用处置危险废物。</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项目生产过程中拆解</w:t>
                  </w:r>
                  <w:r>
                    <w:rPr>
                      <w:rFonts w:hint="eastAsia" w:ascii="Times New Roman" w:hAnsi="Times New Roman" w:eastAsia="宋体"/>
                      <w:color w:val="auto"/>
                      <w:kern w:val="0"/>
                      <w:sz w:val="21"/>
                      <w:szCs w:val="21"/>
                      <w:lang w:eastAsia="zh-CN"/>
                    </w:rPr>
                    <w:t>的</w:t>
                  </w:r>
                  <w:r>
                    <w:rPr>
                      <w:rFonts w:hint="eastAsia" w:ascii="Times New Roman" w:hAnsi="Times New Roman" w:eastAsia="宋体"/>
                      <w:color w:val="auto"/>
                      <w:kern w:val="0"/>
                      <w:sz w:val="21"/>
                      <w:szCs w:val="21"/>
                    </w:rPr>
                    <w:t>危险废物分类储存在危废库内，定期交资质单位处理，落实污染防治措施后，不会造成环境污染。</w:t>
                  </w:r>
                </w:p>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待项目建成后，公司将建立固体废物管理台账，如实记录报废机动车拆解产物的种类、数量、流向、贮存、利用和处置等信息，并通过“全国固体废物管理信息系统”进行填报；制定危险废物管理计划，按照国家有关规定贮存、运输、转移和利用处置危险废物。</w:t>
                  </w:r>
                </w:p>
              </w:tc>
              <w:tc>
                <w:tcPr>
                  <w:tcW w:w="805"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ascii="Times New Roman" w:hAnsi="Times New Roman" w:eastAsia="宋体"/>
                      <w:color w:val="auto"/>
                      <w:kern w:val="0"/>
                      <w:sz w:val="21"/>
                      <w:szCs w:val="21"/>
                    </w:rPr>
                  </w:pPr>
                  <w:r>
                    <w:rPr>
                      <w:rFonts w:ascii="Times New Roman" w:hAnsi="Times New Roman" w:eastAsia="宋体"/>
                      <w:color w:val="auto"/>
                      <w:kern w:val="0"/>
                      <w:sz w:val="21"/>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677" w:type="dxa"/>
                  <w:gridSpan w:val="3"/>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jc w:val="center"/>
                    <w:textAlignment w:val="auto"/>
                    <w:rPr>
                      <w:rFonts w:ascii="Times New Roman" w:hAnsi="Times New Roman" w:eastAsia="宋体"/>
                      <w:color w:val="auto"/>
                      <w:sz w:val="21"/>
                      <w:szCs w:val="21"/>
                      <w:lang w:val="en-US" w:eastAsia="zh-CN"/>
                    </w:rPr>
                  </w:pPr>
                  <w:r>
                    <w:rPr>
                      <w:rFonts w:hint="eastAsia" w:ascii="Times New Roman" w:hAnsi="Times New Roman" w:eastAsia="宋体"/>
                      <w:b/>
                      <w:bCs/>
                      <w:color w:val="auto"/>
                      <w:sz w:val="21"/>
                      <w:szCs w:val="21"/>
                      <w:lang w:val="en-US" w:eastAsia="zh-CN"/>
                    </w:rPr>
                    <w:t>回收利用行为规范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回收拆解企业应当建立报废机动车零部件销售台账，如实记录报废机动车“五大总成”数量、型号、流向等信息，并录入“全国汽车流通信息管理应用服务”系统。</w:t>
                  </w:r>
                </w:p>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回收拆解企业应当对出售用于再制造的报废机动车“五大总成”按照商务部制定的标识规则编码，其中车架应当录入原车辆识别代号信息。</w:t>
                  </w:r>
                </w:p>
              </w:tc>
              <w:tc>
                <w:tcPr>
                  <w:tcW w:w="5090"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公司将建立台账，记录报废机动车“五大总成”数量、型号、流向等信息，并录入“全国汽车流通信息管理应用服务”系统。</w:t>
                  </w:r>
                </w:p>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对于可再利用的“五大总成”，按照商务部制定的标识规则编码，其中车架应当录入原车辆识别代号信息。</w:t>
                  </w:r>
                </w:p>
              </w:tc>
              <w:tc>
                <w:tcPr>
                  <w:tcW w:w="805"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ascii="Times New Roman" w:hAnsi="Times New Roman" w:eastAsia="宋体"/>
                      <w:color w:val="auto"/>
                      <w:sz w:val="21"/>
                      <w:szCs w:val="21"/>
                      <w:lang w:val="en-US" w:eastAsia="zh-CN"/>
                    </w:rPr>
                  </w:pPr>
                  <w:r>
                    <w:rPr>
                      <w:rFonts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拆解的报废机动车“五大总成”具备再制造条件的，可以按照国家有关规定出售给具有再制造能力的企业经过再制造予以循环利用；不具备再制造条件的，应当作为废金属，交售给冶炼或者破碎企业。</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kern w:val="0"/>
                      <w:sz w:val="21"/>
                      <w:szCs w:val="21"/>
                    </w:rPr>
                  </w:pPr>
                  <w:r>
                    <w:rPr>
                      <w:rFonts w:hint="eastAsia" w:ascii="Times New Roman" w:hAnsi="Times New Roman" w:eastAsia="宋体"/>
                      <w:color w:val="auto"/>
                      <w:kern w:val="0"/>
                      <w:sz w:val="21"/>
                      <w:szCs w:val="21"/>
                    </w:rPr>
                    <w:t>项目拆解的</w:t>
                  </w:r>
                  <w:r>
                    <w:rPr>
                      <w:rFonts w:ascii="Times New Roman" w:hAnsi="Times New Roman" w:eastAsia="宋体"/>
                      <w:color w:val="auto"/>
                      <w:kern w:val="0"/>
                      <w:sz w:val="21"/>
                      <w:szCs w:val="21"/>
                    </w:rPr>
                    <w:t>“五大总成”具备再制造条件的</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按照国家有关规定出售给具有再制造能力的企业经过再制造予以循环利用</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不具备再制造条件的，作为废金属，交售给钢铁企业作为冶炼原料。</w:t>
                  </w:r>
                </w:p>
              </w:tc>
              <w:tc>
                <w:tcPr>
                  <w:tcW w:w="805"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ascii="Times New Roman" w:hAnsi="Times New Roman" w:eastAsia="宋体"/>
                      <w:color w:val="auto"/>
                      <w:sz w:val="21"/>
                      <w:szCs w:val="21"/>
                      <w:lang w:val="en-US" w:eastAsia="zh-CN"/>
                    </w:rPr>
                  </w:pPr>
                  <w:r>
                    <w:rPr>
                      <w:rFonts w:ascii="Times New Roman" w:hAnsi="Times New Roman" w:eastAsia="宋体"/>
                      <w:color w:val="auto"/>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2"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回收拆解企业拆解的报废机动车“五大总成”以外的零部件符合保障人身和财产安全等强制性国家标准，能够继续使用的，可以出售，但应当标明“报废机动车回用件”。</w:t>
                  </w:r>
                </w:p>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回收拆解企业拆解的尾气后处理装置、危险废物应当如实记录，并交由有处理资质的企业进行拆解处置，不得向其他企业出售和转卖。</w:t>
                  </w:r>
                </w:p>
                <w:p>
                  <w:pPr>
                    <w:pStyle w:val="10"/>
                    <w:keepNext w:val="0"/>
                    <w:keepLines w:val="0"/>
                    <w:pageBreakBefore w:val="0"/>
                    <w:kinsoku/>
                    <w:wordWrap/>
                    <w:overflowPunct/>
                    <w:topLinePunct w:val="0"/>
                    <w:bidi w:val="0"/>
                    <w:adjustRightInd/>
                    <w:snapToGrid/>
                    <w:spacing w:before="0" w:after="0" w:line="360" w:lineRule="exact"/>
                    <w:ind w:right="0"/>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回收拆解企业拆卸的动力蓄电池应当交售给新能源汽车生产企业建立的动力蓄电池回收服务网点，或者符合国家对动力蓄电池梯次利用管理有关要求的梯次利用企业，或者从事废旧动力蓄电池综合利用的企业。</w:t>
                  </w:r>
                </w:p>
              </w:tc>
              <w:tc>
                <w:tcPr>
                  <w:tcW w:w="5090" w:type="dxa"/>
                  <w:tcBorders>
                    <w:tl2br w:val="nil"/>
                    <w:tr2bl w:val="nil"/>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textAlignment w:val="auto"/>
                    <w:rPr>
                      <w:rFonts w:hint="eastAsia" w:ascii="Times New Roman" w:hAnsi="Times New Roman" w:eastAsia="宋体"/>
                      <w:color w:val="auto"/>
                      <w:sz w:val="21"/>
                      <w:szCs w:val="21"/>
                    </w:rPr>
                  </w:pPr>
                  <w:r>
                    <w:rPr>
                      <w:rFonts w:hint="eastAsia" w:ascii="Times New Roman" w:hAnsi="Times New Roman" w:eastAsia="宋体"/>
                      <w:color w:val="auto"/>
                      <w:kern w:val="0"/>
                      <w:sz w:val="21"/>
                      <w:szCs w:val="21"/>
                      <w:lang w:eastAsia="zh-CN"/>
                    </w:rPr>
                    <w:t>项目拆解</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五大总成</w:t>
                  </w:r>
                  <w:r>
                    <w:rPr>
                      <w:rFonts w:hint="eastAsia" w:ascii="Times New Roman" w:hAnsi="Times New Roman" w:eastAsia="宋体"/>
                      <w:color w:val="auto"/>
                      <w:kern w:val="0"/>
                      <w:sz w:val="21"/>
                      <w:szCs w:val="21"/>
                    </w:rPr>
                    <w:t>”</w:t>
                  </w:r>
                  <w:r>
                    <w:rPr>
                      <w:rFonts w:ascii="Times New Roman" w:hAnsi="Times New Roman" w:eastAsia="宋体"/>
                      <w:color w:val="auto"/>
                      <w:kern w:val="0"/>
                      <w:sz w:val="21"/>
                      <w:szCs w:val="21"/>
                    </w:rPr>
                    <w:t>以外能够继续使用的零部件</w:t>
                  </w:r>
                  <w:r>
                    <w:rPr>
                      <w:rFonts w:hint="eastAsia" w:ascii="Times New Roman" w:hAnsi="Times New Roman" w:eastAsia="宋体"/>
                      <w:color w:val="auto"/>
                      <w:kern w:val="0"/>
                      <w:sz w:val="21"/>
                      <w:szCs w:val="21"/>
                    </w:rPr>
                    <w:t>，标明“</w:t>
                  </w:r>
                  <w:r>
                    <w:rPr>
                      <w:rFonts w:ascii="Times New Roman" w:hAnsi="Times New Roman" w:eastAsia="宋体"/>
                      <w:color w:val="auto"/>
                      <w:kern w:val="0"/>
                      <w:sz w:val="21"/>
                      <w:szCs w:val="21"/>
                    </w:rPr>
                    <w:t>报废机动车回用件</w:t>
                  </w:r>
                  <w:r>
                    <w:rPr>
                      <w:rFonts w:hint="eastAsia" w:ascii="Times New Roman" w:hAnsi="Times New Roman" w:eastAsia="宋体"/>
                      <w:color w:val="auto"/>
                      <w:kern w:val="0"/>
                      <w:sz w:val="21"/>
                      <w:szCs w:val="21"/>
                    </w:rPr>
                    <w:t>”后出售。同时，公司将建立台账，如实记录拆解的尾气后处理装置、危险废物流向、贮存、利用和处置等信息，并通过“全国固体废物管理信息系统”进行填报；制定危险废物管理计划，按照国家有关规定贮存、运输、转移和利用处置危险废物。</w:t>
                  </w:r>
                </w:p>
              </w:tc>
              <w:tc>
                <w:tcPr>
                  <w:tcW w:w="805" w:type="dxa"/>
                  <w:tcBorders>
                    <w:tl2br w:val="nil"/>
                    <w:tr2bl w:val="nil"/>
                  </w:tcBorders>
                  <w:noWrap w:val="0"/>
                  <w:vAlign w:val="center"/>
                </w:tcPr>
                <w:p>
                  <w:pPr>
                    <w:pStyle w:val="10"/>
                    <w:keepNext w:val="0"/>
                    <w:keepLines w:val="0"/>
                    <w:pageBreakBefore w:val="0"/>
                    <w:kinsoku/>
                    <w:wordWrap/>
                    <w:overflowPunct/>
                    <w:topLinePunct w:val="0"/>
                    <w:bidi w:val="0"/>
                    <w:adjustRightInd/>
                    <w:snapToGrid/>
                    <w:spacing w:before="0" w:after="0" w:line="360" w:lineRule="exact"/>
                    <w:ind w:right="0"/>
                    <w:textAlignment w:val="auto"/>
                    <w:rPr>
                      <w:rFonts w:ascii="Times New Roman" w:hAnsi="Times New Roman" w:eastAsia="宋体"/>
                      <w:color w:val="auto"/>
                      <w:sz w:val="21"/>
                      <w:szCs w:val="21"/>
                      <w:lang w:val="en-US" w:eastAsia="zh-CN"/>
                    </w:rPr>
                  </w:pPr>
                  <w:r>
                    <w:rPr>
                      <w:rFonts w:ascii="Times New Roman" w:hAnsi="Times New Roman" w:eastAsia="宋体"/>
                      <w:color w:val="auto"/>
                      <w:sz w:val="21"/>
                      <w:szCs w:val="21"/>
                      <w:lang w:val="en-US" w:eastAsia="zh-CN"/>
                    </w:rPr>
                    <w:t>符合</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bCs/>
                <w:color w:val="auto"/>
                <w:sz w:val="24"/>
                <w:szCs w:val="24"/>
              </w:rPr>
              <w:t>由表</w:t>
            </w:r>
            <w:r>
              <w:rPr>
                <w:rFonts w:hint="eastAsia" w:ascii="Times New Roman" w:hAnsi="Times New Roman" w:eastAsia="宋体"/>
                <w:bCs/>
                <w:color w:val="auto"/>
                <w:sz w:val="24"/>
                <w:szCs w:val="24"/>
                <w:lang w:val="en-US" w:eastAsia="zh-CN"/>
              </w:rPr>
              <w:t>1-9</w:t>
            </w:r>
            <w:r>
              <w:rPr>
                <w:rFonts w:ascii="Times New Roman" w:hAnsi="Times New Roman" w:eastAsia="宋体"/>
                <w:bCs/>
                <w:color w:val="auto"/>
                <w:sz w:val="24"/>
                <w:szCs w:val="24"/>
              </w:rPr>
              <w:t>可以看出，本</w:t>
            </w:r>
            <w:r>
              <w:rPr>
                <w:rFonts w:hint="eastAsia" w:ascii="Times New Roman" w:hAnsi="Times New Roman" w:eastAsia="宋体"/>
                <w:bCs/>
                <w:color w:val="auto"/>
                <w:sz w:val="24"/>
                <w:szCs w:val="24"/>
                <w:lang w:eastAsia="zh-CN"/>
              </w:rPr>
              <w:t>项目</w:t>
            </w:r>
            <w:r>
              <w:rPr>
                <w:rFonts w:ascii="Times New Roman" w:hAnsi="Times New Roman" w:eastAsia="宋体"/>
                <w:bCs/>
                <w:color w:val="auto"/>
                <w:sz w:val="24"/>
                <w:szCs w:val="24"/>
              </w:rPr>
              <w:t>的建设符合《</w:t>
            </w:r>
            <w:r>
              <w:rPr>
                <w:rFonts w:hint="eastAsia" w:ascii="Times New Roman" w:hAnsi="Times New Roman" w:eastAsia="宋体"/>
                <w:bCs/>
                <w:color w:val="auto"/>
                <w:sz w:val="24"/>
                <w:szCs w:val="24"/>
              </w:rPr>
              <w:t>报废机动车回收管理办法实施细则（商务部令2020年第2号）</w:t>
            </w:r>
            <w:r>
              <w:rPr>
                <w:rFonts w:ascii="Times New Roman" w:hAnsi="Times New Roman" w:eastAsia="宋体"/>
                <w:bCs/>
                <w:color w:val="auto"/>
                <w:sz w:val="24"/>
                <w:szCs w:val="24"/>
              </w:rPr>
              <w:t>》的要求。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hint="eastAsia" w:ascii="Times New Roman" w:hAnsi="Times New Roman" w:eastAsia="宋体" w:cs="Times New Roman"/>
                <w:color w:val="auto"/>
                <w:sz w:val="30"/>
                <w:u w:val="none"/>
                <w:vertAlign w:val="baseline"/>
                <w:lang w:val="en-US" w:eastAsia="zh-CN"/>
              </w:rPr>
            </w:pPr>
            <w:r>
              <w:rPr>
                <w:rFonts w:ascii="Times New Roman" w:hAnsi="Times New Roman" w:eastAsia="宋体"/>
                <w:b/>
                <w:bCs w:val="0"/>
                <w:color w:val="auto"/>
                <w:sz w:val="24"/>
                <w:szCs w:val="24"/>
              </w:rPr>
              <w:t>综上，本项目的建设与地方及行业环保管理的要求是相符的，项目的建设是可行的</w:t>
            </w:r>
            <w:r>
              <w:rPr>
                <w:rFonts w:hint="eastAsia" w:ascii="Times New Roman" w:hAnsi="Times New Roman" w:eastAsia="宋体"/>
                <w:b/>
                <w:bCs w:val="0"/>
                <w:color w:val="auto"/>
                <w:sz w:val="24"/>
                <w:szCs w:val="24"/>
                <w:lang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 w:val="30"/>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color w:val="auto"/>
          <w:sz w:val="30"/>
          <w:u w:val="none"/>
          <w:lang w:val="en-US" w:eastAsia="zh-CN"/>
        </w:rPr>
        <w:sectPr>
          <w:pgSz w:w="16838" w:h="11905" w:orient="landscape"/>
          <w:pgMar w:top="1531" w:right="1701" w:bottom="1531" w:left="1701" w:header="851" w:footer="850" w:gutter="0"/>
          <w:pgBorders>
            <w:top w:val="none" w:sz="0" w:space="0"/>
            <w:left w:val="none" w:sz="0" w:space="0"/>
            <w:bottom w:val="none" w:sz="0" w:space="0"/>
            <w:right w:val="none" w:sz="0" w:space="0"/>
          </w:pgBorders>
          <w:cols w:space="720" w:num="1"/>
          <w:rtlGutter w:val="0"/>
          <w:docGrid w:type="lines" w:linePitch="312" w:charSpace="0"/>
        </w:sectPr>
      </w:pPr>
    </w:p>
    <w:p>
      <w:pPr>
        <w:pStyle w:val="21"/>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b/>
          <w:bCs/>
          <w:snapToGrid w:val="0"/>
          <w:color w:val="auto"/>
          <w:sz w:val="30"/>
          <w:szCs w:val="30"/>
          <w:u w:val="none"/>
        </w:rPr>
      </w:pPr>
      <w:r>
        <w:rPr>
          <w:rFonts w:hint="default" w:ascii="Times New Roman" w:hAnsi="Times New Roman" w:eastAsia="宋体" w:cs="Times New Roman"/>
          <w:b/>
          <w:bCs/>
          <w:snapToGrid w:val="0"/>
          <w:color w:val="auto"/>
          <w:sz w:val="30"/>
          <w:szCs w:val="30"/>
          <w:u w:val="none"/>
        </w:rPr>
        <w:t>二、建设项目工程分析</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
        <w:gridCol w:w="81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6" w:type="dxa"/>
            <w:noWrap w:val="0"/>
            <w:vAlign w:val="center"/>
          </w:tcPr>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建设内容</w:t>
            </w:r>
          </w:p>
        </w:tc>
        <w:tc>
          <w:tcPr>
            <w:tcW w:w="8173" w:type="dxa"/>
            <w:noWrap w:val="0"/>
            <w:vAlign w:val="top"/>
          </w:tcPr>
          <w:p>
            <w:pPr>
              <w:widowControl w:val="0"/>
              <w:autoSpaceDE w:val="0"/>
              <w:autoSpaceDN w:val="0"/>
              <w:spacing w:line="360" w:lineRule="auto"/>
              <w:ind w:firstLine="482" w:firstLineChars="200"/>
              <w:jc w:val="both"/>
              <w:rPr>
                <w:rFonts w:hint="default" w:ascii="Times New Roman" w:hAnsi="Times New Roman" w:eastAsia="宋体" w:cs="Times New Roman"/>
                <w:b/>
                <w:bCs/>
                <w:color w:val="auto"/>
                <w:sz w:val="24"/>
                <w:szCs w:val="24"/>
                <w:u w:val="none"/>
                <w:lang w:val="en-US" w:eastAsia="zh-CN" w:bidi="zh-CN"/>
              </w:rPr>
            </w:pPr>
            <w:r>
              <w:rPr>
                <w:rFonts w:hint="default" w:ascii="Times New Roman" w:hAnsi="Times New Roman" w:eastAsia="宋体" w:cs="Times New Roman"/>
                <w:b/>
                <w:bCs/>
                <w:color w:val="auto"/>
                <w:sz w:val="24"/>
                <w:szCs w:val="24"/>
                <w:u w:val="none"/>
                <w:lang w:val="en-US" w:eastAsia="zh-CN" w:bidi="zh-CN"/>
              </w:rPr>
              <w:t>1、项目由来</w:t>
            </w:r>
          </w:p>
          <w:p>
            <w:pPr>
              <w:keepNext w:val="0"/>
              <w:keepLines w:val="0"/>
              <w:pageBreakBefore w:val="0"/>
              <w:widowControl w:val="0"/>
              <w:tabs>
                <w:tab w:val="left" w:pos="1021"/>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u w:val="none"/>
              </w:rPr>
            </w:pPr>
            <w:r>
              <w:rPr>
                <w:rFonts w:hint="default" w:ascii="Times New Roman" w:hAnsi="Times New Roman" w:cs="Times New Roman"/>
                <w:color w:val="auto"/>
                <w:sz w:val="24"/>
                <w:u w:val="none"/>
                <w:lang w:eastAsia="zh-CN"/>
              </w:rPr>
              <w:t>衡阳蒸水报废汽车回收拆解有限公司</w:t>
            </w:r>
            <w:r>
              <w:rPr>
                <w:rFonts w:hint="default" w:ascii="Times New Roman" w:hAnsi="Times New Roman" w:cs="Times New Roman"/>
                <w:color w:val="auto"/>
                <w:sz w:val="24"/>
                <w:u w:val="none"/>
              </w:rPr>
              <w:t>成立于202</w:t>
            </w:r>
            <w:r>
              <w:rPr>
                <w:rFonts w:hint="default" w:ascii="Times New Roman" w:hAnsi="Times New Roman" w:cs="Times New Roman"/>
                <w:color w:val="auto"/>
                <w:sz w:val="24"/>
                <w:u w:val="none"/>
                <w:lang w:val="en-US" w:eastAsia="zh-CN"/>
              </w:rPr>
              <w:t>5</w:t>
            </w:r>
            <w:r>
              <w:rPr>
                <w:rFonts w:hint="default" w:ascii="Times New Roman" w:hAnsi="Times New Roman" w:cs="Times New Roman"/>
                <w:color w:val="auto"/>
                <w:sz w:val="24"/>
                <w:u w:val="none"/>
              </w:rPr>
              <w:t>年</w:t>
            </w:r>
            <w:r>
              <w:rPr>
                <w:rFonts w:hint="default" w:ascii="Times New Roman" w:hAnsi="Times New Roman" w:cs="Times New Roman"/>
                <w:color w:val="auto"/>
                <w:sz w:val="24"/>
                <w:u w:val="none"/>
                <w:lang w:val="en-US" w:eastAsia="zh-CN"/>
              </w:rPr>
              <w:t>11</w:t>
            </w:r>
            <w:r>
              <w:rPr>
                <w:rFonts w:hint="default" w:ascii="Times New Roman" w:hAnsi="Times New Roman" w:cs="Times New Roman"/>
                <w:color w:val="auto"/>
                <w:sz w:val="24"/>
                <w:u w:val="none"/>
              </w:rPr>
              <w:t>月，主要从事报废机动车拆解</w:t>
            </w:r>
            <w:r>
              <w:rPr>
                <w:rFonts w:hint="eastAsia" w:ascii="Times New Roman" w:hAnsi="Times New Roman" w:cs="Times New Roman"/>
                <w:color w:val="auto"/>
                <w:sz w:val="24"/>
                <w:u w:val="none"/>
                <w:lang w:eastAsia="zh-CN"/>
              </w:rPr>
              <w:t>；</w:t>
            </w:r>
            <w:r>
              <w:rPr>
                <w:rFonts w:hint="default" w:ascii="Times New Roman" w:hAnsi="Times New Roman" w:cs="Times New Roman"/>
                <w:color w:val="auto"/>
                <w:sz w:val="24"/>
                <w:u w:val="none"/>
              </w:rPr>
              <w:t>报废机动车回收</w:t>
            </w:r>
            <w:r>
              <w:rPr>
                <w:rFonts w:hint="default" w:ascii="Times New Roman" w:hAnsi="Times New Roman" w:cs="Times New Roman"/>
                <w:color w:val="auto"/>
                <w:sz w:val="24"/>
                <w:u w:val="none"/>
                <w:lang w:eastAsia="zh-CN"/>
              </w:rPr>
              <w:t>；</w:t>
            </w:r>
            <w:r>
              <w:rPr>
                <w:rFonts w:hint="default" w:ascii="Times New Roman" w:hAnsi="Times New Roman" w:cs="Times New Roman"/>
                <w:color w:val="auto"/>
                <w:sz w:val="24"/>
                <w:u w:val="none"/>
              </w:rPr>
              <w:t>报废电动汽车回收拆解</w:t>
            </w:r>
            <w:r>
              <w:rPr>
                <w:rFonts w:hint="default" w:ascii="Times New Roman" w:hAnsi="Times New Roman" w:cs="Times New Roman"/>
                <w:color w:val="auto"/>
                <w:sz w:val="24"/>
                <w:u w:val="none"/>
                <w:lang w:eastAsia="zh-CN"/>
              </w:rPr>
              <w:t>；</w:t>
            </w:r>
            <w:r>
              <w:rPr>
                <w:rFonts w:hint="default" w:ascii="Times New Roman" w:hAnsi="Times New Roman" w:cs="Times New Roman"/>
                <w:color w:val="auto"/>
                <w:sz w:val="24"/>
                <w:u w:val="none"/>
              </w:rPr>
              <w:t>废弃电器电子产品处理</w:t>
            </w:r>
            <w:r>
              <w:rPr>
                <w:rFonts w:hint="default" w:ascii="Times New Roman" w:hAnsi="Times New Roman" w:cs="Times New Roman"/>
                <w:color w:val="auto"/>
                <w:sz w:val="24"/>
                <w:u w:val="none"/>
                <w:lang w:eastAsia="zh-CN"/>
              </w:rPr>
              <w:t>；</w:t>
            </w:r>
            <w:r>
              <w:rPr>
                <w:rFonts w:hint="default" w:ascii="Times New Roman" w:hAnsi="Times New Roman" w:cs="Times New Roman"/>
                <w:color w:val="auto"/>
                <w:sz w:val="24"/>
                <w:u w:val="none"/>
              </w:rPr>
              <w:t>建筑物拆除作业（爆破作业除外）</w:t>
            </w:r>
            <w:r>
              <w:rPr>
                <w:rFonts w:hint="default" w:ascii="Times New Roman" w:hAnsi="Times New Roman" w:cs="Times New Roman"/>
                <w:color w:val="auto"/>
                <w:sz w:val="24"/>
                <w:u w:val="none"/>
                <w:lang w:eastAsia="zh-CN"/>
              </w:rPr>
              <w:t>等</w:t>
            </w:r>
            <w:r>
              <w:rPr>
                <w:rFonts w:hint="default" w:ascii="Times New Roman" w:hAnsi="Times New Roman" w:cs="Times New Roman"/>
                <w:color w:val="auto"/>
                <w:sz w:val="24"/>
                <w:u w:val="none"/>
              </w:rPr>
              <w:t>。</w:t>
            </w:r>
          </w:p>
          <w:p>
            <w:pPr>
              <w:keepNext w:val="0"/>
              <w:keepLines w:val="0"/>
              <w:pageBreakBefore w:val="0"/>
              <w:widowControl w:val="0"/>
              <w:tabs>
                <w:tab w:val="left" w:pos="1021"/>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u w:val="none"/>
              </w:rPr>
            </w:pPr>
            <w:r>
              <w:rPr>
                <w:rFonts w:hint="default" w:ascii="Times New Roman" w:hAnsi="Times New Roman" w:cs="Times New Roman"/>
                <w:color w:val="auto"/>
                <w:sz w:val="24"/>
                <w:u w:val="none"/>
              </w:rPr>
              <w:t>本项目选址于衡阳市衡阳县阳古社区湖南衡利丰陶瓷有限公司内（属于湖南衡阳西渡高新技术产业开发园区范围内），项目占地面积21235.5m</w:t>
            </w:r>
            <w:r>
              <w:rPr>
                <w:rFonts w:hint="default" w:ascii="Times New Roman" w:hAnsi="Times New Roman" w:cs="Times New Roman"/>
                <w:color w:val="auto"/>
                <w:sz w:val="24"/>
                <w:u w:val="none"/>
                <w:vertAlign w:val="superscript"/>
              </w:rPr>
              <w:t>2</w:t>
            </w:r>
            <w:r>
              <w:rPr>
                <w:rFonts w:hint="default" w:ascii="Times New Roman" w:hAnsi="Times New Roman" w:cs="Times New Roman"/>
                <w:color w:val="auto"/>
                <w:sz w:val="24"/>
                <w:u w:val="none"/>
              </w:rPr>
              <w:t>，在湖南衡利丰陶瓷有限公司</w:t>
            </w:r>
            <w:r>
              <w:rPr>
                <w:rFonts w:hint="default" w:ascii="Times New Roman" w:hAnsi="Times New Roman" w:cs="Times New Roman"/>
                <w:color w:val="auto"/>
                <w:sz w:val="24"/>
                <w:u w:val="none"/>
                <w:lang w:eastAsia="zh-CN"/>
              </w:rPr>
              <w:t>闲置</w:t>
            </w:r>
            <w:r>
              <w:rPr>
                <w:rFonts w:hint="default" w:ascii="Times New Roman" w:hAnsi="Times New Roman" w:cs="Times New Roman"/>
                <w:color w:val="auto"/>
                <w:sz w:val="24"/>
                <w:u w:val="none"/>
              </w:rPr>
              <w:t>厂房内，购置精细化拆解设备、</w:t>
            </w:r>
            <w:r>
              <w:rPr>
                <w:rFonts w:hint="default" w:ascii="Times New Roman" w:hAnsi="Times New Roman" w:cs="Times New Roman"/>
                <w:color w:val="auto"/>
                <w:sz w:val="24"/>
                <w:u w:val="none"/>
                <w:lang w:eastAsia="zh-CN"/>
              </w:rPr>
              <w:t>解体机</w:t>
            </w:r>
            <w:r>
              <w:rPr>
                <w:rFonts w:hint="default" w:ascii="Times New Roman" w:hAnsi="Times New Roman" w:cs="Times New Roman"/>
                <w:color w:val="auto"/>
                <w:sz w:val="24"/>
                <w:u w:val="none"/>
              </w:rPr>
              <w:t>、油水分离设备、等离子切割机、压块机、叉车、</w:t>
            </w:r>
            <w:r>
              <w:rPr>
                <w:rFonts w:hint="default" w:ascii="Times New Roman" w:hAnsi="Times New Roman" w:cs="Times New Roman"/>
                <w:color w:val="auto"/>
                <w:sz w:val="24"/>
                <w:u w:val="none"/>
                <w:lang w:eastAsia="zh-CN"/>
              </w:rPr>
              <w:t>拖车</w:t>
            </w:r>
            <w:r>
              <w:rPr>
                <w:rFonts w:hint="default" w:ascii="Times New Roman" w:hAnsi="Times New Roman" w:cs="Times New Roman"/>
                <w:color w:val="auto"/>
                <w:sz w:val="24"/>
                <w:u w:val="none"/>
              </w:rPr>
              <w:t>、称重设备、起重设备等，形成年回收、拆解报废机动车1</w:t>
            </w:r>
            <w:r>
              <w:rPr>
                <w:rFonts w:hint="default" w:ascii="Times New Roman" w:hAnsi="Times New Roman" w:cs="Times New Roman"/>
                <w:color w:val="auto"/>
                <w:sz w:val="24"/>
                <w:u w:val="none"/>
                <w:lang w:val="en-US" w:eastAsia="zh-CN"/>
              </w:rPr>
              <w:t>5</w:t>
            </w:r>
            <w:r>
              <w:rPr>
                <w:rFonts w:hint="default" w:ascii="Times New Roman" w:hAnsi="Times New Roman" w:cs="Times New Roman"/>
                <w:color w:val="auto"/>
                <w:sz w:val="24"/>
                <w:u w:val="none"/>
              </w:rPr>
              <w:t>000辆的处理能力，其中包括</w:t>
            </w:r>
            <w:r>
              <w:rPr>
                <w:rFonts w:hint="default" w:ascii="Times New Roman" w:hAnsi="Times New Roman" w:cs="Times New Roman"/>
                <w:color w:val="auto"/>
                <w:sz w:val="24"/>
                <w:u w:val="none"/>
                <w:lang w:val="en-US" w:eastAsia="zh-CN"/>
              </w:rPr>
              <w:t>报废燃油汽车小型7000辆、中型1200辆、大型1000辆，报废新能源汽车小中型3500辆，大型1000辆，报废摩托车1300辆（燃油摩托车650辆、电动摩托车650辆）</w:t>
            </w:r>
            <w:r>
              <w:rPr>
                <w:rFonts w:hint="default" w:ascii="Times New Roman" w:hAnsi="Times New Roman" w:cs="Times New Roman"/>
                <w:color w:val="auto"/>
                <w:sz w:val="24"/>
                <w:u w:val="none"/>
              </w:rPr>
              <w:t>，并对报废汽车拆解后的废旧钢材、废旧有色金属、废旧塑料、电子元器件、蓄电池等进行再综合利用，本项目不对发动机、变速器、电子元器件、蓄电池、尾气净化装置等进行进一步的深度拆解。</w:t>
            </w:r>
          </w:p>
          <w:p>
            <w:pPr>
              <w:keepNext w:val="0"/>
              <w:keepLines w:val="0"/>
              <w:pageBreakBefore w:val="0"/>
              <w:widowControl w:val="0"/>
              <w:tabs>
                <w:tab w:val="left" w:pos="1021"/>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lang w:eastAsia="zh-CN"/>
              </w:rPr>
              <w:t>根据《中华人民共和国环境影响评价法》、《建设项目环境保护管理条例》并对照《建设项目环境影响评价分类管理名录》（2021年版）规定，本项目属于“三十九、废弃资源综合利用业42”中的“85金属废料和碎屑加工处理421——废弃电器电子产品、废机动车、废电机、废电线电缆、废钢、废铁、金属和金属化合物矿灰及残渣、有色金属废料与碎屑、废塑料、废轮胎、废船、含水洗工艺的其他废料和碎屑加工处理”项目，应编制环境影响评价报告表。因此</w:t>
            </w:r>
            <w:r>
              <w:rPr>
                <w:rFonts w:hint="default" w:ascii="Times New Roman" w:hAnsi="Times New Roman" w:cs="Times New Roman"/>
                <w:color w:val="auto"/>
                <w:sz w:val="24"/>
                <w:u w:val="none"/>
                <w:lang w:eastAsia="zh-CN"/>
              </w:rPr>
              <w:t>衡阳蒸水报废汽车回收拆解有限公司</w:t>
            </w:r>
            <w:r>
              <w:rPr>
                <w:rFonts w:hint="default" w:ascii="Times New Roman" w:hAnsi="Times New Roman" w:eastAsia="宋体" w:cs="Times New Roman"/>
                <w:color w:val="auto"/>
                <w:sz w:val="24"/>
                <w:u w:val="none"/>
                <w:lang w:eastAsia="zh-CN"/>
              </w:rPr>
              <w:t>委托我公司编制《</w:t>
            </w:r>
            <w:r>
              <w:rPr>
                <w:rFonts w:hint="default" w:ascii="Times New Roman" w:hAnsi="Times New Roman" w:cs="Times New Roman"/>
                <w:color w:val="auto"/>
                <w:sz w:val="24"/>
                <w:u w:val="none"/>
                <w:lang w:eastAsia="zh-CN"/>
              </w:rPr>
              <w:t>衡阳蒸水报废汽车回收拆解有限公司报废汽车回收拆解建设项目</w:t>
            </w:r>
            <w:r>
              <w:rPr>
                <w:rFonts w:hint="default" w:ascii="Times New Roman" w:hAnsi="Times New Roman" w:eastAsia="宋体" w:cs="Times New Roman"/>
                <w:color w:val="auto"/>
                <w:sz w:val="24"/>
                <w:u w:val="none"/>
                <w:lang w:eastAsia="zh-CN"/>
              </w:rPr>
              <w:t>环境影响报告表》（委托书见附件1）。环评单位接受委托后即派技术人员现场踏勘，经资料收集与调研后，根据本项目的特点和项目所在地的环境特征编制了本环境影响报告表，供建设单位上报环保部门审批。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default" w:ascii="Times New Roman" w:hAnsi="Times New Roman" w:eastAsia="宋体" w:cs="Times New Roman"/>
                <w:b/>
                <w:bCs w:val="0"/>
                <w:color w:val="auto"/>
                <w:sz w:val="24"/>
                <w:szCs w:val="24"/>
                <w:u w:val="none"/>
                <w:lang w:val="en-US" w:eastAsia="zh-CN"/>
              </w:rPr>
              <w:t>2、项目建设规模与内容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szCs w:val="24"/>
                <w:u w:val="none"/>
                <w:lang w:val="en-US" w:eastAsia="zh-CN"/>
              </w:rPr>
            </w:pPr>
            <w:r>
              <w:rPr>
                <w:rFonts w:hint="default" w:ascii="Times New Roman" w:hAnsi="Times New Roman" w:eastAsia="宋体" w:cs="Times New Roman"/>
                <w:color w:val="auto"/>
                <w:sz w:val="24"/>
                <w:u w:val="none"/>
              </w:rPr>
              <w:t>本项目租赁场地总面积21235.5m</w:t>
            </w:r>
            <w:r>
              <w:rPr>
                <w:rFonts w:hint="default" w:ascii="Times New Roman" w:hAnsi="Times New Roman" w:eastAsia="宋体" w:cs="Times New Roman"/>
                <w:color w:val="auto"/>
                <w:sz w:val="24"/>
                <w:u w:val="none"/>
                <w:vertAlign w:val="superscript"/>
              </w:rPr>
              <w:t>2</w:t>
            </w:r>
            <w:r>
              <w:rPr>
                <w:rFonts w:hint="default" w:ascii="Times New Roman" w:hAnsi="Times New Roman" w:eastAsia="宋体" w:cs="Times New Roman"/>
                <w:color w:val="auto"/>
                <w:sz w:val="24"/>
                <w:u w:val="none"/>
              </w:rPr>
              <w:t>，钢结构1层，主要建设内容有整车贮存区、预处理区、总成贮存区（含总成拆解区）、分拣区（含切割区）、产品（半成品）贮存区、回用件贮存区、一般工业固体废物贮存区、交验区、地磅、办公生活</w:t>
            </w:r>
            <w:r>
              <w:rPr>
                <w:rFonts w:hint="eastAsia" w:ascii="Times New Roman" w:hAnsi="Times New Roman" w:eastAsia="宋体" w:cs="Times New Roman"/>
                <w:color w:val="auto"/>
                <w:sz w:val="24"/>
                <w:u w:val="none"/>
                <w:lang w:eastAsia="zh-CN"/>
              </w:rPr>
              <w:t>区</w:t>
            </w:r>
            <w:r>
              <w:rPr>
                <w:rFonts w:hint="default" w:ascii="Times New Roman" w:hAnsi="Times New Roman" w:eastAsia="宋体" w:cs="Times New Roman"/>
                <w:color w:val="auto"/>
                <w:sz w:val="24"/>
                <w:u w:val="none"/>
              </w:rPr>
              <w:t>及其他配套设施等，具体工程组成见下表2-1</w:t>
            </w:r>
            <w:r>
              <w:rPr>
                <w:rFonts w:hint="default" w:ascii="Times New Roman" w:hAnsi="Times New Roman" w:eastAsia="宋体" w:cs="Times New Roman"/>
                <w:bCs/>
                <w:color w:val="auto"/>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val="0"/>
                <w:color w:val="auto"/>
                <w:sz w:val="21"/>
                <w:szCs w:val="21"/>
                <w:u w:val="none" w:color="auto"/>
                <w:lang w:val="en-US" w:eastAsia="zh-CN"/>
              </w:rPr>
            </w:pPr>
            <w:r>
              <w:rPr>
                <w:rFonts w:hint="default" w:ascii="Times New Roman" w:hAnsi="Times New Roman" w:eastAsia="宋体" w:cs="Times New Roman"/>
                <w:b/>
                <w:bCs w:val="0"/>
                <w:color w:val="auto"/>
                <w:sz w:val="21"/>
                <w:szCs w:val="21"/>
                <w:u w:val="none" w:color="auto"/>
                <w:lang w:val="en-US" w:eastAsia="zh-CN"/>
              </w:rPr>
              <w:t>表2-1  项目组成一览表</w:t>
            </w:r>
          </w:p>
          <w:tbl>
            <w:tblPr>
              <w:tblStyle w:val="26"/>
              <w:tblW w:w="794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592"/>
              <w:gridCol w:w="1150"/>
              <w:gridCol w:w="3866"/>
              <w:gridCol w:w="6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u w:val="none" w:color="auto"/>
                      <w:vertAlign w:val="baseline"/>
                      <w:lang w:val="en-US" w:eastAsia="zh-CN"/>
                    </w:rPr>
                  </w:pPr>
                  <w:r>
                    <w:rPr>
                      <w:rFonts w:hint="default" w:ascii="Times New Roman" w:hAnsi="Times New Roman" w:eastAsia="宋体" w:cs="Times New Roman"/>
                      <w:b/>
                      <w:bCs w:val="0"/>
                      <w:color w:val="auto"/>
                      <w:sz w:val="21"/>
                      <w:szCs w:val="21"/>
                      <w:u w:val="none" w:color="auto"/>
                      <w:vertAlign w:val="baseline"/>
                      <w:lang w:val="en-US" w:eastAsia="zh-CN"/>
                    </w:rPr>
                    <w:t>工程类别</w:t>
                  </w: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u w:val="none" w:color="auto"/>
                      <w:vertAlign w:val="baseline"/>
                      <w:lang w:val="en-US" w:eastAsia="zh-CN"/>
                    </w:rPr>
                  </w:pPr>
                  <w:r>
                    <w:rPr>
                      <w:rFonts w:hint="default" w:ascii="Times New Roman" w:hAnsi="Times New Roman" w:eastAsia="宋体" w:cs="Times New Roman"/>
                      <w:b/>
                      <w:bCs w:val="0"/>
                      <w:color w:val="auto"/>
                      <w:sz w:val="21"/>
                      <w:szCs w:val="21"/>
                      <w:u w:val="none" w:color="auto"/>
                      <w:vertAlign w:val="baseline"/>
                      <w:lang w:val="en-US" w:eastAsia="zh-CN"/>
                    </w:rPr>
                    <w:t>工程名称</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u w:val="none" w:color="auto"/>
                      <w:vertAlign w:val="baseline"/>
                      <w:lang w:val="en-US" w:eastAsia="zh-CN"/>
                    </w:rPr>
                  </w:pPr>
                  <w:r>
                    <w:rPr>
                      <w:rFonts w:hint="default" w:ascii="Times New Roman" w:hAnsi="Times New Roman" w:eastAsia="宋体" w:cs="Times New Roman"/>
                      <w:b/>
                      <w:bCs w:val="0"/>
                      <w:color w:val="auto"/>
                      <w:sz w:val="21"/>
                      <w:szCs w:val="21"/>
                      <w:u w:val="none" w:color="auto"/>
                      <w:vertAlign w:val="baseline"/>
                      <w:lang w:val="en-US" w:eastAsia="zh-CN"/>
                    </w:rPr>
                    <w:t>建设内容</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u w:val="none" w:color="auto"/>
                      <w:vertAlign w:val="baseline"/>
                      <w:lang w:val="en-US" w:eastAsia="zh-CN"/>
                    </w:rPr>
                  </w:pPr>
                  <w:r>
                    <w:rPr>
                      <w:rFonts w:hint="default" w:ascii="Times New Roman" w:hAnsi="Times New Roman" w:eastAsia="宋体" w:cs="Times New Roman"/>
                      <w:b/>
                      <w:bCs w:val="0"/>
                      <w:color w:val="auto"/>
                      <w:sz w:val="21"/>
                      <w:szCs w:val="21"/>
                      <w:u w:val="none" w:color="auto"/>
                      <w:vertAlign w:val="baseli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主体工程</w:t>
                  </w: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查验</w:t>
                  </w:r>
                  <w:r>
                    <w:rPr>
                      <w:rFonts w:hint="eastAsia" w:ascii="Times New Roman" w:hAnsi="Times New Roman" w:eastAsia="宋体" w:cs="Times New Roman"/>
                      <w:b w:val="0"/>
                      <w:bCs/>
                      <w:color w:val="auto"/>
                      <w:sz w:val="21"/>
                      <w:szCs w:val="21"/>
                      <w:u w:val="wave" w:color="auto"/>
                      <w:vertAlign w:val="baseline"/>
                      <w:lang w:val="en-US" w:eastAsia="zh-CN"/>
                    </w:rPr>
                    <w:t>区</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wave" w:color="auto"/>
                      <w:lang w:val="en-US" w:eastAsia="zh-CN"/>
                    </w:rPr>
                  </w:pPr>
                  <w:r>
                    <w:rPr>
                      <w:rFonts w:hint="eastAsia" w:ascii="Times New Roman" w:hAnsi="Times New Roman" w:eastAsia="宋体" w:cs="Times New Roman"/>
                      <w:color w:val="auto"/>
                      <w:sz w:val="21"/>
                      <w:szCs w:val="21"/>
                      <w:u w:val="wave" w:color="auto"/>
                      <w:lang w:val="en-US" w:eastAsia="zh-CN"/>
                    </w:rPr>
                    <w:t>拟在场地西南角配套建设1处查验区，</w:t>
                  </w:r>
                  <w:r>
                    <w:rPr>
                      <w:rFonts w:hint="default" w:ascii="Times New Roman" w:hAnsi="Times New Roman" w:eastAsia="宋体" w:cs="Times New Roman"/>
                      <w:color w:val="auto"/>
                      <w:sz w:val="21"/>
                      <w:szCs w:val="21"/>
                      <w:u w:val="wave" w:color="auto"/>
                      <w:lang w:val="en-US" w:eastAsia="zh-CN"/>
                    </w:rPr>
                    <w:t>1F，占地面积</w:t>
                  </w:r>
                  <w:r>
                    <w:rPr>
                      <w:rFonts w:hint="eastAsia" w:ascii="Times New Roman" w:hAnsi="Times New Roman" w:eastAsia="宋体" w:cs="Times New Roman"/>
                      <w:color w:val="auto"/>
                      <w:sz w:val="21"/>
                      <w:szCs w:val="21"/>
                      <w:u w:val="wave" w:color="auto"/>
                      <w:lang w:val="en-US" w:eastAsia="zh-CN"/>
                    </w:rPr>
                    <w:t>40</w:t>
                  </w:r>
                  <w:r>
                    <w:rPr>
                      <w:rFonts w:hint="default" w:ascii="Times New Roman" w:hAnsi="Times New Roman" w:eastAsia="宋体" w:cs="Times New Roman"/>
                      <w:color w:val="auto"/>
                      <w:sz w:val="21"/>
                      <w:szCs w:val="21"/>
                      <w:u w:val="wave" w:color="auto"/>
                      <w:lang w:val="en-US" w:eastAsia="zh-CN"/>
                    </w:rPr>
                    <w:t>0m</w:t>
                  </w:r>
                  <w:r>
                    <w:rPr>
                      <w:rFonts w:hint="default" w:ascii="Times New Roman" w:hAnsi="Times New Roman" w:eastAsia="宋体" w:cs="Times New Roman"/>
                      <w:color w:val="auto"/>
                      <w:sz w:val="21"/>
                      <w:szCs w:val="21"/>
                      <w:u w:val="wave" w:color="auto"/>
                      <w:vertAlign w:val="superscript"/>
                      <w:lang w:val="en-US" w:eastAsia="zh-CN"/>
                    </w:rPr>
                    <w:t>2</w:t>
                  </w:r>
                  <w:r>
                    <w:rPr>
                      <w:rFonts w:hint="default" w:ascii="Times New Roman" w:hAnsi="Times New Roman" w:eastAsia="宋体" w:cs="Times New Roman"/>
                      <w:color w:val="auto"/>
                      <w:sz w:val="21"/>
                      <w:szCs w:val="21"/>
                      <w:u w:val="wave" w:color="auto"/>
                      <w:lang w:val="en-US" w:eastAsia="zh-CN"/>
                    </w:rPr>
                    <w:t>，根据《报废机动车回收拆解企业技术规范》（GB22128-2019）要求进行建设，设置屋顶和截排水沟，能防雨防渗。</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eastAsia" w:ascii="Times New Roman" w:hAnsi="Times New Roman" w:eastAsia="宋体" w:cs="Times New Roman"/>
                      <w:b w:val="0"/>
                      <w:bCs/>
                      <w:color w:val="auto"/>
                      <w:sz w:val="21"/>
                      <w:szCs w:val="21"/>
                      <w:u w:val="wave" w:color="auto"/>
                      <w:vertAlign w:val="baseline"/>
                      <w:lang w:val="en-US" w:eastAsia="zh-CN"/>
                    </w:rPr>
                    <w:t>厂房</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1F，</w:t>
                  </w:r>
                  <w:r>
                    <w:rPr>
                      <w:rFonts w:hint="eastAsia" w:ascii="Times New Roman" w:hAnsi="Times New Roman" w:eastAsia="宋体" w:cs="Times New Roman"/>
                      <w:color w:val="auto"/>
                      <w:sz w:val="21"/>
                      <w:szCs w:val="21"/>
                      <w:u w:val="wave" w:color="auto"/>
                      <w:lang w:val="en-US" w:eastAsia="zh-CN"/>
                    </w:rPr>
                    <w:t>占地面积11930m</w:t>
                  </w:r>
                  <w:r>
                    <w:rPr>
                      <w:rFonts w:hint="eastAsia" w:ascii="Times New Roman" w:hAnsi="Times New Roman" w:eastAsia="宋体" w:cs="Times New Roman"/>
                      <w:color w:val="auto"/>
                      <w:sz w:val="21"/>
                      <w:szCs w:val="21"/>
                      <w:u w:val="wave" w:color="auto"/>
                      <w:vertAlign w:val="superscript"/>
                      <w:lang w:val="en-US" w:eastAsia="zh-CN"/>
                    </w:rPr>
                    <w:t>2</w:t>
                  </w:r>
                  <w:r>
                    <w:rPr>
                      <w:rFonts w:hint="eastAsia" w:ascii="Times New Roman" w:hAnsi="Times New Roman" w:eastAsia="宋体" w:cs="Times New Roman"/>
                      <w:color w:val="auto"/>
                      <w:sz w:val="21"/>
                      <w:szCs w:val="21"/>
                      <w:u w:val="wave" w:color="auto"/>
                      <w:lang w:val="en-US" w:eastAsia="zh-CN"/>
                    </w:rPr>
                    <w:t>，钢结构，利用现有厂房分区建设，包括预处理区、精细拆解区</w:t>
                  </w:r>
                  <w:r>
                    <w:rPr>
                      <w:rFonts w:hint="eastAsia" w:cs="Times New Roman"/>
                      <w:color w:val="auto"/>
                      <w:sz w:val="21"/>
                      <w:szCs w:val="21"/>
                      <w:u w:val="wave" w:color="auto"/>
                      <w:lang w:val="en-US" w:eastAsia="zh-CN"/>
                    </w:rPr>
                    <w:t>（含拆解台）</w:t>
                  </w:r>
                  <w:r>
                    <w:rPr>
                      <w:rFonts w:hint="eastAsia" w:ascii="Times New Roman" w:hAnsi="Times New Roman" w:eastAsia="宋体" w:cs="Times New Roman"/>
                      <w:color w:val="auto"/>
                      <w:sz w:val="21"/>
                      <w:szCs w:val="21"/>
                      <w:u w:val="wave" w:color="auto"/>
                      <w:lang w:val="en-US" w:eastAsia="zh-CN"/>
                    </w:rPr>
                    <w:t>、动力总成拆解区及切割区、打包区、报废电动汽车贮存区、风险电动汽车贮存区、一般固废分类贮存区、以及动力电池暂存区、危废暂存间。地面硬化并要求进行防渗处理</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eastAsia"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辅助工程</w:t>
                  </w: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综合办公</w:t>
                  </w:r>
                  <w:r>
                    <w:rPr>
                      <w:rFonts w:hint="eastAsia" w:ascii="Times New Roman" w:hAnsi="Times New Roman" w:eastAsia="宋体" w:cs="Times New Roman"/>
                      <w:b w:val="0"/>
                      <w:bCs/>
                      <w:color w:val="auto"/>
                      <w:sz w:val="21"/>
                      <w:szCs w:val="21"/>
                      <w:u w:val="none" w:color="auto"/>
                      <w:vertAlign w:val="baseline"/>
                      <w:lang w:val="en-US" w:eastAsia="zh-CN"/>
                    </w:rPr>
                    <w:t>区</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占地面积</w:t>
                  </w:r>
                  <w:r>
                    <w:rPr>
                      <w:rFonts w:hint="eastAsia" w:ascii="Times New Roman" w:hAnsi="Times New Roman" w:eastAsia="宋体" w:cs="Times New Roman"/>
                      <w:color w:val="auto"/>
                      <w:sz w:val="21"/>
                      <w:szCs w:val="21"/>
                      <w:u w:val="none" w:color="auto"/>
                      <w:lang w:val="en-US" w:eastAsia="zh-CN"/>
                    </w:rPr>
                    <w:t>383.5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r>
                    <w:rPr>
                      <w:rFonts w:hint="default" w:ascii="Times New Roman" w:hAnsi="Times New Roman" w:eastAsia="宋体" w:cs="Times New Roman"/>
                      <w:color w:val="auto"/>
                      <w:sz w:val="21"/>
                      <w:szCs w:val="21"/>
                      <w:u w:val="none" w:color="auto"/>
                      <w:lang w:val="en-US" w:eastAsia="zh-CN"/>
                    </w:rPr>
                    <w:t>，</w:t>
                  </w:r>
                  <w:r>
                    <w:rPr>
                      <w:rFonts w:hint="eastAsia" w:ascii="Times New Roman" w:hAnsi="Times New Roman" w:eastAsia="宋体" w:cs="Times New Roman"/>
                      <w:color w:val="auto"/>
                      <w:sz w:val="21"/>
                      <w:szCs w:val="21"/>
                      <w:u w:val="none" w:color="auto"/>
                      <w:lang w:val="en-US" w:eastAsia="zh-CN"/>
                    </w:rPr>
                    <w:t>1</w:t>
                  </w:r>
                  <w:r>
                    <w:rPr>
                      <w:rFonts w:hint="default" w:ascii="Times New Roman" w:hAnsi="Times New Roman" w:eastAsia="宋体" w:cs="Times New Roman"/>
                      <w:color w:val="auto"/>
                      <w:sz w:val="21"/>
                      <w:szCs w:val="21"/>
                      <w:u w:val="none" w:color="auto"/>
                      <w:lang w:val="en-US" w:eastAsia="zh-CN"/>
                    </w:rPr>
                    <w:t>F，</w:t>
                  </w:r>
                  <w:r>
                    <w:rPr>
                      <w:rFonts w:hint="eastAsia" w:ascii="Times New Roman" w:hAnsi="Times New Roman" w:eastAsia="宋体" w:cs="Times New Roman"/>
                      <w:color w:val="auto"/>
                      <w:sz w:val="21"/>
                      <w:szCs w:val="21"/>
                      <w:u w:val="none" w:color="auto"/>
                      <w:lang w:val="en-US" w:eastAsia="zh-CN"/>
                    </w:rPr>
                    <w:t>砖混结构，位于场地东南角</w:t>
                  </w:r>
                  <w:r>
                    <w:rPr>
                      <w:rFonts w:hint="default" w:ascii="Times New Roman" w:hAnsi="Times New Roman" w:eastAsia="宋体" w:cs="Times New Roman"/>
                      <w:color w:val="auto"/>
                      <w:sz w:val="21"/>
                      <w:szCs w:val="21"/>
                      <w:u w:val="none" w:color="auto"/>
                      <w:lang w:val="en-US" w:eastAsia="zh-CN"/>
                    </w:rPr>
                    <w:t>，包括办公室、</w:t>
                  </w:r>
                  <w:r>
                    <w:rPr>
                      <w:rFonts w:hint="eastAsia" w:ascii="Times New Roman" w:hAnsi="Times New Roman" w:eastAsia="宋体" w:cs="Times New Roman"/>
                      <w:color w:val="auto"/>
                      <w:sz w:val="21"/>
                      <w:szCs w:val="21"/>
                      <w:u w:val="none" w:color="auto"/>
                      <w:lang w:val="en-US" w:eastAsia="zh-CN"/>
                    </w:rPr>
                    <w:t>门卫室、接待室、员工宿舍、值班室和业务大厅等</w:t>
                  </w:r>
                  <w:r>
                    <w:rPr>
                      <w:rFonts w:hint="default" w:ascii="Times New Roman" w:hAnsi="Times New Roman" w:eastAsia="宋体" w:cs="Times New Roman"/>
                      <w:color w:val="auto"/>
                      <w:sz w:val="21"/>
                      <w:szCs w:val="21"/>
                      <w:u w:val="none" w:color="auto"/>
                      <w:lang w:val="en-US" w:eastAsia="zh-CN"/>
                    </w:rPr>
                    <w:t>，位于场地</w:t>
                  </w:r>
                  <w:r>
                    <w:rPr>
                      <w:rFonts w:hint="eastAsia" w:ascii="Times New Roman" w:hAnsi="Times New Roman" w:eastAsia="宋体" w:cs="Times New Roman"/>
                      <w:color w:val="auto"/>
                      <w:sz w:val="21"/>
                      <w:szCs w:val="21"/>
                      <w:u w:val="none" w:color="auto"/>
                      <w:lang w:val="en-US" w:eastAsia="zh-CN"/>
                    </w:rPr>
                    <w:t>南</w:t>
                  </w:r>
                  <w:r>
                    <w:rPr>
                      <w:rFonts w:hint="default" w:ascii="Times New Roman" w:hAnsi="Times New Roman" w:eastAsia="宋体" w:cs="Times New Roman"/>
                      <w:color w:val="auto"/>
                      <w:sz w:val="21"/>
                      <w:szCs w:val="21"/>
                      <w:u w:val="none" w:color="auto"/>
                      <w:lang w:val="en-US" w:eastAsia="zh-CN"/>
                    </w:rPr>
                    <w:t>侧</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eastAsia" w:ascii="Times New Roman" w:hAnsi="Times New Roman" w:eastAsia="宋体" w:cs="Times New Roman"/>
                      <w:b w:val="0"/>
                      <w:bCs/>
                      <w:color w:val="auto"/>
                      <w:sz w:val="21"/>
                      <w:szCs w:val="21"/>
                      <w:u w:val="non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eastAsia" w:ascii="Times New Roman" w:hAnsi="Times New Roman" w:eastAsia="宋体" w:cs="Times New Roman"/>
                      <w:b w:val="0"/>
                      <w:bCs/>
                      <w:color w:val="auto"/>
                      <w:sz w:val="21"/>
                      <w:szCs w:val="21"/>
                      <w:u w:val="none" w:color="auto"/>
                      <w:vertAlign w:val="baseline"/>
                      <w:lang w:val="en-US" w:eastAsia="zh-CN"/>
                    </w:rPr>
                    <w:t>储运工程</w:t>
                  </w: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eastAsia" w:ascii="Times New Roman" w:hAnsi="Times New Roman" w:eastAsia="宋体" w:cs="Times New Roman"/>
                      <w:b w:val="0"/>
                      <w:bCs/>
                      <w:color w:val="auto"/>
                      <w:sz w:val="21"/>
                      <w:szCs w:val="21"/>
                      <w:u w:val="none" w:color="auto"/>
                      <w:vertAlign w:val="baseline"/>
                      <w:lang w:val="en-US" w:eastAsia="zh-CN"/>
                    </w:rPr>
                    <w:t>（完整）报废燃油车贮存区</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露天堆放，占地面积约4467</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r>
                    <w:rPr>
                      <w:rFonts w:hint="eastAsia" w:ascii="Times New Roman" w:hAnsi="Times New Roman" w:eastAsia="宋体" w:cs="Times New Roman"/>
                      <w:color w:val="auto"/>
                      <w:sz w:val="21"/>
                      <w:szCs w:val="21"/>
                      <w:u w:val="none" w:color="auto"/>
                      <w:lang w:val="en-US" w:eastAsia="zh-CN"/>
                    </w:rPr>
                    <w:t>，位于厂房南侧，地面已水泥硬化，场地四周设置收集边沟</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eastAsia"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公用工程</w:t>
                  </w: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给水工程</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rPr>
                    <w:t>来源于</w:t>
                  </w:r>
                  <w:r>
                    <w:rPr>
                      <w:rFonts w:hint="eastAsia" w:ascii="Times New Roman" w:hAnsi="Times New Roman" w:eastAsia="宋体" w:cs="Times New Roman"/>
                      <w:color w:val="auto"/>
                      <w:sz w:val="21"/>
                      <w:szCs w:val="21"/>
                      <w:u w:val="none" w:color="auto"/>
                      <w:lang w:eastAsia="zh-CN"/>
                    </w:rPr>
                    <w:t>市政管网供给</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排水工程</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u w:val="wave" w:color="auto"/>
                      <w:lang w:val="en-US" w:eastAsia="zh-CN"/>
                    </w:rPr>
                  </w:pPr>
                  <w:r>
                    <w:rPr>
                      <w:rFonts w:hint="default" w:ascii="Times New Roman" w:hAnsi="Times New Roman" w:cs="Times New Roman"/>
                      <w:bCs/>
                      <w:color w:val="auto"/>
                      <w:kern w:val="0"/>
                      <w:sz w:val="21"/>
                      <w:szCs w:val="21"/>
                      <w:u w:val="wave" w:color="auto"/>
                    </w:rPr>
                    <w:t>采用雨污分流制，初期雨水、车间地面拖洗废水</w:t>
                  </w:r>
                  <w:r>
                    <w:rPr>
                      <w:rFonts w:hint="eastAsia" w:ascii="Times New Roman" w:hAnsi="Times New Roman" w:cs="Times New Roman"/>
                      <w:bCs/>
                      <w:color w:val="auto"/>
                      <w:kern w:val="0"/>
                      <w:sz w:val="21"/>
                      <w:szCs w:val="21"/>
                      <w:u w:val="wave" w:color="auto"/>
                      <w:lang w:eastAsia="zh-CN"/>
                    </w:rPr>
                    <w:t>经处理后</w:t>
                  </w:r>
                  <w:r>
                    <w:rPr>
                      <w:rFonts w:hint="eastAsia" w:cs="Times New Roman"/>
                      <w:bCs/>
                      <w:color w:val="auto"/>
                      <w:kern w:val="0"/>
                      <w:sz w:val="21"/>
                      <w:szCs w:val="21"/>
                      <w:u w:val="wave" w:color="auto"/>
                      <w:lang w:eastAsia="zh-CN"/>
                    </w:rPr>
                    <w:t>排入市政污水管网</w:t>
                  </w:r>
                  <w:r>
                    <w:rPr>
                      <w:rFonts w:hint="default" w:ascii="Times New Roman" w:hAnsi="Times New Roman" w:cs="Times New Roman"/>
                      <w:bCs/>
                      <w:color w:val="auto"/>
                      <w:kern w:val="0"/>
                      <w:sz w:val="21"/>
                      <w:szCs w:val="21"/>
                      <w:u w:val="wave" w:color="auto"/>
                    </w:rPr>
                    <w:t>，生活污水经化粪池预处理后经管网排入</w:t>
                  </w:r>
                  <w:r>
                    <w:rPr>
                      <w:rFonts w:hint="eastAsia" w:ascii="Times New Roman" w:hAnsi="Times New Roman" w:cs="Times New Roman"/>
                      <w:bCs/>
                      <w:color w:val="auto"/>
                      <w:kern w:val="0"/>
                      <w:sz w:val="21"/>
                      <w:szCs w:val="21"/>
                      <w:u w:val="wave" w:color="auto"/>
                      <w:lang w:eastAsia="zh-CN"/>
                    </w:rPr>
                    <w:t>衡阳</w:t>
                  </w:r>
                  <w:r>
                    <w:rPr>
                      <w:rFonts w:hint="default" w:ascii="Times New Roman" w:hAnsi="Times New Roman" w:cs="Times New Roman"/>
                      <w:bCs/>
                      <w:color w:val="auto"/>
                      <w:kern w:val="0"/>
                      <w:sz w:val="21"/>
                      <w:szCs w:val="21"/>
                      <w:u w:val="wave" w:color="auto"/>
                    </w:rPr>
                    <w:t>西渡高新区污水处理厂</w:t>
                  </w:r>
                  <w:r>
                    <w:rPr>
                      <w:rFonts w:hint="eastAsia" w:ascii="Times New Roman" w:hAnsi="Times New Roman" w:cs="Times New Roman"/>
                      <w:bCs/>
                      <w:color w:val="auto"/>
                      <w:kern w:val="0"/>
                      <w:sz w:val="21"/>
                      <w:szCs w:val="21"/>
                      <w:u w:val="wave" w:color="auto"/>
                      <w:lang w:eastAsia="zh-CN"/>
                    </w:rPr>
                    <w:t>。</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eastAsia" w:ascii="Times New Roman" w:hAnsi="Times New Roman" w:eastAsia="宋体" w:cs="Times New Roman"/>
                      <w:b w:val="0"/>
                      <w:bCs/>
                      <w:color w:val="auto"/>
                      <w:sz w:val="21"/>
                      <w:szCs w:val="21"/>
                      <w:u w:val="wav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供电工程</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rPr>
                    <w:t>来源于</w:t>
                  </w:r>
                  <w:r>
                    <w:rPr>
                      <w:rFonts w:hint="default" w:ascii="Times New Roman" w:hAnsi="Times New Roman" w:eastAsia="宋体" w:cs="Times New Roman"/>
                      <w:color w:val="auto"/>
                      <w:sz w:val="21"/>
                      <w:szCs w:val="21"/>
                      <w:u w:val="none" w:color="auto"/>
                      <w:lang w:val="en-US" w:eastAsia="zh-CN"/>
                    </w:rPr>
                    <w:t>市政供电</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环保工程</w:t>
                  </w:r>
                </w:p>
              </w:tc>
              <w:tc>
                <w:tcPr>
                  <w:tcW w:w="1592"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废水</w:t>
                  </w:r>
                </w:p>
              </w:tc>
              <w:tc>
                <w:tcPr>
                  <w:tcW w:w="11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生活污水</w:t>
                  </w:r>
                </w:p>
              </w:tc>
              <w:tc>
                <w:tcPr>
                  <w:tcW w:w="38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生活污水经化粪池预处理后经管网排入西渡高新区污水处理厂</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eastAsia" w:ascii="Times New Roman" w:hAnsi="Times New Roman" w:eastAsia="宋体" w:cs="Times New Roman"/>
                      <w:b w:val="0"/>
                      <w:bCs/>
                      <w:color w:val="auto"/>
                      <w:sz w:val="21"/>
                      <w:szCs w:val="21"/>
                      <w:u w:val="wav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1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初期雨水</w:t>
                  </w:r>
                </w:p>
              </w:tc>
              <w:tc>
                <w:tcPr>
                  <w:tcW w:w="3866"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初期雨水经初期雨水收集池收集，</w:t>
                  </w:r>
                  <w:bookmarkStart w:id="9" w:name="OLE_LINK9"/>
                  <w:r>
                    <w:rPr>
                      <w:rFonts w:hint="eastAsia" w:cs="Times New Roman"/>
                      <w:b w:val="0"/>
                      <w:bCs/>
                      <w:color w:val="auto"/>
                      <w:sz w:val="21"/>
                      <w:szCs w:val="21"/>
                      <w:u w:val="wave" w:color="auto"/>
                      <w:vertAlign w:val="baseline"/>
                      <w:lang w:val="en-US" w:eastAsia="zh-CN"/>
                    </w:rPr>
                    <w:t>与</w:t>
                  </w:r>
                  <w:r>
                    <w:rPr>
                      <w:rFonts w:hint="default" w:ascii="Times New Roman" w:hAnsi="Times New Roman" w:eastAsia="宋体" w:cs="Times New Roman"/>
                      <w:b w:val="0"/>
                      <w:bCs/>
                      <w:color w:val="auto"/>
                      <w:sz w:val="21"/>
                      <w:szCs w:val="21"/>
                      <w:u w:val="wave" w:color="auto"/>
                      <w:vertAlign w:val="baseline"/>
                      <w:lang w:val="en-US" w:eastAsia="zh-CN"/>
                    </w:rPr>
                    <w:t>车间地面拖洗废水</w:t>
                  </w:r>
                  <w:bookmarkEnd w:id="9"/>
                  <w:r>
                    <w:rPr>
                      <w:rFonts w:hint="eastAsia" w:cs="Times New Roman"/>
                      <w:b w:val="0"/>
                      <w:bCs/>
                      <w:color w:val="auto"/>
                      <w:sz w:val="21"/>
                      <w:szCs w:val="21"/>
                      <w:u w:val="wave" w:color="auto"/>
                      <w:vertAlign w:val="baseline"/>
                      <w:lang w:val="en-US" w:eastAsia="zh-CN"/>
                    </w:rPr>
                    <w:t>一并排放</w:t>
                  </w:r>
                  <w:r>
                    <w:rPr>
                      <w:rFonts w:hint="eastAsia" w:cs="Times New Roman"/>
                      <w:b w:val="0"/>
                      <w:bCs/>
                      <w:color w:val="auto"/>
                      <w:sz w:val="21"/>
                      <w:szCs w:val="21"/>
                      <w:u w:val="wave" w:color="auto"/>
                      <w:lang w:val="en-US" w:eastAsia="zh-CN"/>
                    </w:rPr>
                    <w:t>三级隔油沉淀池</w:t>
                  </w:r>
                  <w:r>
                    <w:rPr>
                      <w:rFonts w:hint="eastAsia" w:ascii="Times New Roman" w:hAnsi="Times New Roman" w:eastAsia="宋体" w:cs="Times New Roman"/>
                      <w:b w:val="0"/>
                      <w:bCs/>
                      <w:color w:val="auto"/>
                      <w:sz w:val="21"/>
                      <w:szCs w:val="21"/>
                      <w:u w:val="wave" w:color="auto"/>
                      <w:lang w:val="en-US" w:eastAsia="zh-CN"/>
                    </w:rPr>
                    <w:t>（TW002）</w:t>
                  </w:r>
                  <w:r>
                    <w:rPr>
                      <w:rFonts w:hint="eastAsia" w:cs="Times New Roman"/>
                      <w:b w:val="0"/>
                      <w:bCs/>
                      <w:color w:val="auto"/>
                      <w:sz w:val="21"/>
                      <w:szCs w:val="21"/>
                      <w:u w:val="wave" w:color="auto"/>
                      <w:lang w:val="en-US" w:eastAsia="zh-CN"/>
                    </w:rPr>
                    <w:t>+</w:t>
                  </w:r>
                  <w:r>
                    <w:rPr>
                      <w:rFonts w:hint="eastAsia" w:ascii="Times New Roman" w:hAnsi="Times New Roman" w:eastAsia="宋体" w:cs="Times New Roman"/>
                      <w:b w:val="0"/>
                      <w:bCs/>
                      <w:color w:val="auto"/>
                      <w:sz w:val="21"/>
                      <w:szCs w:val="21"/>
                      <w:u w:val="wave" w:color="auto"/>
                      <w:lang w:val="en-US" w:eastAsia="zh-CN"/>
                    </w:rPr>
                    <w:t>油水分离器</w:t>
                  </w:r>
                  <w:r>
                    <w:rPr>
                      <w:rFonts w:hint="eastAsia" w:ascii="Times New Roman" w:hAnsi="Times New Roman" w:cs="Times New Roman"/>
                      <w:b w:val="0"/>
                      <w:bCs/>
                      <w:color w:val="auto"/>
                      <w:sz w:val="21"/>
                      <w:szCs w:val="21"/>
                      <w:u w:val="wave" w:color="auto"/>
                      <w:lang w:val="en-US" w:eastAsia="zh-CN"/>
                    </w:rPr>
                    <w:t>处理后，经管网排入西渡高新区污水处理厂</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color w:val="auto"/>
                      <w:kern w:val="2"/>
                      <w:sz w:val="21"/>
                      <w:szCs w:val="21"/>
                      <w:u w:val="wave" w:color="auto"/>
                      <w:vertAlign w:val="baseline"/>
                      <w:lang w:val="en-US" w:eastAsia="zh-CN" w:bidi="ar-SA"/>
                    </w:rPr>
                  </w:pPr>
                  <w:r>
                    <w:rPr>
                      <w:rFonts w:hint="eastAsia" w:ascii="Times New Roman" w:hAnsi="Times New Roman" w:eastAsia="宋体" w:cs="Times New Roman"/>
                      <w:b w:val="0"/>
                      <w:bCs/>
                      <w:color w:val="auto"/>
                      <w:sz w:val="21"/>
                      <w:szCs w:val="21"/>
                      <w:u w:val="wav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1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default" w:ascii="Times New Roman" w:hAnsi="Times New Roman" w:eastAsia="宋体" w:cs="Times New Roman"/>
                      <w:b w:val="0"/>
                      <w:bCs/>
                      <w:color w:val="auto"/>
                      <w:sz w:val="21"/>
                      <w:szCs w:val="21"/>
                      <w:u w:val="wave" w:color="auto"/>
                      <w:vertAlign w:val="baseline"/>
                      <w:lang w:val="en-US" w:eastAsia="zh-CN"/>
                    </w:rPr>
                    <w:t>车间地面清洁废水</w:t>
                  </w:r>
                </w:p>
              </w:tc>
              <w:tc>
                <w:tcPr>
                  <w:tcW w:w="386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color w:val="auto"/>
                      <w:kern w:val="2"/>
                      <w:sz w:val="21"/>
                      <w:szCs w:val="21"/>
                      <w:u w:val="wave" w:color="auto"/>
                      <w:vertAlign w:val="baseline"/>
                      <w:lang w:val="en-US" w:eastAsia="zh-CN" w:bidi="ar-SA"/>
                    </w:rPr>
                  </w:pPr>
                  <w:r>
                    <w:rPr>
                      <w:rFonts w:hint="eastAsia" w:ascii="Times New Roman" w:hAnsi="Times New Roman" w:eastAsia="宋体" w:cs="Times New Roman"/>
                      <w:b w:val="0"/>
                      <w:bCs/>
                      <w:color w:val="auto"/>
                      <w:sz w:val="21"/>
                      <w:szCs w:val="21"/>
                      <w:u w:val="wav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废气</w:t>
                  </w:r>
                </w:p>
              </w:tc>
              <w:tc>
                <w:tcPr>
                  <w:tcW w:w="1150"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vertAlign w:val="baseline"/>
                      <w:lang w:val="en-US" w:eastAsia="zh-CN"/>
                    </w:rPr>
                  </w:pPr>
                  <w:r>
                    <w:rPr>
                      <w:rFonts w:hint="default" w:ascii="Times New Roman" w:hAnsi="Times New Roman" w:eastAsia="宋体" w:cs="Times New Roman"/>
                      <w:b w:val="0"/>
                      <w:bCs w:val="0"/>
                      <w:color w:val="auto"/>
                      <w:sz w:val="21"/>
                      <w:szCs w:val="21"/>
                      <w:u w:val="wave" w:color="auto"/>
                      <w:lang w:val="en-US" w:eastAsia="zh-CN"/>
                    </w:rPr>
                    <w:t>废油挥发废气G1</w:t>
                  </w:r>
                </w:p>
              </w:tc>
              <w:tc>
                <w:tcPr>
                  <w:tcW w:w="38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cs="Times New Roman"/>
                      <w:color w:val="auto"/>
                      <w:sz w:val="21"/>
                      <w:szCs w:val="21"/>
                      <w:u w:val="wave" w:color="auto"/>
                      <w:lang w:val="en-US" w:eastAsia="zh-CN"/>
                    </w:rPr>
                  </w:pPr>
                  <w:r>
                    <w:rPr>
                      <w:rFonts w:hint="eastAsia" w:cs="Times New Roman"/>
                      <w:color w:val="auto"/>
                      <w:sz w:val="21"/>
                      <w:szCs w:val="21"/>
                      <w:u w:val="wave" w:color="auto"/>
                      <w:lang w:val="en-US" w:eastAsia="zh-CN"/>
                    </w:rPr>
                    <w:t>有组织：经集气罩+活性炭吸附装置+15m排气筒达标排放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eastAsia" w:cs="Times New Roman"/>
                      <w:color w:val="auto"/>
                      <w:sz w:val="21"/>
                      <w:szCs w:val="21"/>
                      <w:u w:val="wave" w:color="auto"/>
                      <w:lang w:val="en-US" w:eastAsia="zh-CN"/>
                    </w:rPr>
                    <w:t>无组织：</w:t>
                  </w:r>
                  <w:r>
                    <w:rPr>
                      <w:rFonts w:hint="default" w:ascii="Times New Roman" w:hAnsi="Times New Roman" w:eastAsia="宋体" w:cs="Times New Roman"/>
                      <w:color w:val="auto"/>
                      <w:sz w:val="21"/>
                      <w:szCs w:val="21"/>
                      <w:u w:val="wave" w:color="auto"/>
                      <w:lang w:val="en-US" w:eastAsia="zh-CN"/>
                    </w:rPr>
                    <w:t>通过</w:t>
                  </w:r>
                  <w:r>
                    <w:rPr>
                      <w:rFonts w:hint="eastAsia" w:ascii="Times New Roman" w:hAnsi="Times New Roman" w:eastAsia="宋体" w:cs="Times New Roman"/>
                      <w:color w:val="auto"/>
                      <w:sz w:val="21"/>
                      <w:szCs w:val="21"/>
                      <w:u w:val="wave" w:color="auto"/>
                      <w:lang w:val="en-US" w:eastAsia="zh-CN"/>
                    </w:rPr>
                    <w:t>厂房</w:t>
                  </w:r>
                  <w:r>
                    <w:rPr>
                      <w:rFonts w:hint="default" w:ascii="Times New Roman" w:hAnsi="Times New Roman" w:eastAsia="宋体" w:cs="Times New Roman"/>
                      <w:color w:val="auto"/>
                      <w:sz w:val="21"/>
                      <w:szCs w:val="21"/>
                      <w:u w:val="wave" w:color="auto"/>
                      <w:lang w:val="en-US" w:eastAsia="zh-CN"/>
                    </w:rPr>
                    <w:t>排风扇以无组织形式排放至外环境</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wave" w:color="auto"/>
                      <w:vertAlign w:val="baseline"/>
                      <w:lang w:val="en-US" w:eastAsia="zh-CN"/>
                    </w:rPr>
                  </w:pPr>
                  <w:r>
                    <w:rPr>
                      <w:rFonts w:hint="eastAsia" w:cs="Times New Roman"/>
                      <w:b w:val="0"/>
                      <w:bCs/>
                      <w:color w:val="auto"/>
                      <w:sz w:val="21"/>
                      <w:szCs w:val="21"/>
                      <w:u w:val="wav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150"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lang w:val="en-US" w:eastAsia="zh-CN"/>
                    </w:rPr>
                    <w:t>废有机溶剂挥发有机废气G2</w:t>
                  </w:r>
                </w:p>
              </w:tc>
              <w:tc>
                <w:tcPr>
                  <w:tcW w:w="38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lang w:val="en-US" w:eastAsia="zh-CN"/>
                    </w:rPr>
                    <w:t>通过</w:t>
                  </w:r>
                  <w:r>
                    <w:rPr>
                      <w:rFonts w:hint="eastAsia" w:ascii="Times New Roman" w:hAnsi="Times New Roman" w:eastAsia="宋体" w:cs="Times New Roman"/>
                      <w:color w:val="auto"/>
                      <w:sz w:val="21"/>
                      <w:szCs w:val="21"/>
                      <w:u w:val="none" w:color="auto"/>
                      <w:lang w:val="en-US" w:eastAsia="zh-CN"/>
                    </w:rPr>
                    <w:t>厂房</w:t>
                  </w:r>
                  <w:r>
                    <w:rPr>
                      <w:rFonts w:hint="default" w:ascii="Times New Roman" w:hAnsi="Times New Roman" w:eastAsia="宋体" w:cs="Times New Roman"/>
                      <w:color w:val="auto"/>
                      <w:sz w:val="21"/>
                      <w:szCs w:val="21"/>
                      <w:u w:val="none" w:color="auto"/>
                      <w:lang w:val="en-US" w:eastAsia="zh-CN"/>
                    </w:rPr>
                    <w:t>排风扇以无组织形式排放至外环境</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150"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lang w:val="en-US" w:eastAsia="zh-CN"/>
                    </w:rPr>
                    <w:t>引爆安全气囊粉尘G3</w:t>
                  </w:r>
                </w:p>
              </w:tc>
              <w:tc>
                <w:tcPr>
                  <w:tcW w:w="386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color w:val="auto"/>
                      <w:sz w:val="21"/>
                      <w:szCs w:val="21"/>
                      <w:u w:val="none" w:color="auto"/>
                      <w:lang w:bidi="ar"/>
                    </w:rPr>
                    <w:t>安全气囊引爆装置在气体排出口配置布袋装置</w:t>
                  </w:r>
                  <w:r>
                    <w:rPr>
                      <w:rFonts w:hint="default" w:ascii="Times New Roman" w:hAnsi="Times New Roman" w:eastAsia="宋体" w:cs="Times New Roman"/>
                      <w:color w:val="auto"/>
                      <w:sz w:val="21"/>
                      <w:szCs w:val="21"/>
                      <w:u w:val="none" w:color="auto"/>
                      <w:lang w:eastAsia="zh-CN" w:bidi="ar"/>
                    </w:rPr>
                    <w:t>，</w:t>
                  </w:r>
                  <w:r>
                    <w:rPr>
                      <w:rFonts w:hint="default" w:ascii="Times New Roman" w:hAnsi="Times New Roman" w:eastAsia="宋体" w:cs="Times New Roman"/>
                      <w:color w:val="auto"/>
                      <w:sz w:val="21"/>
                      <w:szCs w:val="21"/>
                      <w:u w:val="none" w:color="auto"/>
                      <w:lang w:bidi="ar"/>
                    </w:rPr>
                    <w:t>剩余逸散的极少量颗粒物经大气稀释扩散后排放</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150" w:type="dxa"/>
                  <w:shd w:val="clear" w:color="auto" w:fill="auto"/>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lang w:val="en-US" w:eastAsia="zh-CN"/>
                    </w:rPr>
                    <w:t>切割、拆解粉尘G4</w:t>
                  </w:r>
                </w:p>
              </w:tc>
              <w:tc>
                <w:tcPr>
                  <w:tcW w:w="3866" w:type="dxa"/>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0"/>
                      <w:sz w:val="21"/>
                      <w:szCs w:val="21"/>
                      <w:u w:val="none"/>
                      <w:vertAlign w:val="baseline"/>
                      <w:lang w:val="en-US" w:eastAsia="zh-CN"/>
                    </w:rPr>
                    <w:t>车间沉降+移动式粉尘净化器+排风扇无组织排放</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eastAsia" w:ascii="Times New Roman" w:hAnsi="Times New Roman" w:eastAsia="宋体" w:cs="Times New Roman"/>
                      <w:b w:val="0"/>
                      <w:bCs/>
                      <w:color w:val="auto"/>
                      <w:sz w:val="21"/>
                      <w:szCs w:val="21"/>
                      <w:u w:val="none" w:color="auto"/>
                      <w:vertAlign w:val="baseline"/>
                      <w:lang w:val="en-US"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噪声</w:t>
                  </w:r>
                </w:p>
              </w:tc>
              <w:tc>
                <w:tcPr>
                  <w:tcW w:w="5016"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减振、隔声；车辆减速、禁鸣喇叭</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p>
              </w:tc>
              <w:tc>
                <w:tcPr>
                  <w:tcW w:w="1592"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color="auto"/>
                      <w:vertAlign w:val="baseline"/>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固废</w:t>
                  </w:r>
                </w:p>
              </w:tc>
              <w:tc>
                <w:tcPr>
                  <w:tcW w:w="1150" w:type="dxa"/>
                  <w:noWrap w:val="0"/>
                  <w:vAlign w:val="center"/>
                </w:tcPr>
                <w:p>
                  <w:pPr>
                    <w:widowControl/>
                    <w:spacing w:line="240" w:lineRule="auto"/>
                    <w:ind w:firstLine="0" w:firstLineChars="0"/>
                    <w:jc w:val="center"/>
                    <w:textAlignment w:val="center"/>
                    <w:rPr>
                      <w:rFonts w:hint="default" w:ascii="Times New Roman" w:hAnsi="Times New Roman" w:cs="Times New Roman"/>
                      <w:bCs/>
                      <w:color w:val="auto"/>
                      <w:kern w:val="0"/>
                      <w:sz w:val="21"/>
                      <w:szCs w:val="21"/>
                      <w:u w:val="none" w:color="auto"/>
                      <w:lang w:val="en-US" w:eastAsia="zh-CN" w:bidi="ar-SA"/>
                    </w:rPr>
                  </w:pPr>
                  <w:r>
                    <w:rPr>
                      <w:rFonts w:hint="default" w:ascii="Times New Roman" w:hAnsi="Times New Roman" w:cs="Times New Roman"/>
                      <w:bCs/>
                      <w:color w:val="auto"/>
                      <w:kern w:val="0"/>
                      <w:sz w:val="21"/>
                      <w:szCs w:val="21"/>
                      <w:u w:val="none" w:color="auto"/>
                    </w:rPr>
                    <w:t>一般固废</w:t>
                  </w:r>
                </w:p>
              </w:tc>
              <w:tc>
                <w:tcPr>
                  <w:tcW w:w="3866" w:type="dxa"/>
                  <w:noWrap w:val="0"/>
                  <w:vAlign w:val="center"/>
                </w:tcPr>
                <w:p>
                  <w:pPr>
                    <w:spacing w:line="240" w:lineRule="auto"/>
                    <w:ind w:firstLine="0" w:firstLineChars="0"/>
                    <w:jc w:val="center"/>
                    <w:rPr>
                      <w:rFonts w:hint="default" w:ascii="Times New Roman" w:hAnsi="Times New Roman" w:cs="Times New Roman"/>
                      <w:bCs/>
                      <w:color w:val="auto"/>
                      <w:kern w:val="2"/>
                      <w:sz w:val="21"/>
                      <w:szCs w:val="21"/>
                      <w:u w:val="none" w:color="auto"/>
                      <w:lang w:val="en-US" w:eastAsia="zh-CN" w:bidi="ar-SA"/>
                    </w:rPr>
                  </w:pPr>
                  <w:r>
                    <w:rPr>
                      <w:rFonts w:hint="eastAsia" w:ascii="Times New Roman" w:hAnsi="Times New Roman" w:cs="Times New Roman"/>
                      <w:bCs/>
                      <w:color w:val="auto"/>
                      <w:kern w:val="0"/>
                      <w:sz w:val="21"/>
                      <w:szCs w:val="21"/>
                      <w:u w:val="none" w:color="auto"/>
                      <w:lang w:eastAsia="zh-CN"/>
                    </w:rPr>
                    <w:t>在厂房内设一般固废贮存区</w:t>
                  </w:r>
                  <w:r>
                    <w:rPr>
                      <w:rFonts w:hint="default" w:ascii="Times New Roman" w:hAnsi="Times New Roman" w:cs="Times New Roman"/>
                      <w:bCs/>
                      <w:color w:val="auto"/>
                      <w:kern w:val="0"/>
                      <w:sz w:val="21"/>
                      <w:szCs w:val="21"/>
                      <w:u w:val="none" w:color="auto"/>
                    </w:rPr>
                    <w:t>，</w:t>
                  </w:r>
                  <w:r>
                    <w:rPr>
                      <w:rFonts w:hint="eastAsia" w:ascii="Times New Roman" w:hAnsi="Times New Roman" w:cs="Times New Roman"/>
                      <w:bCs/>
                      <w:color w:val="auto"/>
                      <w:kern w:val="0"/>
                      <w:sz w:val="21"/>
                      <w:szCs w:val="21"/>
                      <w:u w:val="none" w:color="auto"/>
                      <w:lang w:eastAsia="zh-CN"/>
                    </w:rPr>
                    <w:t>用于贮存不可利用的麻织物、废泡沫、废海绵以及废皮革</w:t>
                  </w:r>
                  <w:r>
                    <w:rPr>
                      <w:rFonts w:hint="default" w:ascii="Times New Roman" w:hAnsi="Times New Roman" w:cs="Times New Roman"/>
                      <w:bCs/>
                      <w:color w:val="auto"/>
                      <w:kern w:val="0"/>
                      <w:sz w:val="21"/>
                      <w:szCs w:val="21"/>
                      <w:u w:val="none" w:color="auto"/>
                    </w:rPr>
                    <w:t>；分类收集，定期外售综合利用或处置</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color="auto"/>
                    </w:rPr>
                  </w:pPr>
                </w:p>
              </w:tc>
              <w:tc>
                <w:tcPr>
                  <w:tcW w:w="15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color="auto"/>
                    </w:rPr>
                  </w:pPr>
                </w:p>
              </w:tc>
              <w:tc>
                <w:tcPr>
                  <w:tcW w:w="1150" w:type="dxa"/>
                  <w:noWrap w:val="0"/>
                  <w:vAlign w:val="center"/>
                </w:tcPr>
                <w:p>
                  <w:pPr>
                    <w:widowControl/>
                    <w:spacing w:line="240" w:lineRule="auto"/>
                    <w:ind w:firstLine="0" w:firstLineChars="0"/>
                    <w:jc w:val="center"/>
                    <w:textAlignment w:val="center"/>
                    <w:rPr>
                      <w:rFonts w:hint="default" w:ascii="Times New Roman" w:hAnsi="Times New Roman" w:cs="Times New Roman"/>
                      <w:bCs/>
                      <w:color w:val="auto"/>
                      <w:kern w:val="0"/>
                      <w:sz w:val="21"/>
                      <w:szCs w:val="21"/>
                      <w:u w:val="none" w:color="auto"/>
                      <w:lang w:val="en-US" w:eastAsia="zh-CN" w:bidi="ar-SA"/>
                    </w:rPr>
                  </w:pPr>
                  <w:r>
                    <w:rPr>
                      <w:rFonts w:hint="default" w:ascii="Times New Roman" w:hAnsi="Times New Roman" w:cs="Times New Roman"/>
                      <w:bCs/>
                      <w:color w:val="auto"/>
                      <w:kern w:val="0"/>
                      <w:sz w:val="21"/>
                      <w:szCs w:val="21"/>
                      <w:u w:val="none" w:color="auto"/>
                    </w:rPr>
                    <w:t>危险废物</w:t>
                  </w:r>
                </w:p>
              </w:tc>
              <w:tc>
                <w:tcPr>
                  <w:tcW w:w="3866" w:type="dxa"/>
                  <w:noWrap w:val="0"/>
                  <w:vAlign w:val="center"/>
                </w:tcPr>
                <w:p>
                  <w:pPr>
                    <w:spacing w:line="240" w:lineRule="auto"/>
                    <w:ind w:firstLine="0" w:firstLineChars="0"/>
                    <w:jc w:val="center"/>
                    <w:rPr>
                      <w:rFonts w:hint="default" w:ascii="Times New Roman" w:hAnsi="Times New Roman" w:cs="Times New Roman"/>
                      <w:bCs/>
                      <w:color w:val="auto"/>
                      <w:kern w:val="2"/>
                      <w:sz w:val="21"/>
                      <w:szCs w:val="21"/>
                      <w:u w:val="none" w:color="auto"/>
                      <w:lang w:val="en-US" w:eastAsia="zh-CN" w:bidi="ar-SA"/>
                    </w:rPr>
                  </w:pPr>
                  <w:r>
                    <w:rPr>
                      <w:rFonts w:hint="eastAsia" w:ascii="Times New Roman" w:hAnsi="Times New Roman" w:cs="Times New Roman"/>
                      <w:bCs/>
                      <w:color w:val="auto"/>
                      <w:kern w:val="0"/>
                      <w:sz w:val="21"/>
                      <w:szCs w:val="21"/>
                      <w:u w:val="none" w:color="auto"/>
                      <w:lang w:eastAsia="zh-CN"/>
                    </w:rPr>
                    <w:t>在厂房内</w:t>
                  </w:r>
                  <w:r>
                    <w:rPr>
                      <w:rFonts w:hint="default" w:ascii="Times New Roman" w:hAnsi="Times New Roman" w:cs="Times New Roman"/>
                      <w:bCs/>
                      <w:color w:val="auto"/>
                      <w:kern w:val="0"/>
                      <w:sz w:val="21"/>
                      <w:szCs w:val="21"/>
                      <w:u w:val="none" w:color="auto"/>
                    </w:rPr>
                    <w:t>建设危险废物暂存间</w:t>
                  </w:r>
                  <w:r>
                    <w:rPr>
                      <w:rFonts w:hint="eastAsia" w:ascii="Times New Roman" w:hAnsi="Times New Roman" w:cs="Times New Roman"/>
                      <w:bCs/>
                      <w:color w:val="auto"/>
                      <w:kern w:val="0"/>
                      <w:sz w:val="21"/>
                      <w:szCs w:val="21"/>
                      <w:u w:val="none" w:color="auto"/>
                      <w:lang w:eastAsia="zh-CN"/>
                    </w:rPr>
                    <w:t>和动力电池暂存间</w:t>
                  </w:r>
                  <w:r>
                    <w:rPr>
                      <w:rFonts w:hint="default" w:ascii="Times New Roman" w:hAnsi="Times New Roman" w:cs="Times New Roman"/>
                      <w:bCs/>
                      <w:color w:val="auto"/>
                      <w:kern w:val="0"/>
                      <w:sz w:val="21"/>
                      <w:szCs w:val="21"/>
                      <w:u w:val="none" w:color="auto"/>
                    </w:rPr>
                    <w:t>，设置截排水沟，能防雨防渗，面积</w:t>
                  </w:r>
                  <w:r>
                    <w:rPr>
                      <w:rFonts w:hint="eastAsia" w:ascii="Times New Roman" w:hAnsi="Times New Roman" w:cs="Times New Roman"/>
                      <w:bCs/>
                      <w:color w:val="auto"/>
                      <w:kern w:val="0"/>
                      <w:sz w:val="21"/>
                      <w:szCs w:val="21"/>
                      <w:u w:val="none" w:color="auto"/>
                      <w:lang w:eastAsia="zh-CN"/>
                    </w:rPr>
                    <w:t>分别为</w:t>
                  </w:r>
                  <w:r>
                    <w:rPr>
                      <w:rFonts w:hint="eastAsia" w:ascii="Times New Roman" w:hAnsi="Times New Roman" w:cs="Times New Roman"/>
                      <w:bCs/>
                      <w:color w:val="auto"/>
                      <w:kern w:val="0"/>
                      <w:sz w:val="21"/>
                      <w:szCs w:val="21"/>
                      <w:u w:val="none" w:color="auto"/>
                      <w:lang w:val="en-US" w:eastAsia="zh-CN"/>
                    </w:rPr>
                    <w:t>10</w:t>
                  </w:r>
                  <w:r>
                    <w:rPr>
                      <w:rFonts w:hint="default" w:ascii="Times New Roman" w:hAnsi="Times New Roman" w:cs="Times New Roman"/>
                      <w:bCs/>
                      <w:color w:val="auto"/>
                      <w:kern w:val="0"/>
                      <w:sz w:val="21"/>
                      <w:szCs w:val="21"/>
                      <w:u w:val="none" w:color="auto"/>
                    </w:rPr>
                    <w:t>0m</w:t>
                  </w:r>
                  <w:r>
                    <w:rPr>
                      <w:rFonts w:hint="default" w:ascii="Times New Roman" w:hAnsi="Times New Roman" w:cs="Times New Roman"/>
                      <w:bCs/>
                      <w:color w:val="auto"/>
                      <w:kern w:val="0"/>
                      <w:sz w:val="21"/>
                      <w:szCs w:val="21"/>
                      <w:u w:val="none" w:color="auto"/>
                      <w:vertAlign w:val="superscript"/>
                    </w:rPr>
                    <w:t>2</w:t>
                  </w:r>
                  <w:r>
                    <w:rPr>
                      <w:rFonts w:hint="default" w:ascii="Times New Roman" w:hAnsi="Times New Roman" w:cs="Times New Roman"/>
                      <w:bCs/>
                      <w:color w:val="auto"/>
                      <w:kern w:val="0"/>
                      <w:sz w:val="21"/>
                      <w:szCs w:val="21"/>
                      <w:u w:val="none" w:color="auto"/>
                    </w:rPr>
                    <w:t>。分类分区收集，</w:t>
                  </w:r>
                  <w:r>
                    <w:rPr>
                      <w:rFonts w:hint="eastAsia" w:ascii="Times New Roman" w:hAnsi="Times New Roman" w:cs="Times New Roman"/>
                      <w:bCs/>
                      <w:color w:val="auto"/>
                      <w:kern w:val="0"/>
                      <w:sz w:val="21"/>
                      <w:szCs w:val="21"/>
                      <w:u w:val="none" w:color="auto"/>
                      <w:lang w:eastAsia="zh-CN"/>
                    </w:rPr>
                    <w:t>定期交</w:t>
                  </w:r>
                  <w:r>
                    <w:rPr>
                      <w:rFonts w:hint="default" w:ascii="Times New Roman" w:hAnsi="Times New Roman" w:cs="Times New Roman"/>
                      <w:bCs/>
                      <w:color w:val="auto"/>
                      <w:kern w:val="0"/>
                      <w:sz w:val="21"/>
                      <w:szCs w:val="21"/>
                      <w:u w:val="none" w:color="auto"/>
                    </w:rPr>
                    <w:t>由有资质的危废处理机构回收进行安全处置。</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color="auto"/>
                    </w:rPr>
                  </w:pPr>
                </w:p>
              </w:tc>
              <w:tc>
                <w:tcPr>
                  <w:tcW w:w="15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u w:val="none" w:color="auto"/>
                    </w:rPr>
                  </w:pPr>
                </w:p>
              </w:tc>
              <w:tc>
                <w:tcPr>
                  <w:tcW w:w="1150" w:type="dxa"/>
                  <w:noWrap w:val="0"/>
                  <w:vAlign w:val="center"/>
                </w:tcPr>
                <w:p>
                  <w:pPr>
                    <w:widowControl/>
                    <w:spacing w:line="240" w:lineRule="auto"/>
                    <w:ind w:firstLine="0" w:firstLineChars="0"/>
                    <w:jc w:val="center"/>
                    <w:textAlignment w:val="center"/>
                    <w:rPr>
                      <w:rFonts w:hint="default" w:ascii="Times New Roman" w:hAnsi="Times New Roman" w:cs="Times New Roman"/>
                      <w:bCs/>
                      <w:color w:val="auto"/>
                      <w:kern w:val="0"/>
                      <w:sz w:val="21"/>
                      <w:szCs w:val="21"/>
                      <w:u w:val="none" w:color="auto"/>
                      <w:lang w:val="en-US" w:eastAsia="zh-CN" w:bidi="ar-SA"/>
                    </w:rPr>
                  </w:pPr>
                  <w:r>
                    <w:rPr>
                      <w:rFonts w:hint="default" w:ascii="Times New Roman" w:hAnsi="Times New Roman" w:cs="Times New Roman"/>
                      <w:bCs/>
                      <w:color w:val="auto"/>
                      <w:kern w:val="0"/>
                      <w:sz w:val="21"/>
                      <w:szCs w:val="21"/>
                      <w:u w:val="none" w:color="auto"/>
                    </w:rPr>
                    <w:t>生活垃圾</w:t>
                  </w:r>
                </w:p>
              </w:tc>
              <w:tc>
                <w:tcPr>
                  <w:tcW w:w="3866" w:type="dxa"/>
                  <w:noWrap w:val="0"/>
                  <w:vAlign w:val="center"/>
                </w:tcPr>
                <w:p>
                  <w:pPr>
                    <w:spacing w:line="240" w:lineRule="auto"/>
                    <w:ind w:firstLine="0" w:firstLineChars="0"/>
                    <w:jc w:val="center"/>
                    <w:rPr>
                      <w:rFonts w:hint="default" w:ascii="Times New Roman" w:hAnsi="Times New Roman" w:cs="Times New Roman"/>
                      <w:bCs/>
                      <w:color w:val="auto"/>
                      <w:kern w:val="2"/>
                      <w:sz w:val="21"/>
                      <w:szCs w:val="21"/>
                      <w:u w:val="none" w:color="auto"/>
                      <w:lang w:val="en-US" w:eastAsia="zh-CN" w:bidi="ar-SA"/>
                    </w:rPr>
                  </w:pPr>
                  <w:r>
                    <w:rPr>
                      <w:rFonts w:hint="default" w:ascii="Times New Roman" w:hAnsi="Times New Roman" w:cs="Times New Roman"/>
                      <w:bCs/>
                      <w:color w:val="auto"/>
                      <w:kern w:val="0"/>
                      <w:sz w:val="21"/>
                      <w:szCs w:val="21"/>
                      <w:u w:val="none" w:color="auto"/>
                    </w:rPr>
                    <w:t>设置垃圾桶收集员工日常生活垃圾，由环卫部门统一清运处置</w:t>
                  </w:r>
                </w:p>
              </w:tc>
              <w:tc>
                <w:tcPr>
                  <w:tcW w:w="67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b w:val="0"/>
                      <w:bCs/>
                      <w:color w:val="auto"/>
                      <w:sz w:val="21"/>
                      <w:szCs w:val="21"/>
                      <w:u w:val="none" w:color="auto"/>
                      <w:vertAlign w:val="baseline"/>
                      <w:lang w:val="en-US" w:eastAsia="zh-CN"/>
                    </w:rPr>
                    <w:t>依托</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default" w:ascii="Times New Roman" w:hAnsi="Times New Roman" w:eastAsia="宋体" w:cs="Times New Roman"/>
                <w:b/>
                <w:bCs w:val="0"/>
                <w:color w:val="auto"/>
                <w:sz w:val="24"/>
                <w:szCs w:val="24"/>
                <w:u w:val="none"/>
                <w:lang w:val="en-US" w:eastAsia="zh-CN"/>
              </w:rPr>
              <w:t>3、产品产能及原辅材料消耗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szCs w:val="24"/>
                <w:u w:val="none" w:color="auto"/>
                <w:lang w:val="en-US" w:eastAsia="zh-CN"/>
              </w:rPr>
            </w:pPr>
            <w:r>
              <w:rPr>
                <w:rFonts w:hint="default" w:ascii="Times New Roman" w:hAnsi="Times New Roman" w:eastAsia="宋体" w:cs="Times New Roman"/>
                <w:color w:val="auto"/>
                <w:sz w:val="24"/>
                <w:u w:val="none" w:color="auto"/>
              </w:rPr>
              <w:t>本项目原辅材料及主要耗能见下表</w:t>
            </w:r>
            <w:r>
              <w:rPr>
                <w:rFonts w:hint="default" w:ascii="Times New Roman" w:hAnsi="Times New Roman" w:eastAsia="宋体" w:cs="Times New Roman"/>
                <w:bCs/>
                <w:color w:val="auto"/>
                <w:sz w:val="24"/>
                <w:szCs w:val="24"/>
                <w:u w:val="none" w:color="auto"/>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val="0"/>
                <w:color w:val="auto"/>
                <w:sz w:val="21"/>
                <w:szCs w:val="21"/>
                <w:u w:val="none" w:color="auto"/>
                <w:lang w:val="en-US" w:eastAsia="zh-CN"/>
              </w:rPr>
            </w:pPr>
            <w:r>
              <w:rPr>
                <w:rFonts w:hint="default" w:ascii="Times New Roman" w:hAnsi="Times New Roman" w:eastAsia="宋体" w:cs="Times New Roman"/>
                <w:b/>
                <w:bCs w:val="0"/>
                <w:color w:val="auto"/>
                <w:sz w:val="21"/>
                <w:szCs w:val="21"/>
                <w:u w:val="none" w:color="auto"/>
                <w:lang w:val="en-US" w:eastAsia="zh-CN"/>
              </w:rPr>
              <w:t>表2-2  项目</w:t>
            </w:r>
            <w:r>
              <w:rPr>
                <w:rFonts w:hint="default" w:ascii="Times New Roman" w:hAnsi="Times New Roman" w:cs="Times New Roman"/>
                <w:b/>
                <w:color w:val="auto"/>
                <w:kern w:val="0"/>
                <w:sz w:val="21"/>
                <w:szCs w:val="18"/>
                <w:u w:val="none" w:color="auto"/>
              </w:rPr>
              <w:t>原辅材料及消耗量</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1618"/>
              <w:gridCol w:w="1566"/>
              <w:gridCol w:w="959"/>
              <w:gridCol w:w="1111"/>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84" w:type="pct"/>
                  <w:gridSpan w:val="2"/>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规格</w:t>
                  </w:r>
                </w:p>
              </w:tc>
              <w:tc>
                <w:tcPr>
                  <w:tcW w:w="603"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单位</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restar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报废</w:t>
                  </w:r>
                </w:p>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燃油</w:t>
                  </w:r>
                </w:p>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汽车</w:t>
                  </w: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小型汽车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小汽车/面包车</w:t>
                  </w:r>
                </w:p>
              </w:tc>
              <w:tc>
                <w:tcPr>
                  <w:tcW w:w="603"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7000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均重1.1t/辆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continue"/>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中型汽车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小货车</w:t>
                  </w:r>
                  <w:r>
                    <w:rPr>
                      <w:rFonts w:hint="default" w:ascii="Times New Roman" w:hAnsi="Times New Roman" w:cs="Times New Roman"/>
                      <w:sz w:val="21"/>
                      <w:szCs w:val="21"/>
                      <w:lang w:val="en-US" w:eastAsia="zh-CN"/>
                    </w:rPr>
                    <w:t>/中巴车</w:t>
                  </w:r>
                </w:p>
              </w:tc>
              <w:tc>
                <w:tcPr>
                  <w:tcW w:w="603" w:type="pct"/>
                  <w:noWrap w:val="0"/>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1200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均重4.3t/辆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continue"/>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大型汽车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货车/客车</w:t>
                  </w:r>
                  <w:r>
                    <w:rPr>
                      <w:rFonts w:hint="default" w:ascii="Times New Roman" w:hAnsi="Times New Roman" w:cs="Times New Roman"/>
                      <w:sz w:val="21"/>
                      <w:szCs w:val="21"/>
                      <w:lang w:val="en-US" w:eastAsia="zh-CN"/>
                    </w:rPr>
                    <w:t>/公交</w:t>
                  </w:r>
                </w:p>
              </w:tc>
              <w:tc>
                <w:tcPr>
                  <w:tcW w:w="603" w:type="pct"/>
                  <w:noWrap w:val="0"/>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均重11.62t/辆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restar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报废</w:t>
                  </w:r>
                </w:p>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新能源汽车</w:t>
                  </w: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小</w:t>
                  </w:r>
                  <w:r>
                    <w:rPr>
                      <w:rFonts w:hint="default" w:ascii="Times New Roman" w:hAnsi="Times New Roman" w:cs="Times New Roman"/>
                      <w:sz w:val="21"/>
                      <w:szCs w:val="21"/>
                      <w:lang w:val="en-US" w:eastAsia="zh-CN"/>
                    </w:rPr>
                    <w:t>中</w:t>
                  </w:r>
                  <w:r>
                    <w:rPr>
                      <w:rFonts w:hint="default" w:ascii="Times New Roman" w:hAnsi="Times New Roman" w:cs="Times New Roman"/>
                      <w:sz w:val="21"/>
                      <w:szCs w:val="21"/>
                    </w:rPr>
                    <w:t>型</w:t>
                  </w:r>
                  <w:r>
                    <w:rPr>
                      <w:rFonts w:hint="default" w:ascii="Times New Roman" w:hAnsi="Times New Roman" w:cs="Times New Roman"/>
                      <w:sz w:val="21"/>
                      <w:szCs w:val="21"/>
                      <w:lang w:val="en-US" w:eastAsia="zh-CN"/>
                    </w:rPr>
                    <w:t>电动汽车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小汽车/面包车</w:t>
                  </w:r>
                </w:p>
              </w:tc>
              <w:tc>
                <w:tcPr>
                  <w:tcW w:w="603" w:type="pct"/>
                  <w:noWrap w:val="0"/>
                  <w:vAlign w:val="center"/>
                </w:tcPr>
                <w:p>
                  <w:pPr>
                    <w:keepNext w:val="0"/>
                    <w:keepLines w:val="0"/>
                    <w:widowControl/>
                    <w:suppressLineNumbers w:val="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3500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均重1.81t/辆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continue"/>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大型</w:t>
                  </w:r>
                  <w:r>
                    <w:rPr>
                      <w:rFonts w:hint="default" w:ascii="Times New Roman" w:hAnsi="Times New Roman" w:cs="Times New Roman"/>
                      <w:sz w:val="21"/>
                      <w:szCs w:val="21"/>
                    </w:rPr>
                    <w:t>电动汽车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公交车</w:t>
                  </w:r>
                </w:p>
              </w:tc>
              <w:tc>
                <w:tcPr>
                  <w:tcW w:w="6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均重</w:t>
                  </w: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restar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报废</w:t>
                  </w:r>
                </w:p>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摩托车</w:t>
                  </w: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燃油</w:t>
                  </w:r>
                  <w:r>
                    <w:rPr>
                      <w:rFonts w:hint="default" w:ascii="Times New Roman" w:hAnsi="Times New Roman" w:cs="Times New Roman"/>
                      <w:sz w:val="21"/>
                      <w:szCs w:val="21"/>
                    </w:rPr>
                    <w:t>摩托车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6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650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均重0.128t/辆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65" w:type="pct"/>
                  <w:vMerge w:val="continue"/>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p>
              </w:tc>
              <w:tc>
                <w:tcPr>
                  <w:tcW w:w="1018"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电动摩托车</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6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650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辆/a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均重0.128t/辆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84" w:type="pct"/>
                  <w:gridSpan w:val="2"/>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水</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w:t>
                  </w:r>
                </w:p>
              </w:tc>
              <w:tc>
                <w:tcPr>
                  <w:tcW w:w="603"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5073.75</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t/a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生活用水</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车间地面拖洗用水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84" w:type="pct"/>
                  <w:gridSpan w:val="2"/>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电</w:t>
                  </w:r>
                </w:p>
              </w:tc>
              <w:tc>
                <w:tcPr>
                  <w:tcW w:w="985"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w:t>
                  </w:r>
                </w:p>
              </w:tc>
              <w:tc>
                <w:tcPr>
                  <w:tcW w:w="603"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100</w:t>
                  </w:r>
                </w:p>
              </w:tc>
              <w:tc>
                <w:tcPr>
                  <w:tcW w:w="699"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rPr>
                    <w:t>万</w:t>
                  </w:r>
                  <w:r>
                    <w:rPr>
                      <w:rFonts w:hint="default" w:ascii="Times New Roman" w:hAnsi="Times New Roman" w:cs="Times New Roman"/>
                      <w:sz w:val="21"/>
                      <w:szCs w:val="21"/>
                      <w:lang w:val="en-US" w:eastAsia="zh-CN"/>
                    </w:rPr>
                    <w:t>kW</w:t>
                  </w:r>
                  <w:r>
                    <w:rPr>
                      <w:rFonts w:hint="default" w:ascii="Times New Roman" w:hAnsi="Times New Roman" w:eastAsia="宋体" w:cs="Times New Roman"/>
                      <w:sz w:val="21"/>
                      <w:szCs w:val="21"/>
                      <w:lang w:val="en-US" w:eastAsia="zh-CN"/>
                    </w:rPr>
                    <w:t>·</w:t>
                  </w:r>
                  <w:r>
                    <w:rPr>
                      <w:rFonts w:hint="default" w:ascii="Times New Roman" w:hAnsi="Times New Roman" w:cs="Times New Roman"/>
                      <w:sz w:val="21"/>
                      <w:szCs w:val="21"/>
                    </w:rPr>
                    <w:t>h/a</w:t>
                  </w:r>
                </w:p>
              </w:tc>
              <w:tc>
                <w:tcPr>
                  <w:tcW w:w="1127" w:type="pc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贮存堆放要求：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（1）所有车辆应避免侧放、倒放，电动汽车在动力蓄电池未拆卸前不应叠放。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（2）机动车如需叠放，应使上下车辆的重心尽量重合，且不应超过3层。2层和3层叠放时，高度分别不应超过3m和4.5m。大型车辆应单层平置。采用框架结构存放的，要保证安全性，并易于装卸。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szCs w:val="24"/>
                <w:u w:val="none"/>
              </w:rPr>
            </w:pPr>
            <w:r>
              <w:rPr>
                <w:rFonts w:hint="default" w:ascii="Times New Roman" w:hAnsi="Times New Roman" w:eastAsia="宋体" w:cs="Times New Roman"/>
                <w:color w:val="auto"/>
                <w:sz w:val="24"/>
                <w:szCs w:val="24"/>
                <w:u w:val="none" w:color="auto"/>
                <w:lang w:val="en-US" w:eastAsia="zh-CN"/>
              </w:rPr>
              <w:t>（3）电动汽车在动力蓄电池未拆卸前应单独贮存，并采取防火、防水、绝缘、隔热等安全保障措施。电动汽车中的事故车以及发生动力蓄电池破损的车辆应隔离贮存。</w:t>
            </w:r>
          </w:p>
          <w:p>
            <w:pPr>
              <w:spacing w:line="360" w:lineRule="auto"/>
              <w:ind w:firstLine="482" w:firstLineChars="200"/>
              <w:rPr>
                <w:rFonts w:hint="default" w:ascii="Times New Roman" w:hAnsi="Times New Roman" w:eastAsia="宋体" w:cs="Times New Roman"/>
                <w:color w:val="auto"/>
                <w:sz w:val="24"/>
                <w:u w:val="none" w:color="auto"/>
                <w:lang w:val="en-US"/>
              </w:rPr>
            </w:pPr>
            <w:r>
              <w:rPr>
                <w:rFonts w:hint="default" w:ascii="Times New Roman" w:hAnsi="Times New Roman" w:eastAsia="宋体" w:cs="Times New Roman"/>
                <w:b/>
                <w:color w:val="auto"/>
                <w:sz w:val="24"/>
                <w:u w:val="none" w:color="auto"/>
                <w:lang w:val="en-US" w:eastAsia="zh-CN"/>
              </w:rPr>
              <w:t>2</w:t>
            </w:r>
            <w:r>
              <w:rPr>
                <w:rFonts w:hint="default" w:ascii="Times New Roman" w:hAnsi="Times New Roman" w:eastAsia="宋体" w:cs="Times New Roman"/>
                <w:b/>
                <w:color w:val="auto"/>
                <w:sz w:val="24"/>
                <w:u w:val="none" w:color="auto"/>
              </w:rPr>
              <w:t>.</w:t>
            </w:r>
            <w:r>
              <w:rPr>
                <w:rFonts w:hint="default" w:ascii="Times New Roman" w:hAnsi="Times New Roman" w:cs="Times New Roman"/>
                <w:b/>
                <w:color w:val="auto"/>
                <w:sz w:val="24"/>
                <w:u w:val="none" w:color="auto"/>
                <w:lang w:val="en-US" w:eastAsia="zh-CN"/>
              </w:rPr>
              <w:t>4</w:t>
            </w:r>
            <w:r>
              <w:rPr>
                <w:rFonts w:hint="default" w:ascii="Times New Roman" w:hAnsi="Times New Roman" w:eastAsia="宋体" w:cs="Times New Roman"/>
                <w:b/>
                <w:color w:val="auto"/>
                <w:sz w:val="24"/>
                <w:u w:val="none" w:color="auto"/>
              </w:rPr>
              <w:t xml:space="preserve"> </w:t>
            </w:r>
            <w:r>
              <w:rPr>
                <w:rFonts w:hint="default" w:ascii="Times New Roman" w:hAnsi="Times New Roman" w:eastAsia="宋体" w:cs="Times New Roman"/>
                <w:b/>
                <w:color w:val="auto"/>
                <w:sz w:val="24"/>
                <w:u w:val="none" w:color="auto"/>
                <w:lang w:val="en-US" w:eastAsia="zh-CN"/>
              </w:rPr>
              <w:t>拆解产物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本项目不涉及发动机、方向机等部件的回收再造，不涉及回收产品的再加工，</w:t>
            </w:r>
            <w:bookmarkStart w:id="10" w:name="OLE_LINK17"/>
            <w:r>
              <w:rPr>
                <w:rFonts w:hint="default" w:ascii="Times New Roman" w:hAnsi="Times New Roman" w:eastAsia="宋体" w:cs="Times New Roman"/>
                <w:color w:val="auto"/>
                <w:sz w:val="24"/>
                <w:szCs w:val="24"/>
                <w:u w:val="none" w:color="auto"/>
                <w:lang w:val="en-US" w:eastAsia="zh-CN"/>
              </w:rPr>
              <w:t>拆解产生的零部件(包括发动机、方向机、变速器、前后桥、车架等)</w:t>
            </w:r>
            <w:bookmarkEnd w:id="10"/>
            <w:r>
              <w:rPr>
                <w:rFonts w:hint="default" w:ascii="Times New Roman" w:hAnsi="Times New Roman" w:eastAsia="宋体" w:cs="Times New Roman"/>
                <w:color w:val="auto"/>
                <w:sz w:val="24"/>
                <w:szCs w:val="24"/>
                <w:u w:val="none" w:color="auto"/>
                <w:lang w:val="en-US" w:eastAsia="zh-CN"/>
              </w:rPr>
              <w:t>按照国家有关规定出售给具有再制造能力的企业经过再制造予以循环利用，不具备再制造条件的，钢铁、有色金属、塑料、玻璃、橡胶等物品出售给钢铁企业、废旧物品回收公司回收综合利用，剩余物品中属国家规定危险固废的委托危废资质单位处置，属于一般固废的清运至相关管理部门指定地点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u w:val="none" w:color="auto"/>
                <w:lang w:val="en-US" w:eastAsia="zh-CN"/>
              </w:rPr>
            </w:pPr>
            <w:r>
              <w:rPr>
                <w:rFonts w:hint="default" w:ascii="Times New Roman" w:hAnsi="Times New Roman" w:eastAsia="宋体" w:cs="Times New Roman"/>
                <w:color w:val="auto"/>
                <w:sz w:val="24"/>
                <w:szCs w:val="24"/>
                <w:u w:val="none" w:color="auto"/>
                <w:lang w:val="en-US" w:eastAsia="zh-CN"/>
              </w:rPr>
              <w:t>根据《汽车报废拆解与材料回收利用》（第二版）（贝绍轶主编，化学工业出版社，2012 年）中相关资料，同时类比同类型项目，结合各类车型整车设备平均质量情况，项目报废燃油汽车拆解产品见表2-</w:t>
            </w:r>
            <w:r>
              <w:rPr>
                <w:rFonts w:hint="eastAsia" w:ascii="Times New Roman" w:hAnsi="Times New Roman" w:eastAsia="宋体" w:cs="Times New Roman"/>
                <w:color w:val="auto"/>
                <w:sz w:val="24"/>
                <w:szCs w:val="24"/>
                <w:u w:val="none" w:color="auto"/>
                <w:lang w:val="en-US" w:eastAsia="zh-CN"/>
              </w:rPr>
              <w:t>3</w:t>
            </w:r>
            <w:r>
              <w:rPr>
                <w:rFonts w:hint="default" w:ascii="Times New Roman" w:hAnsi="Times New Roman" w:eastAsia="宋体" w:cs="Times New Roman"/>
                <w:color w:val="auto"/>
                <w:sz w:val="24"/>
                <w:szCs w:val="24"/>
                <w:u w:val="none" w:color="auto"/>
                <w:lang w:val="en-US" w:eastAsia="zh-CN"/>
              </w:rPr>
              <w:t>，报废</w:t>
            </w:r>
            <w:r>
              <w:rPr>
                <w:rFonts w:hint="eastAsia" w:ascii="Times New Roman" w:hAnsi="Times New Roman" w:eastAsia="宋体" w:cs="Times New Roman"/>
                <w:color w:val="auto"/>
                <w:sz w:val="24"/>
                <w:szCs w:val="24"/>
                <w:u w:val="none" w:color="auto"/>
                <w:lang w:val="en-US" w:eastAsia="zh-CN"/>
              </w:rPr>
              <w:t>新能源</w:t>
            </w:r>
            <w:r>
              <w:rPr>
                <w:rFonts w:hint="default" w:ascii="Times New Roman" w:hAnsi="Times New Roman" w:eastAsia="宋体" w:cs="Times New Roman"/>
                <w:color w:val="auto"/>
                <w:sz w:val="24"/>
                <w:szCs w:val="24"/>
                <w:u w:val="none" w:color="auto"/>
                <w:lang w:val="en-US" w:eastAsia="zh-CN"/>
              </w:rPr>
              <w:t>汽车拆解产品见表2-</w:t>
            </w:r>
            <w:r>
              <w:rPr>
                <w:rFonts w:hint="eastAsia" w:ascii="Times New Roman" w:hAnsi="Times New Roman" w:eastAsia="宋体" w:cs="Times New Roman"/>
                <w:color w:val="auto"/>
                <w:sz w:val="24"/>
                <w:szCs w:val="24"/>
                <w:u w:val="none" w:color="auto"/>
                <w:lang w:val="en-US" w:eastAsia="zh-CN"/>
              </w:rPr>
              <w:t>4</w:t>
            </w:r>
            <w:r>
              <w:rPr>
                <w:rFonts w:hint="default" w:ascii="Times New Roman" w:hAnsi="Times New Roman" w:eastAsia="宋体" w:cs="Times New Roman"/>
                <w:color w:val="auto"/>
                <w:sz w:val="24"/>
                <w:szCs w:val="24"/>
                <w:u w:val="none" w:color="auto"/>
                <w:lang w:val="en-US" w:eastAsia="zh-CN"/>
              </w:rPr>
              <w:t>，报废</w:t>
            </w:r>
            <w:r>
              <w:rPr>
                <w:rFonts w:hint="eastAsia" w:ascii="Times New Roman" w:hAnsi="Times New Roman" w:eastAsia="宋体" w:cs="Times New Roman"/>
                <w:color w:val="auto"/>
                <w:sz w:val="24"/>
                <w:szCs w:val="24"/>
                <w:u w:val="none" w:color="auto"/>
                <w:lang w:val="en-US" w:eastAsia="zh-CN"/>
              </w:rPr>
              <w:t>摩托车</w:t>
            </w:r>
            <w:r>
              <w:rPr>
                <w:rFonts w:hint="default" w:ascii="Times New Roman" w:hAnsi="Times New Roman" w:eastAsia="宋体" w:cs="Times New Roman"/>
                <w:color w:val="auto"/>
                <w:sz w:val="24"/>
                <w:szCs w:val="24"/>
                <w:u w:val="none" w:color="auto"/>
                <w:lang w:val="en-US" w:eastAsia="zh-CN"/>
              </w:rPr>
              <w:t>拆解产品见表2-5。</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表2-3 报废燃油汽车拆解产品明细</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3"/>
              <w:gridCol w:w="678"/>
              <w:gridCol w:w="3081"/>
              <w:gridCol w:w="1079"/>
              <w:gridCol w:w="1079"/>
              <w:gridCol w:w="12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849" w:type="dxa"/>
                  <w:gridSpan w:val="3"/>
                  <w:vMerge w:val="restar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rPr>
                  </w:pPr>
                  <w:r>
                    <w:rPr>
                      <w:rFonts w:hint="default" w:ascii="Times New Roman" w:hAnsi="Times New Roman" w:cs="Times New Roman"/>
                      <w:b/>
                      <w:bCs/>
                    </w:rPr>
                    <w:t>类别</w:t>
                  </w:r>
                </w:p>
              </w:tc>
              <w:tc>
                <w:tcPr>
                  <w:tcW w:w="3560" w:type="dxa"/>
                  <w:gridSpan w:val="3"/>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rPr>
                  </w:pPr>
                  <w:r>
                    <w:rPr>
                      <w:rFonts w:hint="default" w:ascii="Times New Roman" w:hAnsi="Times New Roman" w:cs="Times New Roman"/>
                      <w:b/>
                      <w:bCs/>
                    </w:rPr>
                    <w:t>单车产出量（kg）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49" w:type="dxa"/>
                  <w:gridSpan w:val="3"/>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rPr>
                  </w:pP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rPr>
                  </w:pPr>
                  <w:r>
                    <w:rPr>
                      <w:rFonts w:hint="default" w:ascii="Times New Roman" w:hAnsi="Times New Roman" w:cs="Times New Roman"/>
                      <w:b/>
                      <w:bCs/>
                    </w:rPr>
                    <w:t>小型车</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rPr>
                  </w:pPr>
                  <w:r>
                    <w:rPr>
                      <w:rFonts w:hint="default" w:ascii="Times New Roman" w:hAnsi="Times New Roman" w:cs="Times New Roman"/>
                      <w:b/>
                      <w:bCs/>
                    </w:rPr>
                    <w:t>中型车</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rPr>
                  </w:pPr>
                  <w:r>
                    <w:rPr>
                      <w:rFonts w:hint="default" w:ascii="Times New Roman" w:hAnsi="Times New Roman" w:cs="Times New Roman"/>
                      <w:b/>
                      <w:bCs/>
                    </w:rPr>
                    <w:t>大型车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restar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可利用物资</w:t>
                  </w:r>
                </w:p>
              </w:tc>
              <w:tc>
                <w:tcPr>
                  <w:tcW w:w="709" w:type="dxa"/>
                  <w:vMerge w:val="restar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钢铁</w:t>
                  </w: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车壳、座椅等废钢</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406.4</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2525.5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6406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发动机、变速箱总成等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205</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270</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1164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方向机</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13.5</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27.5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轮毂（钢）</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30.9</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122.5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297.5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前后桥（包括悬架、轴承等）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132.4</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502.5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1667.5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废电机</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6</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4.75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9.25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有色金属</w:t>
                  </w: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水箱（铝或铜）、铝轮毂等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29.6</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橡胶</w:t>
                  </w:r>
                </w:p>
              </w:tc>
              <w:tc>
                <w:tcPr>
                  <w:tcW w:w="3276"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轮胎等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47.8</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192.5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297.5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引爆后的废安全气囊</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废电线电缆</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11.75</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8.25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废塑料（保险杠、仪表盘、油箱等）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32.5</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6.25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11.25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玻璃</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18.95</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20</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restar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危险废物</w:t>
                  </w: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lang w:val="en-US" w:eastAsia="zh-CN"/>
                    </w:rPr>
                    <w:t>废</w:t>
                  </w:r>
                  <w:r>
                    <w:rPr>
                      <w:rFonts w:hint="default" w:ascii="Times New Roman" w:hAnsi="Times New Roman" w:cs="Times New Roman"/>
                    </w:rPr>
                    <w:t>铅酸蓄电池</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12.9</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废尾气净化装置（含尾气净化催化剂）</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1.9</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含多氯联苯的电容器</w:t>
                  </w:r>
                </w:p>
              </w:tc>
              <w:tc>
                <w:tcPr>
                  <w:tcW w:w="11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0.05</w:t>
                  </w:r>
                </w:p>
              </w:tc>
              <w:tc>
                <w:tcPr>
                  <w:tcW w:w="11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0.05</w:t>
                  </w:r>
                </w:p>
              </w:tc>
              <w:tc>
                <w:tcPr>
                  <w:tcW w:w="12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废线路板</w:t>
                  </w:r>
                </w:p>
              </w:tc>
              <w:tc>
                <w:tcPr>
                  <w:tcW w:w="11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0.05</w:t>
                  </w:r>
                </w:p>
              </w:tc>
              <w:tc>
                <w:tcPr>
                  <w:tcW w:w="113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0.05</w:t>
                  </w:r>
                </w:p>
              </w:tc>
              <w:tc>
                <w:tcPr>
                  <w:tcW w:w="12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rPr>
                  </w:pPr>
                  <w:r>
                    <w:rPr>
                      <w:rFonts w:hint="default" w:ascii="Times New Roman" w:hAnsi="Times New Roman" w:cs="Times New Roman"/>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燃料油（</w:t>
                  </w:r>
                  <w:r>
                    <w:rPr>
                      <w:rFonts w:hint="default" w:ascii="Times New Roman" w:hAnsi="Times New Roman" w:cs="Times New Roman"/>
                    </w:rPr>
                    <w:t>汽油、柴油</w:t>
                  </w:r>
                  <w:r>
                    <w:rPr>
                      <w:rFonts w:hint="default" w:ascii="Times New Roman" w:hAnsi="Times New Roman" w:cs="Times New Roman"/>
                      <w:lang w:val="en-US" w:eastAsia="zh-CN"/>
                    </w:rPr>
                    <w:t>）</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2</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4</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废油液（机油、润滑剂、液压油、制动液等石油类或合成润滑剂物质）</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1.9</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3.8</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废有机溶剂与含有机溶剂废物（防冻液）</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0.1</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0.2</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废空调制冷剂</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0.2</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0.2</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含汞部件（各类开关等）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0.9</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1.2</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滤清器</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1.0</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2.0</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一般工业固体废物</w:t>
                  </w:r>
                </w:p>
              </w:tc>
              <w:tc>
                <w:tcPr>
                  <w:tcW w:w="3985"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不可利用材料（海绵及座椅材料、 废弃车用电子零部件、内饰材料、 安全带等）</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135.8</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584.45</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1580.2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49" w:type="dxa"/>
                  <w:gridSpan w:val="3"/>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合计</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1095.6</w:t>
                  </w:r>
                </w:p>
              </w:tc>
              <w:tc>
                <w:tcPr>
                  <w:tcW w:w="1138"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4305.7</w:t>
                  </w:r>
                </w:p>
              </w:tc>
              <w:tc>
                <w:tcPr>
                  <w:tcW w:w="1284"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rPr>
                  </w:pPr>
                  <w:r>
                    <w:rPr>
                      <w:rFonts w:hint="default" w:ascii="Times New Roman" w:hAnsi="Times New Roman" w:cs="Times New Roman"/>
                    </w:rPr>
                    <w:t>11620.65</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表2-</w:t>
            </w:r>
            <w:r>
              <w:rPr>
                <w:rFonts w:hint="eastAsia" w:ascii="Times New Roman" w:hAnsi="Times New Roman" w:eastAsia="宋体" w:cs="Times New Roman"/>
                <w:b/>
                <w:bCs/>
                <w:color w:val="auto"/>
                <w:sz w:val="21"/>
                <w:szCs w:val="21"/>
                <w:u w:val="none" w:color="auto"/>
                <w:lang w:val="en-US" w:eastAsia="zh-CN"/>
              </w:rPr>
              <w:t>4</w:t>
            </w:r>
            <w:r>
              <w:rPr>
                <w:rFonts w:hint="default" w:ascii="Times New Roman" w:hAnsi="Times New Roman" w:eastAsia="宋体" w:cs="Times New Roman"/>
                <w:b/>
                <w:bCs/>
                <w:color w:val="auto"/>
                <w:sz w:val="21"/>
                <w:szCs w:val="21"/>
                <w:u w:val="none" w:color="auto"/>
                <w:lang w:val="en-US" w:eastAsia="zh-CN"/>
              </w:rPr>
              <w:t xml:space="preserve"> 报废新能源汽车拆解产品明细</w:t>
            </w:r>
          </w:p>
          <w:tbl>
            <w:tblPr>
              <w:tblStyle w:val="25"/>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950"/>
              <w:gridCol w:w="2834"/>
              <w:gridCol w:w="1567"/>
              <w:gridCol w:w="15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3" w:type="dxa"/>
                  <w:gridSpan w:val="3"/>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类别</w:t>
                  </w:r>
                </w:p>
              </w:tc>
              <w:tc>
                <w:tcPr>
                  <w:tcW w:w="3312"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单车产出量（kg）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093" w:type="dxa"/>
                  <w:gridSpan w:val="3"/>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小</w:t>
                  </w:r>
                  <w:r>
                    <w:rPr>
                      <w:rFonts w:hint="default" w:ascii="Times New Roman" w:hAnsi="Times New Roman" w:cs="Times New Roman"/>
                      <w:b/>
                      <w:bCs/>
                      <w:sz w:val="21"/>
                      <w:szCs w:val="21"/>
                      <w:lang w:val="en-US" w:eastAsia="zh-CN"/>
                    </w:rPr>
                    <w:t>中</w:t>
                  </w:r>
                  <w:r>
                    <w:rPr>
                      <w:rFonts w:hint="default" w:ascii="Times New Roman" w:hAnsi="Times New Roman" w:cs="Times New Roman"/>
                      <w:b/>
                      <w:bCs/>
                      <w:sz w:val="21"/>
                      <w:szCs w:val="21"/>
                    </w:rPr>
                    <w:t>型</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lang w:val="en-US" w:eastAsia="zh-CN"/>
                    </w:rPr>
                    <w:t>大型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089" w:type="dxa"/>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可利用物资</w:t>
                  </w:r>
                </w:p>
              </w:tc>
              <w:tc>
                <w:tcPr>
                  <w:tcW w:w="998" w:type="dxa"/>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钢铁</w:t>
                  </w: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车壳、座椅等废钢</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709.6</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2994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发动机、变速箱总成等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128</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方向机</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15.95</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轮毂（钢）</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42.21</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前后桥（包括悬架、轴承等）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190.2</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765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废电机</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有色金属</w:t>
                  </w: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水箱（铝或铜）、铝轮毂等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16.17</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998"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橡胶</w:t>
                  </w:r>
                </w:p>
              </w:tc>
              <w:tc>
                <w:tcPr>
                  <w:tcW w:w="300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轮胎等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50.76</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193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引爆后的废安全气囊</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6.6</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废电线电缆</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16.04</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废塑料（保险杠、仪表盘等）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69.9</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玻璃</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29.36</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废动力蓄电池</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265</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cs="Times New Roman"/>
                      <w:i w:val="0"/>
                      <w:iCs w:val="0"/>
                      <w:color w:val="000000"/>
                      <w:kern w:val="0"/>
                      <w:sz w:val="21"/>
                      <w:szCs w:val="21"/>
                      <w:u w:val="none"/>
                      <w:lang w:val="en-US" w:eastAsia="zh-CN" w:bidi="ar"/>
                    </w:rPr>
                    <w:t>280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危险废物</w:t>
                  </w: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废尾气净化装置（含尾气净化催化剂）</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1.75</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含多氯联苯的电容器</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0.07</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废线路板</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0.1</w:t>
                  </w:r>
                  <w:r>
                    <w:rPr>
                      <w:rFonts w:hint="default" w:ascii="Times New Roman" w:hAnsi="Times New Roman" w:cs="Times New Roman"/>
                      <w:sz w:val="21"/>
                      <w:szCs w:val="21"/>
                      <w:lang w:val="en-US" w:eastAsia="zh-CN"/>
                    </w:rPr>
                    <w:t>0</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废空调制冷剂</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0.33</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废油液（机油、润滑剂、液压油、制动液等石油类或合成润滑剂物质）</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.3</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i w:val="0"/>
                      <w:iCs w:val="0"/>
                      <w:color w:val="000000"/>
                      <w:kern w:val="0"/>
                      <w:sz w:val="21"/>
                      <w:szCs w:val="21"/>
                      <w:u w:val="none"/>
                      <w:lang w:val="en-US" w:eastAsia="zh-CN" w:bidi="ar"/>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废有机溶剂与含有机溶剂废物（防冻液、冷却液）</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含汞部件（各类开关等）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一般工业固体废物</w:t>
                  </w:r>
                </w:p>
              </w:tc>
              <w:tc>
                <w:tcPr>
                  <w:tcW w:w="4004" w:type="dxa"/>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不可利用材料（海绵及座椅材料、 废弃车用电子零部件、内饰材料、 安全带等）</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201.10</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93" w:type="dxa"/>
                  <w:gridSpan w:val="3"/>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合计</w:t>
                  </w:r>
                </w:p>
              </w:tc>
              <w:tc>
                <w:tcPr>
                  <w:tcW w:w="1656" w:type="dxa"/>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1810.44</w:t>
                  </w:r>
                </w:p>
              </w:tc>
              <w:tc>
                <w:tcPr>
                  <w:tcW w:w="16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6042</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表2-</w:t>
            </w:r>
            <w:r>
              <w:rPr>
                <w:rFonts w:hint="eastAsia" w:ascii="Times New Roman" w:hAnsi="Times New Roman" w:eastAsia="宋体" w:cs="Times New Roman"/>
                <w:b/>
                <w:bCs/>
                <w:color w:val="auto"/>
                <w:sz w:val="21"/>
                <w:szCs w:val="21"/>
                <w:u w:val="none" w:color="auto"/>
                <w:lang w:val="en-US" w:eastAsia="zh-CN"/>
              </w:rPr>
              <w:t>5</w:t>
            </w:r>
            <w:r>
              <w:rPr>
                <w:rFonts w:hint="default" w:ascii="Times New Roman" w:hAnsi="Times New Roman" w:eastAsia="宋体" w:cs="Times New Roman"/>
                <w:b/>
                <w:bCs/>
                <w:color w:val="auto"/>
                <w:sz w:val="21"/>
                <w:szCs w:val="21"/>
                <w:u w:val="none" w:color="auto"/>
                <w:lang w:val="en-US" w:eastAsia="zh-CN"/>
              </w:rPr>
              <w:t xml:space="preserve"> 报废摩托车拆解产品明细</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7"/>
              <w:gridCol w:w="784"/>
              <w:gridCol w:w="2205"/>
              <w:gridCol w:w="1997"/>
              <w:gridCol w:w="2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487" w:type="pct"/>
                  <w:gridSpan w:val="3"/>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类别</w:t>
                  </w:r>
                </w:p>
              </w:tc>
              <w:tc>
                <w:tcPr>
                  <w:tcW w:w="2512"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单车产出量（kg）</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2487" w:type="pct"/>
                  <w:gridSpan w:val="3"/>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b/>
                      <w:bCs/>
                      <w:sz w:val="21"/>
                      <w:szCs w:val="21"/>
                    </w:rPr>
                  </w:pP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lang w:val="en-US" w:eastAsia="zh-CN"/>
                    </w:rPr>
                    <w:t>燃油</w:t>
                  </w:r>
                </w:p>
              </w:tc>
              <w:tc>
                <w:tcPr>
                  <w:tcW w:w="125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b/>
                      <w:bCs/>
                      <w:sz w:val="21"/>
                      <w:szCs w:val="21"/>
                      <w:lang w:val="en-US" w:eastAsia="zh-CN"/>
                    </w:rPr>
                  </w:pPr>
                  <w:r>
                    <w:rPr>
                      <w:rFonts w:hint="default" w:ascii="Times New Roman" w:hAnsi="Times New Roman" w:cs="Times New Roman"/>
                      <w:b/>
                      <w:bCs/>
                      <w:sz w:val="21"/>
                      <w:szCs w:val="21"/>
                      <w:lang w:val="en-US" w:eastAsia="zh-CN"/>
                    </w:rPr>
                    <w:t>新能源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可利用物资</w:t>
                  </w:r>
                </w:p>
              </w:tc>
              <w:tc>
                <w:tcPr>
                  <w:tcW w:w="493" w:type="pct"/>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钢铁</w:t>
                  </w: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发动机、变速器</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37</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减震器</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13</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车架</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30</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val="en-US" w:eastAsia="zh-CN"/>
                    </w:rPr>
                    <w:t>车壳、</w:t>
                  </w:r>
                  <w:r>
                    <w:rPr>
                      <w:rFonts w:hint="default" w:ascii="Times New Roman" w:hAnsi="Times New Roman" w:cs="Times New Roman"/>
                      <w:sz w:val="21"/>
                      <w:szCs w:val="21"/>
                    </w:rPr>
                    <w:t>座椅</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3</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前后叉</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油箱</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有色金属</w:t>
                  </w: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水箱（铝或铜）、铝轮毂等</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49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橡胶</w:t>
                  </w:r>
                </w:p>
              </w:tc>
              <w:tc>
                <w:tcPr>
                  <w:tcW w:w="1386"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轮胎</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18</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废塑料</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危险废物</w:t>
                  </w: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燃料油</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废油液</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1.4</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cs="Times New Roman"/>
                      <w:i w:val="0"/>
                      <w:iCs w:val="0"/>
                      <w:color w:val="000000"/>
                      <w:kern w:val="0"/>
                      <w:sz w:val="21"/>
                      <w:szCs w:val="21"/>
                      <w:u w:val="none"/>
                      <w:lang w:val="en-US" w:eastAsia="zh-CN" w:bidi="ar"/>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废有机溶剂与含有机溶剂废物（防冻液、冷却液）</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0.1</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val="en-US" w:eastAsia="zh-CN"/>
                    </w:rPr>
                    <w:t>废</w:t>
                  </w:r>
                  <w:r>
                    <w:rPr>
                      <w:rFonts w:hint="default" w:ascii="Times New Roman" w:hAnsi="Times New Roman" w:cs="Times New Roman"/>
                      <w:sz w:val="21"/>
                      <w:szCs w:val="21"/>
                    </w:rPr>
                    <w:t>铅酸</w:t>
                  </w:r>
                  <w:r>
                    <w:rPr>
                      <w:rFonts w:hint="default" w:ascii="Times New Roman" w:hAnsi="Times New Roman" w:cs="Times New Roman"/>
                      <w:sz w:val="21"/>
                      <w:szCs w:val="21"/>
                      <w:lang w:val="en-US" w:eastAsia="zh-CN"/>
                    </w:rPr>
                    <w:t>蓄</w:t>
                  </w:r>
                  <w:r>
                    <w:rPr>
                      <w:rFonts w:hint="default" w:ascii="Times New Roman" w:hAnsi="Times New Roman" w:cs="Times New Roman"/>
                      <w:sz w:val="21"/>
                      <w:szCs w:val="21"/>
                    </w:rPr>
                    <w:t>电池</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cs="Times New Roman"/>
                      <w:i w:val="0"/>
                      <w:iCs w:val="0"/>
                      <w:color w:val="000000"/>
                      <w:kern w:val="0"/>
                      <w:sz w:val="21"/>
                      <w:szCs w:val="21"/>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废尾气净化装置（含尾气净化催化剂）</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含多氯联苯的电容器</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0.</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一般工业固体废物</w:t>
                  </w: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不可利用材料（海绵及座椅材料、 废弃车用电子零部件、内饰材料、安全带等）</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4.5</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eastAsia="宋体" w:cs="Times New Roman"/>
                      <w:i w:val="0"/>
                      <w:iCs w:val="0"/>
                      <w:color w:val="000000"/>
                      <w:kern w:val="0"/>
                      <w:sz w:val="21"/>
                      <w:szCs w:val="21"/>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8"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p>
              </w:tc>
              <w:tc>
                <w:tcPr>
                  <w:tcW w:w="1879" w:type="pct"/>
                  <w:gridSpan w:val="2"/>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废动力蓄电池</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87" w:type="pct"/>
                  <w:gridSpan w:val="3"/>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合计</w:t>
                  </w:r>
                </w:p>
              </w:tc>
              <w:tc>
                <w:tcPr>
                  <w:tcW w:w="125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128</w:t>
                  </w:r>
                </w:p>
              </w:tc>
              <w:tc>
                <w:tcPr>
                  <w:tcW w:w="12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lang w:val="en-US"/>
                    </w:rPr>
                  </w:pPr>
                  <w:r>
                    <w:rPr>
                      <w:rFonts w:hint="default" w:ascii="Times New Roman" w:hAnsi="Times New Roman" w:cs="Times New Roman"/>
                      <w:i w:val="0"/>
                      <w:iCs w:val="0"/>
                      <w:color w:val="000000"/>
                      <w:kern w:val="0"/>
                      <w:sz w:val="21"/>
                      <w:szCs w:val="21"/>
                      <w:u w:val="none"/>
                      <w:lang w:val="en-US" w:eastAsia="zh-CN" w:bidi="ar"/>
                    </w:rPr>
                    <w:t>128</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lang w:val="en-US" w:eastAsia="zh-CN"/>
              </w:rPr>
            </w:pPr>
            <w:r>
              <w:rPr>
                <w:rFonts w:hint="default"/>
                <w:lang w:val="en-US" w:eastAsia="zh-CN"/>
              </w:rPr>
              <w:t>本项目建成后年回收拆解废旧机动车共</w:t>
            </w:r>
            <w:r>
              <w:rPr>
                <w:rFonts w:hint="eastAsia"/>
                <w:lang w:val="en-US" w:eastAsia="zh-CN"/>
              </w:rPr>
              <w:t>15</w:t>
            </w:r>
            <w:r>
              <w:rPr>
                <w:rFonts w:hint="default"/>
                <w:lang w:val="en-US" w:eastAsia="zh-CN"/>
              </w:rPr>
              <w:t>000辆，报废机动车产生的拆解产物大部分可作为拆解产物回收利用，本项目拆解物种类及产量详见表2-</w:t>
            </w:r>
            <w:r>
              <w:rPr>
                <w:rFonts w:hint="eastAsia"/>
                <w:lang w:val="en-US" w:eastAsia="zh-CN"/>
              </w:rPr>
              <w:t>6</w:t>
            </w:r>
            <w:r>
              <w:rPr>
                <w:rFonts w:hint="default"/>
                <w:lang w:val="en-US" w:eastAsia="zh-CN"/>
              </w:rPr>
              <w:t>。</w:t>
            </w:r>
          </w:p>
          <w:p>
            <w:pPr>
              <w:spacing w:line="360" w:lineRule="auto"/>
              <w:jc w:val="center"/>
              <w:rPr>
                <w:rFonts w:hint="default" w:ascii="Times New Roman" w:hAnsi="Times New Roman" w:eastAsia="宋体" w:cs="Times New Roman"/>
                <w:bCs/>
                <w:color w:val="auto"/>
                <w:sz w:val="24"/>
                <w:szCs w:val="24"/>
                <w:u w:val="none"/>
                <w:lang w:eastAsia="zh-CN"/>
              </w:rPr>
            </w:pPr>
            <w:r>
              <w:rPr>
                <w:rFonts w:hint="default" w:ascii="Times New Roman" w:hAnsi="Times New Roman" w:cs="Times New Roman"/>
                <w:b/>
                <w:color w:val="auto"/>
                <w:kern w:val="0"/>
                <w:sz w:val="21"/>
                <w:szCs w:val="18"/>
                <w:lang w:val="zh-CN"/>
              </w:rPr>
              <w:t>表</w:t>
            </w:r>
            <w:r>
              <w:rPr>
                <w:rFonts w:hint="default" w:ascii="Times New Roman" w:hAnsi="Times New Roman" w:cs="Times New Roman"/>
                <w:b/>
                <w:color w:val="auto"/>
                <w:kern w:val="0"/>
                <w:sz w:val="21"/>
                <w:szCs w:val="18"/>
                <w:lang w:val="en-US" w:eastAsia="zh-CN"/>
              </w:rPr>
              <w:t>2-</w:t>
            </w:r>
            <w:r>
              <w:rPr>
                <w:rFonts w:hint="eastAsia" w:ascii="Times New Roman" w:hAnsi="Times New Roman" w:cs="Times New Roman"/>
                <w:b/>
                <w:color w:val="auto"/>
                <w:kern w:val="0"/>
                <w:sz w:val="21"/>
                <w:szCs w:val="18"/>
                <w:lang w:val="en-US" w:eastAsia="zh-CN"/>
              </w:rPr>
              <w:t>6</w:t>
            </w:r>
            <w:r>
              <w:rPr>
                <w:rFonts w:hint="default" w:ascii="Times New Roman" w:hAnsi="Times New Roman" w:cs="Times New Roman"/>
                <w:b/>
                <w:color w:val="auto"/>
                <w:kern w:val="0"/>
                <w:sz w:val="21"/>
                <w:szCs w:val="18"/>
              </w:rPr>
              <w:t xml:space="preserve">  项目拆解物种类及产量</w:t>
            </w:r>
            <w:r>
              <w:rPr>
                <w:rFonts w:hint="eastAsia" w:ascii="Times New Roman" w:hAnsi="Times New Roman" w:cs="Times New Roman"/>
                <w:b/>
                <w:color w:val="auto"/>
                <w:kern w:val="0"/>
                <w:sz w:val="21"/>
                <w:szCs w:val="18"/>
                <w:lang w:eastAsia="zh-CN"/>
              </w:rPr>
              <w:t>一览表</w:t>
            </w:r>
            <w:r>
              <w:rPr>
                <w:rFonts w:hint="default" w:ascii="Times New Roman" w:hAnsi="Times New Roman" w:cs="Times New Roman"/>
                <w:b/>
                <w:color w:val="auto"/>
                <w:kern w:val="0"/>
                <w:sz w:val="21"/>
                <w:szCs w:val="18"/>
                <w:lang w:eastAsia="zh-CN"/>
              </w:rPr>
              <w:t>（</w:t>
            </w:r>
            <w:r>
              <w:rPr>
                <w:rFonts w:hint="default" w:ascii="Times New Roman" w:hAnsi="Times New Roman" w:cs="Times New Roman"/>
                <w:b/>
                <w:color w:val="auto"/>
                <w:kern w:val="0"/>
                <w:sz w:val="21"/>
                <w:szCs w:val="18"/>
                <w:lang w:val="en-US" w:eastAsia="zh-CN"/>
              </w:rPr>
              <w:t>t/a</w:t>
            </w:r>
            <w:r>
              <w:rPr>
                <w:rFonts w:hint="default" w:ascii="Times New Roman" w:hAnsi="Times New Roman" w:cs="Times New Roman"/>
                <w:b/>
                <w:color w:val="auto"/>
                <w:kern w:val="0"/>
                <w:sz w:val="21"/>
                <w:szCs w:val="18"/>
                <w:lang w:eastAsia="zh-CN"/>
              </w:rPr>
              <w:t>）</w:t>
            </w:r>
          </w:p>
          <w:tbl>
            <w:tblPr>
              <w:tblStyle w:val="2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9"/>
              <w:gridCol w:w="59"/>
              <w:gridCol w:w="1439"/>
              <w:gridCol w:w="1645"/>
              <w:gridCol w:w="2602"/>
              <w:gridCol w:w="17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7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sz w:val="21"/>
                      <w:szCs w:val="21"/>
                      <w:u w:val="wave"/>
                    </w:rPr>
                  </w:pPr>
                  <w:r>
                    <w:rPr>
                      <w:rFonts w:hint="default" w:ascii="Times New Roman" w:hAnsi="Times New Roman" w:cs="Times New Roman"/>
                      <w:b/>
                      <w:bCs/>
                      <w:sz w:val="21"/>
                      <w:szCs w:val="21"/>
                      <w:u w:val="wave"/>
                    </w:rPr>
                    <w:t>序号</w:t>
                  </w:r>
                </w:p>
              </w:tc>
              <w:tc>
                <w:tcPr>
                  <w:tcW w:w="143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sz w:val="21"/>
                      <w:szCs w:val="21"/>
                      <w:u w:val="wave"/>
                      <w:lang w:val="en-US" w:eastAsia="zh-CN"/>
                    </w:rPr>
                  </w:pPr>
                  <w:r>
                    <w:rPr>
                      <w:rFonts w:hint="default" w:ascii="Times New Roman" w:hAnsi="Times New Roman" w:cs="Times New Roman"/>
                      <w:b/>
                      <w:bCs/>
                      <w:sz w:val="21"/>
                      <w:szCs w:val="21"/>
                      <w:u w:val="wave"/>
                      <w:lang w:val="en-US" w:eastAsia="zh-CN"/>
                    </w:rPr>
                    <w:t>拆解物种类</w:t>
                  </w:r>
                </w:p>
              </w:tc>
              <w:tc>
                <w:tcPr>
                  <w:tcW w:w="1645"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sz w:val="21"/>
                      <w:szCs w:val="21"/>
                      <w:u w:val="wave"/>
                      <w:lang w:val="en-US" w:eastAsia="zh-CN"/>
                    </w:rPr>
                  </w:pPr>
                  <w:r>
                    <w:rPr>
                      <w:rFonts w:hint="default" w:ascii="Times New Roman" w:hAnsi="Times New Roman" w:cs="Times New Roman"/>
                      <w:b/>
                      <w:bCs/>
                      <w:sz w:val="21"/>
                      <w:szCs w:val="21"/>
                      <w:u w:val="wave"/>
                      <w:lang w:val="en-US" w:eastAsia="zh-CN"/>
                    </w:rPr>
                    <w:t>预计产量（t/a）</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sz w:val="21"/>
                      <w:szCs w:val="21"/>
                      <w:u w:val="wave"/>
                      <w:lang w:val="en-US" w:eastAsia="zh-CN"/>
                    </w:rPr>
                  </w:pPr>
                  <w:r>
                    <w:rPr>
                      <w:rFonts w:hint="default" w:ascii="Times New Roman" w:hAnsi="Times New Roman" w:cs="Times New Roman"/>
                      <w:b/>
                      <w:bCs/>
                      <w:sz w:val="21"/>
                      <w:szCs w:val="21"/>
                      <w:u w:val="wave"/>
                      <w:lang w:val="en-US" w:eastAsia="zh-CN"/>
                    </w:rPr>
                    <w:t>备注</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b/>
                      <w:bCs/>
                      <w:sz w:val="21"/>
                      <w:szCs w:val="21"/>
                      <w:u w:val="wave"/>
                      <w:lang w:val="en-US" w:eastAsia="zh-CN"/>
                    </w:rPr>
                  </w:pPr>
                  <w:r>
                    <w:rPr>
                      <w:rFonts w:hint="default" w:ascii="Times New Roman" w:hAnsi="Times New Roman" w:cs="Times New Roman"/>
                      <w:b/>
                      <w:bCs/>
                      <w:sz w:val="21"/>
                      <w:szCs w:val="21"/>
                      <w:u w:val="wave"/>
                      <w:lang w:val="en-US" w:eastAsia="zh-CN"/>
                    </w:rPr>
                    <w:t>处理方式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rPr>
                  </w:pPr>
                  <w:r>
                    <w:rPr>
                      <w:rFonts w:hint="default" w:ascii="Times New Roman" w:hAnsi="Times New Roman" w:cs="Times New Roman"/>
                      <w:sz w:val="21"/>
                      <w:szCs w:val="21"/>
                      <w:u w:val="wave"/>
                    </w:rPr>
                    <w:t>1</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钢铁</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27993.96</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含可利用零部件</w:t>
                  </w:r>
                </w:p>
              </w:tc>
              <w:tc>
                <w:tcPr>
                  <w:tcW w:w="1709" w:type="dxa"/>
                  <w:vMerge w:val="restart"/>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按流程拆解、分类收集、回收利用，按一般固废管理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2</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有色金属</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591.645</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铝、铜，来源于</w:t>
                  </w:r>
                  <w:r>
                    <w:rPr>
                      <w:rFonts w:hint="default" w:ascii="Times New Roman" w:hAnsi="Times New Roman" w:cs="Times New Roman"/>
                      <w:sz w:val="21"/>
                      <w:szCs w:val="21"/>
                      <w:u w:val="wave"/>
                    </w:rPr>
                    <w:t>轮毂、窗框、线路、水箱等</w:t>
                  </w:r>
                </w:p>
              </w:tc>
              <w:tc>
                <w:tcPr>
                  <w:tcW w:w="1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3</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废橡胶</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1251.96</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4</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废电线电缆</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193.29</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5</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废塑料</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659.4</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6</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废玻璃</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382.41</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vMerge w:val="continue"/>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7</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废安全气囊</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53.1</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有资质单位回收处理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8</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废动力蓄电池</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1220.5</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有资质单位回收处理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9</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不可利用材料</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4344.84</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包含海绵、电子废物、布料等</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环卫部门统一处理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10</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废铅酸蓄电池</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158.6</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rPr>
                    <w:t>包含铅酸蓄电池个镉镍电池</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11</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废尾气净化装置</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23.75</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尾气催化剂</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12</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含多氯联苯的电容器</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3.03</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13</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废电路板</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1.81</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14</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燃料油</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27.775</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柴油、汽油、</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15</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废油液</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51.145</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润滑油、机油、液压油等</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16</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废有机溶剂与含有机溶剂废物</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7.13</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防冻液、冷却液</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17</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废空调制冷剂</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4.145</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氟利昂</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cs="Times New Roman"/>
                      <w:sz w:val="21"/>
                      <w:szCs w:val="21"/>
                      <w:u w:val="wave"/>
                      <w:lang w:val="en-US" w:eastAsia="zh-CN"/>
                    </w:rPr>
                    <w:t>18</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bookmarkStart w:id="11" w:name="OLE_LINK13"/>
                  <w:r>
                    <w:rPr>
                      <w:rFonts w:hint="default" w:ascii="Times New Roman" w:hAnsi="Times New Roman" w:cs="Times New Roman"/>
                      <w:sz w:val="21"/>
                      <w:szCs w:val="21"/>
                      <w:u w:val="wave"/>
                      <w:lang w:val="en-US" w:eastAsia="zh-CN"/>
                    </w:rPr>
                    <w:t>含铅部件、含汞开关</w:t>
                  </w:r>
                  <w:bookmarkEnd w:id="11"/>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19.74</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19</w:t>
                  </w:r>
                </w:p>
              </w:tc>
              <w:tc>
                <w:tcPr>
                  <w:tcW w:w="1498" w:type="dxa"/>
                  <w:gridSpan w:val="2"/>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滤清器</w:t>
                  </w:r>
                </w:p>
              </w:tc>
              <w:tc>
                <w:tcPr>
                  <w:tcW w:w="1645" w:type="dxa"/>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13.4</w:t>
                  </w:r>
                </w:p>
              </w:tc>
              <w:tc>
                <w:tcPr>
                  <w:tcW w:w="260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w:t>
                  </w:r>
                </w:p>
              </w:tc>
              <w:tc>
                <w:tcPr>
                  <w:tcW w:w="1709"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按危废管理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073" w:type="dxa"/>
                  <w:gridSpan w:val="6"/>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cs="Times New Roman"/>
                      <w:sz w:val="21"/>
                      <w:szCs w:val="21"/>
                      <w:u w:val="wave"/>
                      <w:lang w:val="en-US" w:eastAsia="zh-CN"/>
                    </w:rPr>
                  </w:pPr>
                  <w:r>
                    <w:rPr>
                      <w:rFonts w:hint="default" w:ascii="Times New Roman" w:hAnsi="Times New Roman" w:cs="Times New Roman"/>
                      <w:sz w:val="21"/>
                      <w:szCs w:val="21"/>
                      <w:u w:val="wave"/>
                      <w:lang w:val="en-US" w:eastAsia="zh-CN"/>
                    </w:rPr>
                    <w:t>备注：</w:t>
                  </w:r>
                  <w:r>
                    <w:rPr>
                      <w:rFonts w:hint="default" w:ascii="Times New Roman" w:hAnsi="Times New Roman" w:cs="Times New Roman"/>
                      <w:sz w:val="21"/>
                      <w:szCs w:val="21"/>
                      <w:u w:val="wave"/>
                    </w:rPr>
                    <w:t>本项目仅接受一般性质使用车辆的拆解，不接收槽罐车、危险化学品运输车等特殊装备车辆</w:t>
                  </w:r>
                  <w:r>
                    <w:rPr>
                      <w:rFonts w:hint="default" w:ascii="Times New Roman" w:hAnsi="Times New Roman" w:cs="Times New Roman"/>
                      <w:sz w:val="21"/>
                      <w:szCs w:val="21"/>
                      <w:u w:val="wave"/>
                      <w:lang w:eastAsia="zh-CN"/>
                    </w:rPr>
                    <w:t>。</w:t>
                  </w:r>
                </w:p>
              </w:tc>
            </w:tr>
          </w:tbl>
          <w:p>
            <w:pPr>
              <w:pStyle w:val="10"/>
              <w:keepNext w:val="0"/>
              <w:keepLines w:val="0"/>
              <w:pageBreakBefore w:val="0"/>
              <w:widowControl/>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根据调查，汽车制冷冷媒包括R12、R22、R134a等，均为氟利昂制冷剂，根据《蒙特利尔议定书》，R12等氯氟烃类为一类受控物质，此类物质目前已禁止使用，R22等氢氯氟烃为氯氟烃类物质的最重要的过渡性替代物质，《蒙特利尔议定书》中限定2020年淘汰</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发展中国家可以推迟10年</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，R134a等氢氟</w:t>
            </w:r>
            <w:r>
              <w:rPr>
                <w:rFonts w:hint="default" w:ascii="Times New Roman" w:hAnsi="Times New Roman" w:eastAsia="宋体" w:cs="Times New Roman"/>
                <w:sz w:val="24"/>
                <w:szCs w:val="24"/>
                <w:lang w:val="en-US" w:eastAsia="zh-CN"/>
              </w:rPr>
              <w:t>烃</w:t>
            </w:r>
            <w:r>
              <w:rPr>
                <w:rFonts w:hint="default" w:ascii="Times New Roman" w:hAnsi="Times New Roman" w:eastAsia="宋体" w:cs="Times New Roman"/>
                <w:sz w:val="24"/>
                <w:szCs w:val="24"/>
              </w:rPr>
              <w:t>类在《蒙特利尔议定书》中没有规定其使用期限，在《联合国气候变化框架公约》京都议定书中定性为温室气体。各制冷剂产生的具体数值根据拆解车辆情况而定。报废机动车拆解过程中产生制冷剂、汽油、柴油等，其理化性质分析如下</w:t>
            </w:r>
            <w:r>
              <w:rPr>
                <w:rFonts w:hint="default" w:ascii="Times New Roman" w:hAnsi="Times New Roman" w:eastAsia="宋体" w:cs="Times New Roman"/>
                <w:sz w:val="24"/>
                <w:szCs w:val="24"/>
                <w:lang w:val="en-US" w:eastAsia="zh-CN"/>
              </w:rPr>
              <w:t>表2-7</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制冷剂理化性质见表2-8。</w:t>
            </w:r>
          </w:p>
          <w:p>
            <w:pPr>
              <w:pStyle w:val="44"/>
              <w:bidi w:val="0"/>
              <w:rPr>
                <w:rFonts w:hint="eastAsia"/>
                <w:b/>
                <w:bCs/>
                <w:lang w:val="en-US" w:eastAsia="zh-CN"/>
              </w:rPr>
            </w:pPr>
            <w:r>
              <w:rPr>
                <w:rFonts w:hint="default" w:ascii="Times New Roman" w:hAnsi="Times New Roman" w:cs="Times New Roman"/>
                <w:b/>
                <w:bCs/>
                <w:lang w:val="en-US" w:eastAsia="zh-CN"/>
              </w:rPr>
              <w:t>表2-7  油品理化性质和危</w:t>
            </w:r>
            <w:r>
              <w:rPr>
                <w:rFonts w:hint="eastAsia"/>
                <w:b/>
                <w:bCs/>
                <w:lang w:val="en-US" w:eastAsia="zh-CN"/>
              </w:rPr>
              <w:t>险特性一览表</w:t>
            </w:r>
          </w:p>
          <w:tbl>
            <w:tblPr>
              <w:tblStyle w:val="26"/>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061"/>
              <w:gridCol w:w="2061"/>
              <w:gridCol w:w="17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指标</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汽油</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柴油</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机油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外观及性状</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无色或淡黄色，有味，易挥发液体</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稍有粘性的棕色液体</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油状液体、淡黄色至褐色，无气味或略带异味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熔点（℃）</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&lt;</w:t>
                  </w:r>
                  <w:r>
                    <w:rPr>
                      <w:rFonts w:hint="default" w:ascii="Times New Roman" w:hAnsi="Times New Roman" w:cs="Times New Roman"/>
                      <w:sz w:val="21"/>
                      <w:szCs w:val="21"/>
                      <w:lang w:val="en-US" w:eastAsia="zh-CN"/>
                    </w:rPr>
                    <w:t>-60</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-18</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沸点（℃）</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40-200</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282-338</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闪点（℃）</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-50</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38</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爆炸上下限（V%）</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6.0/1.3</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4.5/1.5</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溶剂性</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不溶于水，易溶于苯、二氧化碳、醇、脂肪</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不容于水，易溶于苯、二硫化碳、醇、脂肪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相对蒸汽密度</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3.5</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相对密度（水）</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0.7-0.79</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0.87-0.9</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sz w:val="21"/>
                      <w:szCs w:val="21"/>
                      <w:lang w:val="en-US" w:eastAsia="zh-CN"/>
                    </w:rPr>
                    <w:t>&lt;1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稳定性</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稳定</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稳定</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稳定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禁忌物</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强氧化剂、卤素</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强氧化剂、卤素</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危险性类比</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低闪点易燃液体</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爆炸燃烧性</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其蒸气与空气可形成爆炸性混合物，遇明火、高热极易燃烧爆炸。与强氧化剂能发生强烈反应。其燕气比空气重，能在较低处扩散相当远</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遇明火、高热或与氧化剂接触，有引起燃烧爆炸的危险。若遇高热，容器内压增大，有开裂和爆炸的</w:t>
                  </w:r>
                </w:p>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危险</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遇明火、高热或与氧化剂接触，有引起燃烧爆炸的危险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0"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燃烧分解产物</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一氧化碳、二氧化碳</w:t>
                  </w:r>
                </w:p>
              </w:tc>
              <w:tc>
                <w:tcPr>
                  <w:tcW w:w="206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lang w:val="en-US" w:eastAsia="zh-CN"/>
                    </w:rPr>
                    <w:t>一氧化碳、二氧化碳</w:t>
                  </w:r>
                </w:p>
              </w:tc>
              <w:tc>
                <w:tcPr>
                  <w:tcW w:w="173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sz w:val="21"/>
                      <w:szCs w:val="21"/>
                      <w:lang w:val="en-US" w:eastAsia="zh-CN"/>
                    </w:rPr>
                    <w:t>一氧化碳、二氧化碳</w:t>
                  </w:r>
                </w:p>
              </w:tc>
            </w:tr>
          </w:tbl>
          <w:p>
            <w:pPr>
              <w:pStyle w:val="44"/>
              <w:bidi w:val="0"/>
              <w:spacing w:line="360" w:lineRule="auto"/>
              <w:rPr>
                <w:rFonts w:hint="eastAsia"/>
                <w:b/>
                <w:bCs/>
                <w:lang w:val="en-US" w:eastAsia="zh-CN"/>
              </w:rPr>
            </w:pPr>
            <w:r>
              <w:rPr>
                <w:rFonts w:hint="default" w:ascii="Times New Roman" w:hAnsi="Times New Roman" w:cs="Times New Roman"/>
                <w:b/>
                <w:bCs/>
                <w:lang w:val="en-US" w:eastAsia="zh-CN"/>
              </w:rPr>
              <w:t>表2-8  本项目制冷</w:t>
            </w:r>
            <w:r>
              <w:rPr>
                <w:rFonts w:hint="eastAsia"/>
                <w:b/>
                <w:bCs/>
                <w:lang w:val="en-US" w:eastAsia="zh-CN"/>
              </w:rPr>
              <w:t>剂理化性质和危险特性一览表</w:t>
            </w:r>
          </w:p>
          <w:tbl>
            <w:tblPr>
              <w:tblStyle w:val="26"/>
              <w:tblW w:w="832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2711"/>
              <w:gridCol w:w="2382"/>
              <w:gridCol w:w="1372"/>
              <w:gridCol w:w="4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名称</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R12制冷剂（氟利昂12；R12）</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R22制冷剂（氟利昂22；R22）</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制冷剂R134a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CAS</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75-71-8</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75-45-6</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811-97-2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化学名称</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二氟二氯甲烷</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二氟一氯甲烷</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1，1，1，2-四氟乙烷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外观与性状</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常温常压下为无色气体</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常温常压下无色气体</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无色透明液体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分子式</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CF</w:t>
                  </w:r>
                  <w:r>
                    <w:rPr>
                      <w:rFonts w:hint="default" w:ascii="Times New Roman" w:hAnsi="Times New Roman" w:eastAsia="宋体" w:cs="Times New Roman"/>
                      <w:sz w:val="21"/>
                      <w:szCs w:val="21"/>
                      <w:vertAlign w:val="subscript"/>
                      <w:lang w:val="en-US" w:eastAsia="zh-CN"/>
                    </w:rPr>
                    <w:t>2</w:t>
                  </w:r>
                  <w:r>
                    <w:rPr>
                      <w:rFonts w:hint="default" w:ascii="Times New Roman" w:hAnsi="Times New Roman" w:eastAsia="宋体" w:cs="Times New Roman"/>
                      <w:sz w:val="21"/>
                      <w:szCs w:val="21"/>
                      <w:lang w:val="en-US" w:eastAsia="zh-CN"/>
                    </w:rPr>
                    <w:t>Cl</w:t>
                  </w:r>
                  <w:r>
                    <w:rPr>
                      <w:rFonts w:hint="default" w:ascii="Times New Roman" w:hAnsi="Times New Roman" w:eastAsia="宋体" w:cs="Times New Roman"/>
                      <w:sz w:val="21"/>
                      <w:szCs w:val="21"/>
                      <w:vertAlign w:val="subscript"/>
                      <w:lang w:val="en-US" w:eastAsia="zh-CN"/>
                    </w:rPr>
                    <w:t>2</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CHClF</w:t>
                  </w:r>
                  <w:r>
                    <w:rPr>
                      <w:rFonts w:hint="default" w:ascii="Times New Roman" w:hAnsi="Times New Roman" w:eastAsia="宋体" w:cs="Times New Roman"/>
                      <w:sz w:val="21"/>
                      <w:szCs w:val="21"/>
                      <w:vertAlign w:val="subscript"/>
                      <w:lang w:val="en-US" w:eastAsia="zh-CN"/>
                    </w:rPr>
                    <w:t>2</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w:t>
                  </w:r>
                  <w:r>
                    <w:rPr>
                      <w:rFonts w:hint="default" w:ascii="Times New Roman" w:hAnsi="Times New Roman" w:eastAsia="宋体" w:cs="Times New Roman"/>
                      <w:sz w:val="21"/>
                      <w:szCs w:val="21"/>
                      <w:vertAlign w:val="subscript"/>
                      <w:lang w:val="en-US" w:eastAsia="zh-CN"/>
                    </w:rPr>
                    <w:t>2</w:t>
                  </w:r>
                  <w:r>
                    <w:rPr>
                      <w:rFonts w:hint="default" w:ascii="Times New Roman" w:hAnsi="Times New Roman" w:eastAsia="宋体" w:cs="Times New Roman"/>
                      <w:sz w:val="21"/>
                      <w:szCs w:val="21"/>
                      <w:lang w:val="en-US" w:eastAsia="zh-CN"/>
                    </w:rPr>
                    <w:t>H</w:t>
                  </w:r>
                  <w:r>
                    <w:rPr>
                      <w:rFonts w:hint="default" w:ascii="Times New Roman" w:hAnsi="Times New Roman" w:eastAsia="宋体" w:cs="Times New Roman"/>
                      <w:sz w:val="21"/>
                      <w:szCs w:val="21"/>
                      <w:vertAlign w:val="subscript"/>
                      <w:lang w:val="en-US" w:eastAsia="zh-CN"/>
                    </w:rPr>
                    <w:t>2</w:t>
                  </w:r>
                  <w:r>
                    <w:rPr>
                      <w:rFonts w:hint="default" w:ascii="Times New Roman" w:hAnsi="Times New Roman" w:eastAsia="宋体" w:cs="Times New Roman"/>
                      <w:sz w:val="21"/>
                      <w:szCs w:val="21"/>
                      <w:lang w:val="en-US" w:eastAsia="zh-CN"/>
                    </w:rPr>
                    <w:t>F</w:t>
                  </w:r>
                  <w:r>
                    <w:rPr>
                      <w:rFonts w:hint="default" w:ascii="Times New Roman" w:hAnsi="Times New Roman" w:eastAsia="宋体" w:cs="Times New Roman"/>
                      <w:sz w:val="21"/>
                      <w:szCs w:val="21"/>
                      <w:vertAlign w:val="subscript"/>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分子量</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120.92</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86.47</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熔点（℃）</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-158</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-146</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沸点（℃）</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-29.8</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-40.8</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密度g/cm</w:t>
                  </w:r>
                  <w:r>
                    <w:rPr>
                      <w:rFonts w:hint="default" w:ascii="Times New Roman" w:hAnsi="Times New Roman" w:eastAsia="宋体" w:cs="Times New Roman"/>
                      <w:sz w:val="21"/>
                      <w:szCs w:val="21"/>
                      <w:vertAlign w:val="superscript"/>
                      <w:lang w:val="en-US" w:eastAsia="zh-CN"/>
                    </w:rPr>
                    <w:t>3</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1.486</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1.213</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蒸汽压</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506.62kPa（16.1℃）</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813kPa（16.1℃）</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517.6kPa（10℃）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溶解性</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不溶于水，易溶于醇、醚</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微溶于水</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不溶于水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危险标记</w:t>
                  </w:r>
                </w:p>
              </w:tc>
              <w:tc>
                <w:tcPr>
                  <w:tcW w:w="6921" w:type="dxa"/>
                  <w:gridSpan w:val="4"/>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HJ348-2022指定危险废物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毒性</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低毒</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低毒</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非常低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破坏臭氧层潜能值</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0.055</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爆炸燃烧性</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不燃烧，无爆炸性。只有在温度达到 400℃以上并与明火接触时，才分解出有毒的光气</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常温下不爆炸不燃烧</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常温下难燃易爆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456" w:type="dxa"/>
                <w:trHeight w:val="397" w:hRule="atLeast"/>
              </w:trPr>
              <w:tc>
                <w:tcPr>
                  <w:tcW w:w="1407"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危害</w:t>
                  </w:r>
                </w:p>
              </w:tc>
              <w:tc>
                <w:tcPr>
                  <w:tcW w:w="2711"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在平流层中受紫外线的照射，氟利昂中的氯原子在平流层会分离出来，与臭氧分子作用生成氧化氯和氧分子。氧化氯能与臭氧作用，又生成氯原子和氧分子。不断重复，使臭氧大量被破坏</w:t>
                  </w:r>
                </w:p>
              </w:tc>
              <w:tc>
                <w:tcPr>
                  <w:tcW w:w="238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破坏臭氧层</w:t>
                  </w:r>
                </w:p>
              </w:tc>
              <w:tc>
                <w:tcPr>
                  <w:tcW w:w="1372" w:type="dxa"/>
                  <w:tcBorders>
                    <w:tl2br w:val="nil"/>
                    <w:tr2bl w:val="nil"/>
                  </w:tcBorders>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温室气体</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eastAsia"/>
                <w:lang w:val="en-US" w:eastAsia="zh-CN"/>
              </w:rPr>
              <w:t>不同类型制冷剂应分别回收、使用专门容器单独存放。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default" w:ascii="Times New Roman" w:hAnsi="Times New Roman" w:eastAsia="宋体" w:cs="Times New Roman"/>
                <w:b/>
                <w:bCs w:val="0"/>
                <w:color w:val="auto"/>
                <w:sz w:val="24"/>
                <w:szCs w:val="24"/>
                <w:u w:val="none"/>
                <w:lang w:val="en-US" w:eastAsia="zh-CN"/>
              </w:rPr>
              <w:t>3、项目主要设备及规模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val="0"/>
                <w:color w:val="auto"/>
                <w:sz w:val="21"/>
                <w:szCs w:val="21"/>
                <w:u w:val="none"/>
                <w:lang w:val="en-US" w:eastAsia="zh-CN"/>
              </w:rPr>
            </w:pPr>
            <w:r>
              <w:rPr>
                <w:rFonts w:hint="default" w:ascii="Times New Roman" w:hAnsi="Times New Roman" w:eastAsia="宋体" w:cs="Times New Roman"/>
                <w:b/>
                <w:bCs w:val="0"/>
                <w:color w:val="auto"/>
                <w:sz w:val="21"/>
                <w:szCs w:val="21"/>
                <w:u w:val="none"/>
                <w:lang w:val="en-US" w:eastAsia="zh-CN"/>
              </w:rPr>
              <w:t>表2-</w:t>
            </w:r>
            <w:r>
              <w:rPr>
                <w:rFonts w:hint="eastAsia" w:ascii="Times New Roman" w:hAnsi="Times New Roman" w:eastAsia="宋体" w:cs="Times New Roman"/>
                <w:b/>
                <w:bCs w:val="0"/>
                <w:color w:val="auto"/>
                <w:sz w:val="21"/>
                <w:szCs w:val="21"/>
                <w:u w:val="none"/>
                <w:lang w:val="en-US" w:eastAsia="zh-CN"/>
              </w:rPr>
              <w:t>9</w:t>
            </w:r>
            <w:r>
              <w:rPr>
                <w:rFonts w:hint="default" w:ascii="Times New Roman" w:hAnsi="Times New Roman" w:eastAsia="宋体" w:cs="Times New Roman"/>
                <w:b/>
                <w:bCs w:val="0"/>
                <w:color w:val="auto"/>
                <w:sz w:val="21"/>
                <w:szCs w:val="21"/>
                <w:u w:val="none"/>
                <w:lang w:val="en-US" w:eastAsia="zh-CN"/>
              </w:rPr>
              <w:t xml:space="preserve">  项目主要生产设备清单</w:t>
            </w:r>
          </w:p>
          <w:tbl>
            <w:tblPr>
              <w:tblStyle w:val="25"/>
              <w:tblW w:w="7814" w:type="dxa"/>
              <w:tblInd w:w="-17"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547"/>
              <w:gridCol w:w="1213"/>
              <w:gridCol w:w="2590"/>
              <w:gridCol w:w="1432"/>
              <w:gridCol w:w="682"/>
              <w:gridCol w:w="641"/>
              <w:gridCol w:w="70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序号</w:t>
                  </w:r>
                </w:p>
              </w:tc>
              <w:tc>
                <w:tcPr>
                  <w:tcW w:w="121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设备类别</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设备名称</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型号</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单位</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数量</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000000"/>
                      <w:sz w:val="21"/>
                      <w:szCs w:val="21"/>
                      <w:u w:val="none"/>
                    </w:rPr>
                  </w:pPr>
                  <w:r>
                    <w:rPr>
                      <w:rFonts w:hint="eastAsia" w:ascii="Times New Roman" w:hAnsi="Times New Roman" w:eastAsia="宋体" w:cs="Times New Roman"/>
                      <w:b/>
                      <w:bCs/>
                      <w:i w:val="0"/>
                      <w:iCs w:val="0"/>
                      <w:color w:val="000000"/>
                      <w:kern w:val="0"/>
                      <w:sz w:val="21"/>
                      <w:szCs w:val="21"/>
                      <w:u w:val="none"/>
                      <w:lang w:val="en-US" w:eastAsia="zh-CN" w:bidi="ar"/>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燃油车预处理设备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小车预处理平台</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SLD-3D-1</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无火花钻孔抽油机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SLD-3D-2</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小车油液抽排一体机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SLD-3D-3</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冷媒回收装置</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180A</w:t>
                  </w:r>
                  <w:r>
                    <w:rPr>
                      <w:rFonts w:hint="eastAsia" w:cs="Times New Roman"/>
                      <w:i w:val="0"/>
                      <w:iCs w:val="0"/>
                      <w:color w:val="000000"/>
                      <w:kern w:val="0"/>
                      <w:sz w:val="21"/>
                      <w:szCs w:val="21"/>
                      <w:u w:val="none"/>
                      <w:lang w:val="en-US" w:eastAsia="zh-CN" w:bidi="ar"/>
                    </w:rPr>
                    <w:t>，罐体规格12kg</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大车油液抽排一体机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TLD-3D</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油液密闭容器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T4*200L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电动汽车安全评估设备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万用表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881D</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兆欧表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AR907</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钳表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VC6056B</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验电棒</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GSY</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温度检测仪</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HT650A</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电动汽车动力蓄电池断电设备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断电阀</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12V</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止锁杆</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DSG</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保险器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F3610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专用测试转换接口</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CNBJ-611</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高压绝缘棒</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10KV-3节</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电动汽车动力蓄电池拆卸设备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绝缘吊具</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夹臂</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12寸</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机械手</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ZDDJ-2T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动力电池绝缘举升车</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PTS1000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门式举升机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SL-4000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121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电动汽车防静电废液抽排设备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防静电废液抽排设备</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ASD-3397</w:t>
                  </w:r>
                  <w:r>
                    <w:rPr>
                      <w:rFonts w:hint="eastAsia" w:cs="Times New Roman"/>
                      <w:i w:val="0"/>
                      <w:iCs w:val="0"/>
                      <w:color w:val="000000"/>
                      <w:kern w:val="0"/>
                      <w:sz w:val="21"/>
                      <w:szCs w:val="21"/>
                      <w:u w:val="none"/>
                      <w:lang w:val="en-US" w:eastAsia="zh-CN" w:bidi="ar"/>
                    </w:rPr>
                    <w:t>，70L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w:t>
                  </w:r>
                </w:p>
              </w:tc>
              <w:tc>
                <w:tcPr>
                  <w:tcW w:w="121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电动汽车防静电空调制冷剂抽排设备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防静电空调制冷剂抽排设备</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180A</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安全防护及救援设备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绝缘电弧防护服</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10kV</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防砸绝缘工具鞋</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42码,6kV</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双</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高压绝缘手套</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12kV</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双</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防高压电弧面罩</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FCA8CL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防护头盔</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球囊面罩</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耐酸碱工作服</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轻型防化服</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防有机溶剂手套</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40CM工业耐酸碱</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双</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专用眼镜</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防毒面具</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6200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绝缘救援勾</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JYG</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医用急救箱</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Y016</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紧急洗眼器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壁挂53L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37</w:t>
                  </w:r>
                </w:p>
              </w:tc>
              <w:tc>
                <w:tcPr>
                  <w:tcW w:w="121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绝缘气动工具</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小风炮</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绝缘辅助工具</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绝缘承重货架</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2000*600*2000三层</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专用绝缘卡钳</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10kV，1米</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绝缘电缆剪</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30"75CM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手动绝缘工具</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25件套</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42</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安全柜</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2000*800*450*1.0mm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绝缘地垫</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10kV5mm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放电设施设备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放电仪</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380V30A/600V</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盐水池</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2300*1200*600mm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46</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动力蓄电池绝缘处理材料</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耐高压耐磨布基绝缘材料</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47</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绝缘灭弧灌封防打火胶</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拆解设备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翻转机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TP25</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工艺钢构</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6*6*4.5m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二次气路、辅助供电系统</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KBK起重机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5500*6000*0.5T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52</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悬臂式移动手持式液压剪</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CHS130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等离子切割机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CUT-100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气囊安全引爆装置</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ADB-1</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动力总成拆解平台</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lang w:val="en-US"/>
                    </w:rPr>
                  </w:pPr>
                  <w:r>
                    <w:rPr>
                      <w:rFonts w:hint="default" w:ascii="Times New Roman" w:hAnsi="Times New Roman" w:eastAsia="宋体" w:cs="Times New Roman"/>
                      <w:i w:val="0"/>
                      <w:iCs w:val="0"/>
                      <w:color w:val="000000"/>
                      <w:kern w:val="0"/>
                      <w:sz w:val="21"/>
                      <w:szCs w:val="21"/>
                      <w:u w:val="wave"/>
                      <w:lang w:val="en-US" w:eastAsia="zh-CN" w:bidi="ar"/>
                    </w:rPr>
                    <w:t>ED2500</w:t>
                  </w:r>
                  <w:r>
                    <w:rPr>
                      <w:rFonts w:hint="eastAsia" w:cs="Times New Roman"/>
                      <w:i w:val="0"/>
                      <w:iCs w:val="0"/>
                      <w:color w:val="000000"/>
                      <w:kern w:val="0"/>
                      <w:sz w:val="21"/>
                      <w:szCs w:val="21"/>
                      <w:u w:val="wave"/>
                      <w:lang w:val="en-US" w:eastAsia="zh-CN" w:bidi="ar"/>
                    </w:rPr>
                    <w:t>，2500</w:t>
                  </w:r>
                  <w:r>
                    <w:rPr>
                      <w:rFonts w:hint="default" w:ascii="Times New Roman" w:hAnsi="Times New Roman" w:eastAsia="宋体" w:cs="Times New Roman"/>
                      <w:i w:val="0"/>
                      <w:iCs w:val="0"/>
                      <w:color w:val="000000"/>
                      <w:kern w:val="0"/>
                      <w:sz w:val="21"/>
                      <w:szCs w:val="21"/>
                      <w:u w:val="wave"/>
                      <w:lang w:val="en-US" w:eastAsia="zh-CN" w:bidi="ar"/>
                    </w:rPr>
                    <w:t>*</w:t>
                  </w:r>
                  <w:r>
                    <w:rPr>
                      <w:rFonts w:hint="eastAsia" w:cs="Times New Roman"/>
                      <w:i w:val="0"/>
                      <w:iCs w:val="0"/>
                      <w:color w:val="000000"/>
                      <w:kern w:val="0"/>
                      <w:sz w:val="21"/>
                      <w:szCs w:val="21"/>
                      <w:u w:val="wave"/>
                      <w:lang w:val="en-US" w:eastAsia="zh-CN" w:bidi="ar"/>
                    </w:rPr>
                    <w:t>1200</w:t>
                  </w:r>
                  <w:r>
                    <w:rPr>
                      <w:rFonts w:hint="default" w:ascii="Times New Roman" w:hAnsi="Times New Roman" w:eastAsia="宋体" w:cs="Times New Roman"/>
                      <w:i w:val="0"/>
                      <w:iCs w:val="0"/>
                      <w:color w:val="000000"/>
                      <w:kern w:val="0"/>
                      <w:sz w:val="21"/>
                      <w:szCs w:val="21"/>
                      <w:u w:val="wave"/>
                      <w:lang w:val="en-US" w:eastAsia="zh-CN" w:bidi="ar"/>
                    </w:rPr>
                    <w:t>*</w:t>
                  </w:r>
                  <w:r>
                    <w:rPr>
                      <w:rFonts w:hint="eastAsia" w:cs="Times New Roman"/>
                      <w:i w:val="0"/>
                      <w:iCs w:val="0"/>
                      <w:color w:val="000000"/>
                      <w:kern w:val="0"/>
                      <w:sz w:val="21"/>
                      <w:szCs w:val="21"/>
                      <w:u w:val="wave"/>
                      <w:lang w:val="en-US" w:eastAsia="zh-CN" w:bidi="ar"/>
                    </w:rPr>
                    <w:t>600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扒胎机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24”</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台</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解体机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CCJ20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58</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大力剪</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DLJ30</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wav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打包机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250T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固废存储周转器具</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动力电池绝缘防渗容器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1300*1300*200mm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动力电池周转车</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2200*1400*1050mm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油液密闭容器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危废间防泄漏托盘</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1300*700mm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机油滤清器、含汞开关、废电路板密闭容器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铅酸电池、废活性炭、石棉物质耐酸耐腐蚀密闭容器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1200*1000*760mm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三元催化密闭箱</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200L</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制冷剂钢瓶</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13.6kg</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68</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发动机防渗托盘</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1250*1250*250mm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零部件转运箱</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1500*1000*900mm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重型或含油部件转运箱</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2500*1500*900mm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个</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动力总成防漏贮存平台</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3000*5000mm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1213" w:type="dxa"/>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公辅设备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空压机</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15kW</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气动拆解工具</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简易拆解工具</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货架</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2000*600*2000mm</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安全围栏</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77</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叉车</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78</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拖车</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ABC5042TQZEQ6</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79</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地磅</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电子监控设备</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81</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办公设备</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82</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消防安全设备</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国标产品</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若干</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000000"/>
                      <w:sz w:val="21"/>
                      <w:szCs w:val="21"/>
                      <w:u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83</w:t>
                  </w:r>
                </w:p>
              </w:tc>
              <w:tc>
                <w:tcPr>
                  <w:tcW w:w="1213" w:type="dxa"/>
                  <w:vMerge w:val="restar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eastAsia" w:ascii="Times New Roman" w:hAnsi="Times New Roman" w:eastAsia="宋体" w:cs="Times New Roman"/>
                      <w:i w:val="0"/>
                      <w:iCs w:val="0"/>
                      <w:color w:val="000000"/>
                      <w:sz w:val="21"/>
                      <w:szCs w:val="21"/>
                      <w:u w:val="none"/>
                      <w:lang w:eastAsia="zh-CN"/>
                    </w:rPr>
                  </w:pPr>
                  <w:r>
                    <w:rPr>
                      <w:rFonts w:hint="eastAsia" w:cs="Times New Roman"/>
                      <w:i w:val="0"/>
                      <w:iCs w:val="0"/>
                      <w:color w:val="000000"/>
                      <w:sz w:val="21"/>
                      <w:szCs w:val="21"/>
                      <w:u w:val="none"/>
                      <w:lang w:eastAsia="zh-CN"/>
                    </w:rPr>
                    <w:t>环保设备</w:t>
                  </w: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集气罩+活性炭吸附装置+15m排气筒</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风量：10000m</w:t>
                  </w:r>
                  <w:r>
                    <w:rPr>
                      <w:rFonts w:hint="eastAsia" w:cs="Times New Roman"/>
                      <w:i w:val="0"/>
                      <w:iCs w:val="0"/>
                      <w:color w:val="auto"/>
                      <w:kern w:val="0"/>
                      <w:sz w:val="21"/>
                      <w:szCs w:val="21"/>
                      <w:u w:val="wave"/>
                      <w:vertAlign w:val="superscript"/>
                      <w:lang w:val="en-US" w:eastAsia="zh-CN" w:bidi="ar"/>
                    </w:rPr>
                    <w:t>3</w:t>
                  </w:r>
                  <w:r>
                    <w:rPr>
                      <w:rFonts w:hint="eastAsia" w:cs="Times New Roman"/>
                      <w:i w:val="0"/>
                      <w:iCs w:val="0"/>
                      <w:color w:val="auto"/>
                      <w:kern w:val="0"/>
                      <w:sz w:val="21"/>
                      <w:szCs w:val="21"/>
                      <w:u w:val="wave"/>
                      <w:lang w:val="en-US" w:eastAsia="zh-CN" w:bidi="ar"/>
                    </w:rPr>
                    <w:t>/h</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FF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84</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default" w:ascii="Times New Roman" w:hAnsi="Times New Roman" w:eastAsia="宋体" w:cs="Times New Roman"/>
                      <w:i w:val="0"/>
                      <w:iCs w:val="0"/>
                      <w:color w:val="auto"/>
                      <w:kern w:val="0"/>
                      <w:sz w:val="21"/>
                      <w:szCs w:val="21"/>
                      <w:u w:val="wave"/>
                      <w:lang w:val="en-US" w:eastAsia="zh-CN" w:bidi="ar"/>
                    </w:rPr>
                    <w:t>油水分离器</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套</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FF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85</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事故应急池</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vertAlign w:val="superscript"/>
                      <w:lang w:val="en-US" w:eastAsia="zh-CN" w:bidi="ar"/>
                    </w:rPr>
                  </w:pPr>
                  <w:r>
                    <w:rPr>
                      <w:rFonts w:hint="eastAsia" w:cs="Times New Roman"/>
                      <w:i w:val="0"/>
                      <w:iCs w:val="0"/>
                      <w:color w:val="auto"/>
                      <w:kern w:val="0"/>
                      <w:sz w:val="21"/>
                      <w:szCs w:val="21"/>
                      <w:u w:val="wave"/>
                      <w:lang w:val="en-US" w:eastAsia="zh-CN" w:bidi="ar"/>
                    </w:rPr>
                    <w:t>≥140m</w:t>
                  </w:r>
                  <w:r>
                    <w:rPr>
                      <w:rFonts w:hint="eastAsia" w:cs="Times New Roman"/>
                      <w:i w:val="0"/>
                      <w:iCs w:val="0"/>
                      <w:color w:val="auto"/>
                      <w:kern w:val="0"/>
                      <w:sz w:val="21"/>
                      <w:szCs w:val="21"/>
                      <w:u w:val="wave"/>
                      <w:vertAlign w:val="superscript"/>
                      <w:lang w:val="en-US" w:eastAsia="zh-CN" w:bidi="ar"/>
                    </w:rPr>
                    <w:t>3</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座</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FF0000"/>
                      <w:sz w:val="21"/>
                      <w:szCs w:val="21"/>
                      <w:u w:val="wav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47" w:type="dxa"/>
                  <w:tcBorders>
                    <w:tl2br w:val="nil"/>
                    <w:tr2bl w:val="nil"/>
                  </w:tcBorders>
                  <w:shd w:val="clear" w:color="auto" w:fill="auto"/>
                  <w:vAlign w:val="center"/>
                </w:tcPr>
                <w:p>
                  <w:pPr>
                    <w:keepNext w:val="0"/>
                    <w:keepLines w:val="0"/>
                    <w:widowControl/>
                    <w:suppressLineNumbers w:val="0"/>
                    <w:jc w:val="center"/>
                    <w:textAlignment w:val="center"/>
                    <w:rPr>
                      <w:rFonts w:hint="default"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86</w:t>
                  </w:r>
                </w:p>
              </w:tc>
              <w:tc>
                <w:tcPr>
                  <w:tcW w:w="1213" w:type="dxa"/>
                  <w:vMerge w:val="continue"/>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i w:val="0"/>
                      <w:iCs w:val="0"/>
                      <w:color w:val="000000"/>
                      <w:sz w:val="21"/>
                      <w:szCs w:val="21"/>
                      <w:u w:val="none"/>
                    </w:rPr>
                  </w:pPr>
                </w:p>
              </w:tc>
              <w:tc>
                <w:tcPr>
                  <w:tcW w:w="259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初期雨水池</w:t>
                  </w:r>
                </w:p>
              </w:tc>
              <w:tc>
                <w:tcPr>
                  <w:tcW w:w="143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≥150m</w:t>
                  </w:r>
                  <w:r>
                    <w:rPr>
                      <w:rFonts w:hint="eastAsia" w:cs="Times New Roman"/>
                      <w:i w:val="0"/>
                      <w:iCs w:val="0"/>
                      <w:color w:val="auto"/>
                      <w:kern w:val="0"/>
                      <w:sz w:val="21"/>
                      <w:szCs w:val="21"/>
                      <w:u w:val="wave"/>
                      <w:vertAlign w:val="superscript"/>
                      <w:lang w:val="en-US" w:eastAsia="zh-CN" w:bidi="ar"/>
                    </w:rPr>
                    <w:t>3</w:t>
                  </w:r>
                </w:p>
              </w:tc>
              <w:tc>
                <w:tcPr>
                  <w:tcW w:w="68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座</w:t>
                  </w:r>
                </w:p>
              </w:tc>
              <w:tc>
                <w:tcPr>
                  <w:tcW w:w="64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wave"/>
                      <w:lang w:val="en-US" w:eastAsia="zh-CN" w:bidi="ar"/>
                    </w:rPr>
                  </w:pPr>
                  <w:r>
                    <w:rPr>
                      <w:rFonts w:hint="eastAsia" w:cs="Times New Roman"/>
                      <w:i w:val="0"/>
                      <w:iCs w:val="0"/>
                      <w:color w:val="auto"/>
                      <w:kern w:val="0"/>
                      <w:sz w:val="21"/>
                      <w:szCs w:val="21"/>
                      <w:u w:val="wave"/>
                      <w:lang w:val="en-US" w:eastAsia="zh-CN" w:bidi="ar"/>
                    </w:rPr>
                    <w:t>1</w:t>
                  </w:r>
                </w:p>
              </w:tc>
              <w:tc>
                <w:tcPr>
                  <w:tcW w:w="70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FF0000"/>
                      <w:sz w:val="21"/>
                      <w:szCs w:val="21"/>
                      <w:u w:val="wave"/>
                    </w:rPr>
                  </w:pPr>
                </w:p>
              </w:tc>
            </w:tr>
          </w:tbl>
          <w:p>
            <w:pPr>
              <w:spacing w:line="360" w:lineRule="auto"/>
              <w:ind w:firstLine="480" w:firstLineChars="20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根据建设方提供的资料，本项目所用的设备没有《产业结构调整指导目录（20</w:t>
            </w:r>
            <w:r>
              <w:rPr>
                <w:rFonts w:hint="eastAsia" w:ascii="Times New Roman" w:hAnsi="Times New Roman" w:eastAsia="宋体" w:cs="Times New Roman"/>
                <w:color w:val="auto"/>
                <w:sz w:val="24"/>
                <w:u w:val="none"/>
                <w:lang w:val="en-US" w:eastAsia="zh-CN"/>
              </w:rPr>
              <w:t>24</w:t>
            </w:r>
            <w:r>
              <w:rPr>
                <w:rFonts w:hint="default" w:ascii="Times New Roman" w:hAnsi="Times New Roman" w:eastAsia="宋体" w:cs="Times New Roman"/>
                <w:color w:val="auto"/>
                <w:sz w:val="24"/>
                <w:u w:val="none"/>
              </w:rPr>
              <w:t>年本）》中的限制类、淘汰类产品。</w:t>
            </w:r>
          </w:p>
          <w:p>
            <w:pPr>
              <w:spacing w:line="360" w:lineRule="auto"/>
              <w:ind w:firstLine="482" w:firstLineChars="200"/>
              <w:rPr>
                <w:rFonts w:hint="default" w:ascii="Times New Roman" w:hAnsi="Times New Roman" w:eastAsia="宋体" w:cs="Times New Roman"/>
                <w:b/>
                <w:bCs/>
                <w:color w:val="auto"/>
                <w:sz w:val="24"/>
                <w:u w:val="wave"/>
              </w:rPr>
            </w:pPr>
            <w:r>
              <w:rPr>
                <w:rFonts w:hint="default" w:ascii="Times New Roman" w:hAnsi="Times New Roman" w:eastAsia="宋体" w:cs="Times New Roman"/>
                <w:b/>
                <w:bCs/>
                <w:color w:val="auto"/>
                <w:sz w:val="24"/>
                <w:u w:val="wave"/>
              </w:rPr>
              <w:t>6、总平面布置</w:t>
            </w:r>
          </w:p>
          <w:p>
            <w:pPr>
              <w:spacing w:line="360" w:lineRule="auto"/>
              <w:ind w:firstLine="480" w:firstLineChars="200"/>
              <w:rPr>
                <w:rFonts w:hint="default" w:ascii="Times New Roman" w:hAnsi="Times New Roman" w:eastAsia="宋体" w:cs="Times New Roman"/>
                <w:color w:val="auto"/>
                <w:sz w:val="24"/>
                <w:u w:val="wave"/>
              </w:rPr>
            </w:pPr>
            <w:r>
              <w:rPr>
                <w:rFonts w:hint="default" w:ascii="Times New Roman" w:hAnsi="Times New Roman" w:eastAsia="宋体" w:cs="Times New Roman"/>
                <w:color w:val="auto"/>
                <w:sz w:val="24"/>
                <w:u w:val="wave"/>
              </w:rPr>
              <w:t>本项目</w:t>
            </w:r>
            <w:r>
              <w:rPr>
                <w:rFonts w:hint="eastAsia" w:ascii="Times New Roman" w:hAnsi="Times New Roman" w:eastAsia="宋体" w:cs="Times New Roman"/>
                <w:color w:val="auto"/>
                <w:sz w:val="24"/>
                <w:u w:val="wave"/>
                <w:lang w:eastAsia="zh-CN"/>
              </w:rPr>
              <w:t>场区外东面、西侧</w:t>
            </w:r>
            <w:r>
              <w:rPr>
                <w:rFonts w:hint="eastAsia" w:cs="Times New Roman"/>
                <w:color w:val="auto"/>
                <w:sz w:val="24"/>
                <w:u w:val="wave"/>
                <w:lang w:eastAsia="zh-CN"/>
              </w:rPr>
              <w:t>隔道路外为空地，</w:t>
            </w:r>
            <w:r>
              <w:rPr>
                <w:rFonts w:hint="eastAsia" w:ascii="Times New Roman" w:hAnsi="Times New Roman" w:eastAsia="宋体" w:cs="Times New Roman"/>
                <w:color w:val="auto"/>
                <w:sz w:val="24"/>
                <w:u w:val="wave"/>
                <w:lang w:eastAsia="zh-CN"/>
              </w:rPr>
              <w:t>南</w:t>
            </w:r>
            <w:r>
              <w:rPr>
                <w:rFonts w:hint="default" w:ascii="Times New Roman" w:hAnsi="Times New Roman" w:eastAsia="宋体" w:cs="Times New Roman"/>
                <w:color w:val="auto"/>
                <w:sz w:val="24"/>
                <w:u w:val="wave"/>
              </w:rPr>
              <w:t>面</w:t>
            </w:r>
            <w:r>
              <w:rPr>
                <w:rFonts w:hint="eastAsia" w:cs="Times New Roman"/>
                <w:color w:val="auto"/>
                <w:sz w:val="24"/>
                <w:u w:val="wave"/>
                <w:lang w:eastAsia="zh-CN"/>
              </w:rPr>
              <w:t>隔道路为闲置厂房</w:t>
            </w:r>
            <w:r>
              <w:rPr>
                <w:rFonts w:hint="default" w:ascii="Times New Roman" w:hAnsi="Times New Roman" w:eastAsia="宋体" w:cs="Times New Roman"/>
                <w:color w:val="auto"/>
                <w:sz w:val="24"/>
                <w:u w:val="wave"/>
              </w:rPr>
              <w:t>，</w:t>
            </w:r>
            <w:r>
              <w:rPr>
                <w:rFonts w:hint="eastAsia" w:ascii="Times New Roman" w:hAnsi="Times New Roman" w:eastAsia="宋体" w:cs="Times New Roman"/>
                <w:color w:val="auto"/>
                <w:sz w:val="24"/>
                <w:u w:val="wave"/>
                <w:lang w:eastAsia="zh-CN"/>
              </w:rPr>
              <w:t>北侧为湖南泰晟再生资源利用有限公司。厂内综合办公区位于东南角，查验区位于西南角，从南至北依次为</w:t>
            </w:r>
            <w:r>
              <w:rPr>
                <w:rFonts w:hint="eastAsia" w:cs="Times New Roman"/>
                <w:color w:val="auto"/>
                <w:sz w:val="24"/>
                <w:u w:val="wave"/>
                <w:lang w:eastAsia="zh-CN"/>
              </w:rPr>
              <w:t>查验区（办公区）、</w:t>
            </w:r>
            <w:r>
              <w:rPr>
                <w:rFonts w:hint="eastAsia" w:ascii="Times New Roman" w:hAnsi="Times New Roman" w:eastAsia="宋体" w:cs="Times New Roman"/>
                <w:color w:val="auto"/>
                <w:sz w:val="24"/>
                <w:u w:val="wave"/>
                <w:lang w:eastAsia="zh-CN"/>
              </w:rPr>
              <w:t>（完整）报废燃油车贮存区、厂房，厂房内</w:t>
            </w:r>
            <w:r>
              <w:rPr>
                <w:rFonts w:hint="eastAsia" w:cs="Times New Roman"/>
                <w:color w:val="auto"/>
                <w:sz w:val="24"/>
                <w:u w:val="wave"/>
                <w:lang w:eastAsia="zh-CN"/>
              </w:rPr>
              <w:t>西侧区域</w:t>
            </w:r>
            <w:r>
              <w:rPr>
                <w:rFonts w:hint="eastAsia" w:ascii="Times New Roman" w:hAnsi="Times New Roman" w:eastAsia="宋体" w:cs="Times New Roman"/>
                <w:color w:val="auto"/>
                <w:sz w:val="24"/>
                <w:u w:val="wave"/>
                <w:lang w:eastAsia="zh-CN"/>
              </w:rPr>
              <w:t>从南至北依次为预处理区、拆解区、切割区、动力总成贮存区、报废电动汽车贮存区、打包区、废钢贮存区、一般固废分类贮存区、回用件贮存区</w:t>
            </w:r>
            <w:r>
              <w:rPr>
                <w:rFonts w:hint="eastAsia" w:cs="Times New Roman"/>
                <w:color w:val="auto"/>
                <w:sz w:val="24"/>
                <w:u w:val="wave"/>
                <w:lang w:eastAsia="zh-CN"/>
              </w:rPr>
              <w:t>；东侧区域</w:t>
            </w:r>
            <w:r>
              <w:rPr>
                <w:rFonts w:hint="eastAsia" w:ascii="Times New Roman" w:hAnsi="Times New Roman" w:eastAsia="宋体" w:cs="Times New Roman"/>
                <w:color w:val="auto"/>
                <w:sz w:val="24"/>
                <w:u w:val="wave"/>
                <w:lang w:eastAsia="zh-CN"/>
              </w:rPr>
              <w:t>从南至北依次为</w:t>
            </w:r>
            <w:r>
              <w:rPr>
                <w:rFonts w:hint="eastAsia" w:cs="Times New Roman"/>
                <w:color w:val="auto"/>
                <w:sz w:val="24"/>
                <w:u w:val="wave"/>
                <w:lang w:eastAsia="zh-CN"/>
              </w:rPr>
              <w:t>危废暂存间、动力电池暂存间、室内报废电动汽车</w:t>
            </w:r>
            <w:r>
              <w:rPr>
                <w:rFonts w:hint="eastAsia" w:ascii="Times New Roman" w:hAnsi="Times New Roman" w:eastAsia="宋体" w:cs="Times New Roman"/>
                <w:color w:val="auto"/>
                <w:sz w:val="24"/>
                <w:u w:val="wave"/>
                <w:lang w:eastAsia="zh-CN"/>
              </w:rPr>
              <w:t>贮存区</w:t>
            </w:r>
            <w:r>
              <w:rPr>
                <w:rFonts w:hint="eastAsia" w:cs="Times New Roman"/>
                <w:color w:val="auto"/>
                <w:sz w:val="24"/>
                <w:u w:val="wave"/>
                <w:lang w:eastAsia="zh-CN"/>
              </w:rPr>
              <w:t>、</w:t>
            </w:r>
            <w:r>
              <w:rPr>
                <w:rFonts w:hint="eastAsia" w:ascii="Times New Roman" w:hAnsi="Times New Roman" w:eastAsia="宋体" w:cs="Times New Roman"/>
                <w:color w:val="auto"/>
                <w:sz w:val="24"/>
                <w:u w:val="wave"/>
                <w:lang w:eastAsia="zh-CN"/>
              </w:rPr>
              <w:t>一般固废分类贮存区。</w:t>
            </w:r>
          </w:p>
          <w:p>
            <w:pPr>
              <w:spacing w:line="360" w:lineRule="auto"/>
              <w:ind w:firstLine="480" w:firstLineChars="200"/>
              <w:rPr>
                <w:rFonts w:hint="default" w:ascii="Times New Roman" w:hAnsi="Times New Roman" w:eastAsia="宋体" w:cs="Times New Roman"/>
                <w:color w:val="auto"/>
                <w:sz w:val="24"/>
                <w:u w:val="wave"/>
              </w:rPr>
            </w:pPr>
            <w:r>
              <w:rPr>
                <w:rFonts w:hint="default" w:ascii="Times New Roman" w:hAnsi="Times New Roman" w:eastAsia="宋体" w:cs="Times New Roman"/>
                <w:color w:val="auto"/>
                <w:sz w:val="24"/>
                <w:u w:val="wave"/>
              </w:rPr>
              <w:t>本项目结合场地的地形条件，生产装置按使工艺流程顺畅、运输及物流合理、生产管理方便，同时尽量发挥生产设施作用、最大限度节约土地的原则进行布局。其布局体现功能明确、分区科学、方便操作、运行节约的原则。从整体上看，平面布局较为合理。详见附图3。</w:t>
            </w:r>
          </w:p>
          <w:p>
            <w:pPr>
              <w:spacing w:line="360" w:lineRule="auto"/>
              <w:ind w:firstLine="482" w:firstLineChars="200"/>
              <w:rPr>
                <w:rFonts w:hint="default" w:ascii="Times New Roman" w:hAnsi="Times New Roman" w:eastAsia="宋体" w:cs="Times New Roman"/>
                <w:b/>
                <w:bCs/>
                <w:color w:val="auto"/>
                <w:sz w:val="24"/>
                <w:u w:val="none"/>
              </w:rPr>
            </w:pPr>
            <w:r>
              <w:rPr>
                <w:rFonts w:hint="default" w:ascii="Times New Roman" w:hAnsi="Times New Roman" w:eastAsia="宋体" w:cs="Times New Roman"/>
                <w:b/>
                <w:bCs/>
                <w:color w:val="auto"/>
                <w:sz w:val="24"/>
                <w:u w:val="none"/>
              </w:rPr>
              <w:t>厂区各部分建设要求如下：</w:t>
            </w:r>
          </w:p>
          <w:p>
            <w:pPr>
              <w:spacing w:line="360" w:lineRule="auto"/>
              <w:ind w:firstLine="480" w:firstLineChars="20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①企业场地具备拆解场地、贮存场地和办公场地，其中拆解场地为封闭或半封闭建构物，通风。拆解和贮存场地根据《报废机动车回收拆解企业技术规范》（GB22128-2019）要求进行建设，地面硬化防渗满足GB50037要求，混凝土强度不低于C20，厚度不低于150mm，物流通道和拆解区域强度不低于C30，厚度不低于200mm。贮存场地按照《报废机动车回收拆解企业技术规范》（GB22128-2019）、《一般工业固体废物贮存、处置场污染控制标准》（GB18599-2020）要求进行建设，危废贮存设施按照《危险废物存污染控制标准》（GB18597-2023）、《危险废物收集贮存运输技术规范》（HJ2025-2012）建设。</w:t>
            </w:r>
          </w:p>
          <w:p>
            <w:pPr>
              <w:spacing w:line="360" w:lineRule="auto"/>
              <w:ind w:firstLine="480" w:firstLineChars="20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②新能源车预处理区包括动力蓄电池拆卸专用场地，设置导流沟收集意外泄露电解液等物质，导流至具有防腐防渗应急池，场地配备专用收集容器，动力蓄电池拆卸专用场地地面做绝缘处理，采用环氧地坪，建设满足HJ1186要求。</w:t>
            </w:r>
          </w:p>
          <w:p>
            <w:pPr>
              <w:spacing w:line="360" w:lineRule="auto"/>
              <w:ind w:firstLine="480" w:firstLineChars="20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③安全气囊引爆区为封闭建设，设有爆炸物安全警示标示和隔离栏。</w:t>
            </w:r>
          </w:p>
          <w:p>
            <w:pPr>
              <w:spacing w:line="360" w:lineRule="auto"/>
              <w:ind w:firstLine="480" w:firstLineChars="20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④中大车预处理区、小车预处理区均包括铅酸电池拆卸区，铅酸电池拆卸区地面做防腐、防酸、防渗、硬化，满足HJ519要求。</w:t>
            </w:r>
          </w:p>
          <w:p>
            <w:pPr>
              <w:spacing w:line="360" w:lineRule="auto"/>
              <w:ind w:firstLine="480" w:firstLineChars="200"/>
              <w:rPr>
                <w:rFonts w:hint="eastAsia"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rPr>
              <w:t>⑤危废暂存间按照危废种类分为</w:t>
            </w:r>
            <w:r>
              <w:rPr>
                <w:rFonts w:hint="eastAsia" w:ascii="Times New Roman" w:hAnsi="Times New Roman" w:eastAsia="宋体" w:cs="Times New Roman"/>
                <w:color w:val="auto"/>
                <w:sz w:val="24"/>
                <w:u w:val="none"/>
                <w:lang w:val="en-US" w:eastAsia="zh-CN"/>
              </w:rPr>
              <w:t>4</w:t>
            </w:r>
            <w:r>
              <w:rPr>
                <w:rFonts w:hint="default" w:ascii="Times New Roman" w:hAnsi="Times New Roman" w:eastAsia="宋体" w:cs="Times New Roman"/>
                <w:color w:val="auto"/>
                <w:sz w:val="24"/>
                <w:u w:val="none"/>
              </w:rPr>
              <w:t>个房间</w:t>
            </w:r>
            <w:r>
              <w:rPr>
                <w:rFonts w:hint="eastAsia" w:ascii="Times New Roman" w:hAnsi="Times New Roman" w:eastAsia="宋体" w:cs="Times New Roman"/>
                <w:color w:val="auto"/>
                <w:sz w:val="24"/>
                <w:u w:val="none"/>
                <w:lang w:val="en-US" w:eastAsia="zh-CN"/>
              </w:rPr>
              <w:t>（每间25m</w:t>
            </w:r>
            <w:r>
              <w:rPr>
                <w:rFonts w:hint="eastAsia" w:ascii="Times New Roman" w:hAnsi="Times New Roman" w:eastAsia="宋体" w:cs="Times New Roman"/>
                <w:color w:val="auto"/>
                <w:sz w:val="24"/>
                <w:u w:val="none"/>
                <w:vertAlign w:val="superscript"/>
                <w:lang w:val="en-US" w:eastAsia="zh-CN"/>
              </w:rPr>
              <w:t>2</w:t>
            </w:r>
            <w:r>
              <w:rPr>
                <w:rFonts w:hint="eastAsia"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，中间有明显间隔，</w:t>
            </w:r>
            <w:r>
              <w:rPr>
                <w:rFonts w:hint="eastAsia" w:ascii="Times New Roman" w:hAnsi="Times New Roman" w:eastAsia="宋体" w:cs="Times New Roman"/>
                <w:color w:val="auto"/>
                <w:sz w:val="24"/>
                <w:u w:val="none"/>
                <w:lang w:eastAsia="zh-CN"/>
              </w:rPr>
              <w:t>其中</w:t>
            </w:r>
            <w:r>
              <w:rPr>
                <w:rFonts w:hint="eastAsia" w:ascii="Times New Roman" w:hAnsi="Times New Roman" w:eastAsia="宋体" w:cs="Times New Roman"/>
                <w:color w:val="auto"/>
                <w:sz w:val="24"/>
                <w:u w:val="none"/>
                <w:lang w:val="en-US" w:eastAsia="zh-CN"/>
              </w:rPr>
              <w:t>1间</w:t>
            </w:r>
            <w:r>
              <w:rPr>
                <w:rFonts w:hint="default" w:ascii="Times New Roman" w:hAnsi="Times New Roman" w:eastAsia="宋体" w:cs="Times New Roman"/>
                <w:color w:val="auto"/>
                <w:sz w:val="24"/>
                <w:u w:val="none"/>
              </w:rPr>
              <w:t>危废暂存间贮存铅蓄电池</w:t>
            </w:r>
            <w:r>
              <w:rPr>
                <w:rFonts w:hint="eastAsia" w:ascii="Times New Roman" w:hAnsi="Times New Roman" w:eastAsia="宋体" w:cs="Times New Roman"/>
                <w:color w:val="auto"/>
                <w:sz w:val="24"/>
                <w:u w:val="none"/>
                <w:lang w:val="en-US" w:eastAsia="zh-CN"/>
              </w:rPr>
              <w:t>（25m</w:t>
            </w:r>
            <w:r>
              <w:rPr>
                <w:rFonts w:hint="eastAsia" w:ascii="Times New Roman" w:hAnsi="Times New Roman" w:eastAsia="宋体" w:cs="Times New Roman"/>
                <w:color w:val="auto"/>
                <w:sz w:val="24"/>
                <w:u w:val="none"/>
                <w:vertAlign w:val="superscript"/>
                <w:lang w:val="en-US" w:eastAsia="zh-CN"/>
              </w:rPr>
              <w:t>2</w:t>
            </w:r>
            <w:r>
              <w:rPr>
                <w:rFonts w:hint="eastAsia"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w:t>
            </w:r>
            <w:r>
              <w:rPr>
                <w:rFonts w:hint="eastAsia" w:ascii="Times New Roman" w:hAnsi="Times New Roman" w:eastAsia="宋体" w:cs="Times New Roman"/>
                <w:color w:val="auto"/>
                <w:sz w:val="24"/>
                <w:u w:val="none"/>
                <w:lang w:eastAsia="zh-CN"/>
              </w:rPr>
              <w:t>另外配套建设</w:t>
            </w:r>
            <w:r>
              <w:rPr>
                <w:rFonts w:hint="eastAsia" w:ascii="Times New Roman" w:hAnsi="Times New Roman" w:eastAsia="宋体" w:cs="Times New Roman"/>
                <w:color w:val="auto"/>
                <w:sz w:val="24"/>
                <w:u w:val="none"/>
                <w:lang w:val="en-US" w:eastAsia="zh-CN"/>
              </w:rPr>
              <w:t>1间</w:t>
            </w:r>
            <w:bookmarkStart w:id="12" w:name="OLE_LINK6"/>
            <w:r>
              <w:rPr>
                <w:rFonts w:hint="eastAsia" w:ascii="Times New Roman" w:hAnsi="Times New Roman" w:eastAsia="宋体" w:cs="Times New Roman"/>
                <w:color w:val="auto"/>
                <w:sz w:val="24"/>
                <w:u w:val="none"/>
                <w:lang w:val="en-US" w:eastAsia="zh-CN"/>
              </w:rPr>
              <w:t>动力电池</w:t>
            </w:r>
            <w:bookmarkEnd w:id="12"/>
            <w:r>
              <w:rPr>
                <w:rFonts w:hint="eastAsia" w:ascii="Times New Roman" w:hAnsi="Times New Roman" w:eastAsia="宋体" w:cs="Times New Roman"/>
                <w:color w:val="auto"/>
                <w:sz w:val="24"/>
                <w:u w:val="none"/>
                <w:lang w:val="en-US" w:eastAsia="zh-CN"/>
              </w:rPr>
              <w:t>暂存间（100m</w:t>
            </w:r>
            <w:r>
              <w:rPr>
                <w:rFonts w:hint="eastAsia" w:ascii="Times New Roman" w:hAnsi="Times New Roman" w:eastAsia="宋体" w:cs="Times New Roman"/>
                <w:color w:val="auto"/>
                <w:sz w:val="24"/>
                <w:u w:val="none"/>
                <w:vertAlign w:val="superscript"/>
                <w:lang w:val="en-US" w:eastAsia="zh-CN"/>
              </w:rPr>
              <w:t>2</w:t>
            </w:r>
            <w:r>
              <w:rPr>
                <w:rFonts w:hint="eastAsia"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设置防漏托盘，建设满足HJ519要求。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default" w:ascii="Times New Roman" w:hAnsi="Times New Roman" w:eastAsia="宋体" w:cs="Times New Roman"/>
                <w:b/>
                <w:bCs w:val="0"/>
                <w:color w:val="auto"/>
                <w:sz w:val="24"/>
                <w:szCs w:val="24"/>
                <w:u w:val="none"/>
                <w:lang w:val="en-US" w:eastAsia="zh-CN"/>
              </w:rPr>
              <w:t>4、水平衡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default" w:ascii="Times New Roman" w:hAnsi="Times New Roman" w:eastAsia="宋体" w:cs="Times New Roman"/>
                <w:b/>
                <w:bCs w:val="0"/>
                <w:color w:val="auto"/>
                <w:sz w:val="24"/>
                <w:szCs w:val="24"/>
                <w:u w:val="none"/>
                <w:lang w:val="en-US" w:eastAsia="zh-CN"/>
              </w:rPr>
              <w:t>（1）给水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供水水源：本项目给水依托园区内给水管网，项目不对进厂的报废机动车进行清洗，地面采用吸油毡、定期进行拖洗，无其他生产废水产生；用水主要是生活用水、车间地面拖洗用水。本项目年新鲜用水量1483.5m3。</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①生活用水：本项目劳动定员</w:t>
            </w:r>
            <w:r>
              <w:rPr>
                <w:rFonts w:hint="eastAsia" w:ascii="Times New Roman" w:hAnsi="Times New Roman" w:eastAsia="宋体" w:cs="Times New Roman"/>
                <w:b w:val="0"/>
                <w:bCs w:val="0"/>
                <w:color w:val="auto"/>
                <w:sz w:val="24"/>
                <w:szCs w:val="24"/>
                <w:u w:val="none"/>
                <w:lang w:val="en-US" w:eastAsia="zh-CN"/>
              </w:rPr>
              <w:t>1</w:t>
            </w:r>
            <w:r>
              <w:rPr>
                <w:rFonts w:hint="default" w:ascii="Times New Roman" w:hAnsi="Times New Roman" w:eastAsia="宋体" w:cs="Times New Roman"/>
                <w:b w:val="0"/>
                <w:bCs w:val="0"/>
                <w:color w:val="auto"/>
                <w:sz w:val="24"/>
                <w:szCs w:val="24"/>
                <w:u w:val="none"/>
                <w:lang w:val="en-US" w:eastAsia="zh-CN"/>
              </w:rPr>
              <w:t xml:space="preserve">0人，年工作时间为300天，根据湖南省地方标准《用水定额 </w:t>
            </w:r>
            <w:r>
              <w:rPr>
                <w:rFonts w:hint="eastAsia" w:ascii="Times New Roman" w:hAnsi="Times New Roman" w:eastAsia="宋体" w:cs="Times New Roman"/>
                <w:b w:val="0"/>
                <w:bCs w:val="0"/>
                <w:color w:val="auto"/>
                <w:sz w:val="24"/>
                <w:szCs w:val="24"/>
                <w:u w:val="none"/>
                <w:lang w:val="en-US" w:eastAsia="zh-CN"/>
              </w:rPr>
              <w:t>第三部分：</w:t>
            </w:r>
            <w:r>
              <w:rPr>
                <w:rFonts w:hint="default" w:ascii="Times New Roman" w:hAnsi="Times New Roman" w:eastAsia="宋体" w:cs="Times New Roman"/>
                <w:b w:val="0"/>
                <w:bCs w:val="0"/>
                <w:color w:val="auto"/>
                <w:sz w:val="24"/>
                <w:szCs w:val="24"/>
                <w:u w:val="none"/>
                <w:lang w:val="en-US" w:eastAsia="zh-CN"/>
              </w:rPr>
              <w:t>生活、服务业及建筑业》（DB43</w:t>
            </w:r>
            <w:r>
              <w:rPr>
                <w:rFonts w:hint="eastAsia" w:ascii="Times New Roman" w:hAnsi="Times New Roman" w:eastAsia="宋体" w:cs="Times New Roman"/>
                <w:b w:val="0"/>
                <w:bCs w:val="0"/>
                <w:color w:val="auto"/>
                <w:sz w:val="24"/>
                <w:szCs w:val="24"/>
                <w:u w:val="none"/>
                <w:lang w:val="en-US" w:eastAsia="zh-CN"/>
              </w:rPr>
              <w:t>/</w:t>
            </w:r>
            <w:r>
              <w:rPr>
                <w:rFonts w:hint="default" w:ascii="Times New Roman" w:hAnsi="Times New Roman" w:eastAsia="宋体" w:cs="Times New Roman"/>
                <w:b w:val="0"/>
                <w:bCs w:val="0"/>
                <w:color w:val="auto"/>
                <w:sz w:val="24"/>
                <w:szCs w:val="24"/>
                <w:u w:val="none"/>
                <w:lang w:val="en-US" w:eastAsia="zh-CN"/>
              </w:rPr>
              <w:t>T388.3-2025），</w:t>
            </w:r>
            <w:r>
              <w:rPr>
                <w:rFonts w:hint="eastAsia" w:ascii="Times New Roman" w:hAnsi="Times New Roman" w:eastAsia="宋体" w:cs="Times New Roman"/>
                <w:b w:val="0"/>
                <w:bCs w:val="0"/>
                <w:color w:val="auto"/>
                <w:sz w:val="24"/>
                <w:szCs w:val="24"/>
                <w:u w:val="none"/>
                <w:lang w:val="en-US" w:eastAsia="zh-CN"/>
              </w:rPr>
              <w:t>城镇居民生活用水定额通用值为145L</w:t>
            </w:r>
            <w:r>
              <w:rPr>
                <w:rFonts w:hint="default" w:ascii="Times New Roman" w:hAnsi="Times New Roman" w:eastAsia="宋体" w:cs="Times New Roman"/>
                <w:b w:val="0"/>
                <w:bCs w:val="0"/>
                <w:color w:val="auto"/>
                <w:sz w:val="24"/>
                <w:szCs w:val="24"/>
                <w:u w:val="none"/>
                <w:lang w:val="en-US" w:eastAsia="zh-CN"/>
              </w:rPr>
              <w:t>/人·</w:t>
            </w:r>
            <w:r>
              <w:rPr>
                <w:rFonts w:hint="eastAsia" w:ascii="Times New Roman" w:hAnsi="Times New Roman" w:eastAsia="宋体" w:cs="Times New Roman"/>
                <w:b w:val="0"/>
                <w:bCs w:val="0"/>
                <w:color w:val="auto"/>
                <w:sz w:val="24"/>
                <w:szCs w:val="24"/>
                <w:u w:val="none"/>
                <w:lang w:val="en-US" w:eastAsia="zh-CN"/>
              </w:rPr>
              <w:t>d，</w:t>
            </w:r>
            <w:r>
              <w:rPr>
                <w:rFonts w:hint="default" w:ascii="Times New Roman" w:hAnsi="Times New Roman" w:eastAsia="宋体" w:cs="Times New Roman"/>
                <w:b w:val="0"/>
                <w:bCs w:val="0"/>
                <w:color w:val="auto"/>
                <w:sz w:val="24"/>
                <w:szCs w:val="24"/>
                <w:u w:val="none"/>
                <w:lang w:val="en-US" w:eastAsia="zh-CN"/>
              </w:rPr>
              <w:t>则项目用水量为</w:t>
            </w:r>
            <w:r>
              <w:rPr>
                <w:rFonts w:hint="eastAsia" w:ascii="Times New Roman" w:hAnsi="Times New Roman" w:eastAsia="宋体" w:cs="Times New Roman"/>
                <w:b w:val="0"/>
                <w:bCs w:val="0"/>
                <w:color w:val="auto"/>
                <w:sz w:val="24"/>
                <w:szCs w:val="24"/>
                <w:u w:val="none"/>
                <w:lang w:val="en-US" w:eastAsia="zh-CN"/>
              </w:rPr>
              <w:t>450</w:t>
            </w:r>
            <w:r>
              <w:rPr>
                <w:rFonts w:hint="default" w:ascii="Times New Roman" w:hAnsi="Times New Roman" w:eastAsia="宋体" w:cs="Times New Roman"/>
                <w:b w:val="0"/>
                <w:bCs w:val="0"/>
                <w:color w:val="auto"/>
                <w:sz w:val="24"/>
                <w:szCs w:val="24"/>
                <w:u w:val="none"/>
                <w:lang w:val="en-US" w:eastAsia="zh-CN"/>
              </w:rPr>
              <w:t>m</w:t>
            </w:r>
            <w:r>
              <w:rPr>
                <w:rFonts w:hint="default" w:ascii="Times New Roman" w:hAnsi="Times New Roman" w:eastAsia="宋体" w:cs="Times New Roman"/>
                <w:b w:val="0"/>
                <w:bCs w:val="0"/>
                <w:color w:val="auto"/>
                <w:sz w:val="24"/>
                <w:szCs w:val="24"/>
                <w:u w:val="none"/>
                <w:vertAlign w:val="superscript"/>
                <w:lang w:val="en-US" w:eastAsia="zh-CN"/>
              </w:rPr>
              <w:t>3</w:t>
            </w:r>
            <w:r>
              <w:rPr>
                <w:rFonts w:hint="default" w:ascii="Times New Roman" w:hAnsi="Times New Roman" w:eastAsia="宋体" w:cs="Times New Roman"/>
                <w:b w:val="0"/>
                <w:bCs w:val="0"/>
                <w:color w:val="auto"/>
                <w:sz w:val="24"/>
                <w:szCs w:val="24"/>
                <w:u w:val="none"/>
                <w:lang w:val="en-US" w:eastAsia="zh-CN"/>
              </w:rPr>
              <w:t>/a（</w:t>
            </w:r>
            <w:r>
              <w:rPr>
                <w:rFonts w:hint="eastAsia" w:ascii="Times New Roman" w:hAnsi="Times New Roman" w:eastAsia="宋体" w:cs="Times New Roman"/>
                <w:b w:val="0"/>
                <w:bCs w:val="0"/>
                <w:color w:val="auto"/>
                <w:sz w:val="24"/>
                <w:szCs w:val="24"/>
                <w:u w:val="none"/>
                <w:lang w:val="en-US" w:eastAsia="zh-CN"/>
              </w:rPr>
              <w:t>1.5</w:t>
            </w:r>
            <w:r>
              <w:rPr>
                <w:rFonts w:hint="default" w:ascii="Times New Roman" w:hAnsi="Times New Roman" w:eastAsia="宋体" w:cs="Times New Roman"/>
                <w:b w:val="0"/>
                <w:bCs w:val="0"/>
                <w:color w:val="auto"/>
                <w:sz w:val="24"/>
                <w:szCs w:val="24"/>
                <w:u w:val="none"/>
                <w:lang w:val="en-US" w:eastAsia="zh-CN"/>
              </w:rPr>
              <w:t>m</w:t>
            </w:r>
            <w:r>
              <w:rPr>
                <w:rFonts w:hint="default" w:ascii="Times New Roman" w:hAnsi="Times New Roman" w:eastAsia="宋体" w:cs="Times New Roman"/>
                <w:b w:val="0"/>
                <w:bCs w:val="0"/>
                <w:color w:val="auto"/>
                <w:sz w:val="24"/>
                <w:szCs w:val="24"/>
                <w:u w:val="none"/>
                <w:vertAlign w:val="superscript"/>
                <w:lang w:val="en-US" w:eastAsia="zh-CN"/>
              </w:rPr>
              <w:t>3</w:t>
            </w:r>
            <w:r>
              <w:rPr>
                <w:rFonts w:hint="default" w:ascii="Times New Roman" w:hAnsi="Times New Roman" w:eastAsia="宋体" w:cs="Times New Roman"/>
                <w:b w:val="0"/>
                <w:bCs w:val="0"/>
                <w:color w:val="auto"/>
                <w:sz w:val="24"/>
                <w:szCs w:val="24"/>
                <w:u w:val="none"/>
                <w:lang w:val="en-US" w:eastAsia="zh-CN"/>
              </w:rPr>
              <w:t>/d）。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u w:val="none"/>
                <w:lang w:val="en-US" w:eastAsia="zh-CN"/>
              </w:rPr>
            </w:pPr>
            <w:r>
              <w:rPr>
                <w:rFonts w:hint="default" w:ascii="Times New Roman" w:hAnsi="Times New Roman" w:eastAsia="宋体" w:cs="Times New Roman"/>
                <w:b w:val="0"/>
                <w:bCs w:val="0"/>
                <w:color w:val="auto"/>
                <w:sz w:val="24"/>
                <w:szCs w:val="24"/>
                <w:u w:val="none"/>
                <w:lang w:val="en-US" w:eastAsia="zh-CN"/>
              </w:rPr>
              <w:t>②车间地面拖洗用水：参照《建筑给水排水设计标准》（GB50015-2019）表3.2.2第25项，停车库地面冲洗水2-3L/m</w:t>
            </w:r>
            <w:r>
              <w:rPr>
                <w:rFonts w:hint="default" w:ascii="Times New Roman" w:hAnsi="Times New Roman" w:eastAsia="宋体" w:cs="Times New Roman"/>
                <w:b w:val="0"/>
                <w:bCs w:val="0"/>
                <w:color w:val="auto"/>
                <w:sz w:val="24"/>
                <w:szCs w:val="24"/>
                <w:u w:val="none"/>
                <w:vertAlign w:val="superscript"/>
                <w:lang w:val="en-US" w:eastAsia="zh-CN"/>
              </w:rPr>
              <w:t>2</w:t>
            </w:r>
            <w:r>
              <w:rPr>
                <w:rFonts w:hint="default" w:ascii="Times New Roman" w:hAnsi="Times New Roman" w:eastAsia="宋体" w:cs="Times New Roman"/>
                <w:b w:val="0"/>
                <w:bCs w:val="0"/>
                <w:color w:val="auto"/>
                <w:sz w:val="24"/>
                <w:szCs w:val="24"/>
                <w:u w:val="none"/>
                <w:lang w:val="en-US" w:eastAsia="zh-CN"/>
              </w:rPr>
              <w:t>·次，故车间地面拖洗用水量按照</w:t>
            </w:r>
            <w:r>
              <w:rPr>
                <w:rFonts w:hint="eastAsia" w:ascii="Times New Roman" w:hAnsi="Times New Roman" w:eastAsia="宋体" w:cs="Times New Roman"/>
                <w:b w:val="0"/>
                <w:bCs w:val="0"/>
                <w:color w:val="auto"/>
                <w:sz w:val="24"/>
                <w:szCs w:val="24"/>
                <w:u w:val="none"/>
                <w:lang w:val="en-US" w:eastAsia="zh-CN"/>
              </w:rPr>
              <w:t>2.5</w:t>
            </w:r>
            <w:r>
              <w:rPr>
                <w:rFonts w:hint="default" w:ascii="Times New Roman" w:hAnsi="Times New Roman" w:eastAsia="宋体" w:cs="Times New Roman"/>
                <w:b w:val="0"/>
                <w:bCs w:val="0"/>
                <w:color w:val="auto"/>
                <w:sz w:val="24"/>
                <w:szCs w:val="24"/>
                <w:u w:val="none"/>
                <w:lang w:val="en-US" w:eastAsia="zh-CN"/>
              </w:rPr>
              <w:t>L/m</w:t>
            </w:r>
            <w:r>
              <w:rPr>
                <w:rFonts w:hint="default" w:ascii="Times New Roman" w:hAnsi="Times New Roman" w:eastAsia="宋体" w:cs="Times New Roman"/>
                <w:b w:val="0"/>
                <w:bCs w:val="0"/>
                <w:color w:val="auto"/>
                <w:sz w:val="24"/>
                <w:szCs w:val="24"/>
                <w:u w:val="none"/>
                <w:vertAlign w:val="superscript"/>
                <w:lang w:val="en-US" w:eastAsia="zh-CN"/>
              </w:rPr>
              <w:t>2</w:t>
            </w:r>
            <w:r>
              <w:rPr>
                <w:rFonts w:hint="default" w:ascii="Times New Roman" w:hAnsi="Times New Roman" w:eastAsia="宋体" w:cs="Times New Roman"/>
                <w:b w:val="0"/>
                <w:bCs w:val="0"/>
                <w:color w:val="auto"/>
                <w:sz w:val="24"/>
                <w:szCs w:val="24"/>
                <w:u w:val="none"/>
                <w:lang w:val="en-US" w:eastAsia="zh-CN"/>
              </w:rPr>
              <w:t>·次计，</w:t>
            </w:r>
            <w:r>
              <w:rPr>
                <w:rFonts w:hint="eastAsia" w:ascii="Times New Roman" w:hAnsi="Times New Roman" w:eastAsia="宋体" w:cs="Times New Roman"/>
                <w:b w:val="0"/>
                <w:bCs w:val="0"/>
                <w:color w:val="auto"/>
                <w:sz w:val="24"/>
                <w:szCs w:val="24"/>
                <w:u w:val="none"/>
                <w:lang w:val="en-US" w:eastAsia="zh-CN"/>
              </w:rPr>
              <w:t>2</w:t>
            </w:r>
            <w:r>
              <w:rPr>
                <w:rFonts w:hint="default" w:ascii="Times New Roman" w:hAnsi="Times New Roman" w:eastAsia="宋体" w:cs="Times New Roman"/>
                <w:b w:val="0"/>
                <w:bCs w:val="0"/>
                <w:color w:val="auto"/>
                <w:sz w:val="24"/>
                <w:szCs w:val="24"/>
                <w:u w:val="none"/>
                <w:lang w:val="en-US" w:eastAsia="zh-CN"/>
              </w:rPr>
              <w:t>个工作日拖洗1次，年清洁</w:t>
            </w:r>
            <w:r>
              <w:rPr>
                <w:rFonts w:hint="eastAsia" w:ascii="Times New Roman" w:hAnsi="Times New Roman" w:eastAsia="宋体" w:cs="Times New Roman"/>
                <w:b w:val="0"/>
                <w:bCs w:val="0"/>
                <w:color w:val="auto"/>
                <w:sz w:val="24"/>
                <w:szCs w:val="24"/>
                <w:u w:val="none"/>
                <w:lang w:val="en-US" w:eastAsia="zh-CN"/>
              </w:rPr>
              <w:t>150</w:t>
            </w:r>
            <w:r>
              <w:rPr>
                <w:rFonts w:hint="default" w:ascii="Times New Roman" w:hAnsi="Times New Roman" w:eastAsia="宋体" w:cs="Times New Roman"/>
                <w:b w:val="0"/>
                <w:bCs w:val="0"/>
                <w:color w:val="auto"/>
                <w:sz w:val="24"/>
                <w:szCs w:val="24"/>
                <w:u w:val="none"/>
                <w:lang w:val="en-US" w:eastAsia="zh-CN"/>
              </w:rPr>
              <w:t>次，</w:t>
            </w:r>
            <w:r>
              <w:rPr>
                <w:rFonts w:hint="eastAsia" w:ascii="Times New Roman" w:hAnsi="Times New Roman" w:eastAsia="宋体" w:cs="Times New Roman"/>
                <w:b w:val="0"/>
                <w:bCs w:val="0"/>
                <w:color w:val="auto"/>
                <w:sz w:val="24"/>
                <w:szCs w:val="24"/>
                <w:u w:val="none"/>
                <w:lang w:val="en-US" w:eastAsia="zh-CN"/>
              </w:rPr>
              <w:t>需清洁的厂地面</w:t>
            </w:r>
            <w:r>
              <w:rPr>
                <w:rFonts w:hint="default" w:ascii="Times New Roman" w:hAnsi="Times New Roman" w:eastAsia="宋体" w:cs="Times New Roman"/>
                <w:b w:val="0"/>
                <w:bCs w:val="0"/>
                <w:color w:val="auto"/>
                <w:sz w:val="24"/>
                <w:szCs w:val="24"/>
                <w:u w:val="none"/>
                <w:lang w:val="en-US" w:eastAsia="zh-CN"/>
              </w:rPr>
              <w:t>积</w:t>
            </w:r>
            <w:r>
              <w:rPr>
                <w:rFonts w:hint="eastAsia" w:ascii="Times New Roman" w:hAnsi="Times New Roman" w:eastAsia="宋体" w:cs="Times New Roman"/>
                <w:b w:val="0"/>
                <w:bCs w:val="0"/>
                <w:color w:val="auto"/>
                <w:sz w:val="24"/>
                <w:szCs w:val="24"/>
                <w:u w:val="none"/>
                <w:lang w:val="en-US" w:eastAsia="zh-CN"/>
              </w:rPr>
              <w:t>12330</w:t>
            </w:r>
            <w:r>
              <w:rPr>
                <w:rFonts w:hint="default" w:ascii="Times New Roman" w:hAnsi="Times New Roman" w:eastAsia="宋体" w:cs="Times New Roman"/>
                <w:b w:val="0"/>
                <w:bCs w:val="0"/>
                <w:color w:val="auto"/>
                <w:sz w:val="24"/>
                <w:szCs w:val="24"/>
                <w:u w:val="none"/>
                <w:lang w:val="en-US" w:eastAsia="zh-CN"/>
              </w:rPr>
              <w:t>m</w:t>
            </w:r>
            <w:r>
              <w:rPr>
                <w:rFonts w:hint="default" w:ascii="Times New Roman" w:hAnsi="Times New Roman" w:eastAsia="宋体" w:cs="Times New Roman"/>
                <w:b w:val="0"/>
                <w:bCs w:val="0"/>
                <w:color w:val="auto"/>
                <w:sz w:val="24"/>
                <w:szCs w:val="24"/>
                <w:u w:val="none"/>
                <w:vertAlign w:val="superscript"/>
                <w:lang w:val="en-US" w:eastAsia="zh-CN"/>
              </w:rPr>
              <w:t>2</w:t>
            </w:r>
            <w:r>
              <w:rPr>
                <w:rFonts w:hint="default" w:ascii="Times New Roman" w:hAnsi="Times New Roman" w:eastAsia="宋体" w:cs="Times New Roman"/>
                <w:b w:val="0"/>
                <w:bCs w:val="0"/>
                <w:color w:val="auto"/>
                <w:sz w:val="24"/>
                <w:szCs w:val="24"/>
                <w:u w:val="none"/>
                <w:lang w:val="en-US" w:eastAsia="zh-CN"/>
              </w:rPr>
              <w:t>，年用水量</w:t>
            </w:r>
            <w:r>
              <w:rPr>
                <w:rFonts w:hint="eastAsia" w:ascii="Times New Roman" w:hAnsi="Times New Roman" w:eastAsia="宋体" w:cs="Times New Roman"/>
                <w:b w:val="0"/>
                <w:bCs w:val="0"/>
                <w:color w:val="auto"/>
                <w:sz w:val="24"/>
                <w:szCs w:val="24"/>
                <w:u w:val="none"/>
                <w:lang w:val="en-US" w:eastAsia="zh-CN"/>
              </w:rPr>
              <w:t>4623.75</w:t>
            </w:r>
            <w:r>
              <w:rPr>
                <w:rFonts w:hint="default" w:ascii="Times New Roman" w:hAnsi="Times New Roman" w:eastAsia="宋体" w:cs="Times New Roman"/>
                <w:b w:val="0"/>
                <w:bCs w:val="0"/>
                <w:color w:val="auto"/>
                <w:sz w:val="24"/>
                <w:szCs w:val="24"/>
                <w:u w:val="none"/>
                <w:lang w:val="en-US" w:eastAsia="zh-CN"/>
              </w:rPr>
              <w:t>m</w:t>
            </w:r>
            <w:r>
              <w:rPr>
                <w:rFonts w:hint="default" w:ascii="Times New Roman" w:hAnsi="Times New Roman" w:eastAsia="宋体" w:cs="Times New Roman"/>
                <w:b w:val="0"/>
                <w:bCs w:val="0"/>
                <w:color w:val="auto"/>
                <w:sz w:val="24"/>
                <w:szCs w:val="24"/>
                <w:u w:val="none"/>
                <w:vertAlign w:val="superscript"/>
                <w:lang w:val="en-US" w:eastAsia="zh-CN"/>
              </w:rPr>
              <w:t>3</w:t>
            </w:r>
            <w:r>
              <w:rPr>
                <w:rFonts w:hint="default" w:ascii="Times New Roman" w:hAnsi="Times New Roman" w:eastAsia="宋体" w:cs="Times New Roman"/>
                <w:b w:val="0"/>
                <w:bCs w:val="0"/>
                <w:color w:val="auto"/>
                <w:sz w:val="24"/>
                <w:szCs w:val="24"/>
                <w:u w:val="none"/>
                <w:lang w:val="en-US" w:eastAsia="zh-CN"/>
              </w:rPr>
              <w:t>/a。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u w:val="wave"/>
                <w:lang w:val="en-US" w:eastAsia="zh-CN"/>
              </w:rPr>
            </w:pPr>
            <w:r>
              <w:rPr>
                <w:rFonts w:hint="default" w:ascii="Times New Roman" w:hAnsi="Times New Roman" w:eastAsia="宋体" w:cs="Times New Roman"/>
                <w:b w:val="0"/>
                <w:bCs w:val="0"/>
                <w:color w:val="auto"/>
                <w:sz w:val="24"/>
                <w:szCs w:val="24"/>
                <w:u w:val="wave"/>
                <w:lang w:val="en-US" w:eastAsia="zh-CN"/>
              </w:rPr>
              <w:t>③</w:t>
            </w:r>
            <w:r>
              <w:rPr>
                <w:rFonts w:hint="eastAsia" w:ascii="Times New Roman" w:hAnsi="Times New Roman" w:eastAsia="宋体" w:cs="Times New Roman"/>
                <w:b w:val="0"/>
                <w:bCs w:val="0"/>
                <w:color w:val="auto"/>
                <w:sz w:val="24"/>
                <w:szCs w:val="24"/>
                <w:u w:val="wave"/>
                <w:lang w:val="en-US" w:eastAsia="zh-CN"/>
              </w:rPr>
              <w:t>初期雨水：本项目采用雨污分流</w:t>
            </w:r>
            <w:r>
              <w:rPr>
                <w:rFonts w:hint="eastAsia" w:cs="Times New Roman"/>
                <w:b w:val="0"/>
                <w:bCs w:val="0"/>
                <w:color w:val="auto"/>
                <w:sz w:val="24"/>
                <w:szCs w:val="24"/>
                <w:u w:val="wave"/>
                <w:lang w:val="en-US" w:eastAsia="zh-CN"/>
              </w:rPr>
              <w:t>。</w:t>
            </w:r>
            <w:r>
              <w:rPr>
                <w:rFonts w:hint="eastAsia" w:ascii="Times New Roman" w:hAnsi="Times New Roman" w:eastAsia="宋体" w:cs="Times New Roman"/>
                <w:b w:val="0"/>
                <w:bCs w:val="0"/>
                <w:color w:val="auto"/>
                <w:sz w:val="24"/>
                <w:szCs w:val="24"/>
                <w:u w:val="wave"/>
                <w:lang w:val="en-US" w:eastAsia="zh-CN"/>
              </w:rPr>
              <w:t>项目</w:t>
            </w:r>
            <w:r>
              <w:rPr>
                <w:rFonts w:hint="eastAsia" w:cs="Times New Roman"/>
                <w:b w:val="0"/>
                <w:bCs w:val="0"/>
                <w:color w:val="auto"/>
                <w:sz w:val="24"/>
                <w:szCs w:val="24"/>
                <w:u w:val="wave"/>
                <w:lang w:val="en-US" w:eastAsia="zh-CN"/>
              </w:rPr>
              <w:t>车间</w:t>
            </w:r>
            <w:r>
              <w:rPr>
                <w:rFonts w:hint="eastAsia" w:ascii="Times New Roman" w:hAnsi="Times New Roman" w:eastAsia="宋体" w:cs="Times New Roman"/>
                <w:b w:val="0"/>
                <w:bCs w:val="0"/>
                <w:color w:val="auto"/>
                <w:sz w:val="24"/>
                <w:szCs w:val="24"/>
                <w:u w:val="wave"/>
                <w:lang w:val="en-US" w:eastAsia="zh-CN"/>
              </w:rPr>
              <w:t>为封闭结构，进行地面硬化及防渗处理，屋面雨水主要会带入少量尘土，基本无油污，通过屋面敷设的雨水渠，将收集后的雨水引至地面的雨水管网外排即可不需单独处理。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项目厂区内运输道路及生产车间周边道路因废旧车辆的运输和转移难免会有油污滴落到地面，雨水降落到这些区域会带走地面的油污，这部分区域的初期雨水需单独收集进行处理。报废汽车在进场后立即将油液抽走，并将铅蓄电池拆卸，故初期雨水中的主要污染物为SS和石油类。初期雨水将采用截流方式，在各雨水出水口处设置截流井截流初期雨水，厂区有效汇水面积8522m</w:t>
            </w:r>
            <w:r>
              <w:rPr>
                <w:rFonts w:hint="eastAsia" w:ascii="Times New Roman" w:hAnsi="Times New Roman" w:eastAsia="宋体" w:cs="Times New Roman"/>
                <w:b w:val="0"/>
                <w:bCs w:val="0"/>
                <w:color w:val="auto"/>
                <w:sz w:val="24"/>
                <w:szCs w:val="24"/>
                <w:u w:val="wave"/>
                <w:vertAlign w:val="superscript"/>
                <w:lang w:val="en-US" w:eastAsia="zh-CN"/>
              </w:rPr>
              <w:t>2</w:t>
            </w:r>
            <w:r>
              <w:rPr>
                <w:rFonts w:hint="eastAsia" w:ascii="Times New Roman" w:hAnsi="Times New Roman" w:eastAsia="宋体" w:cs="Times New Roman"/>
                <w:b w:val="0"/>
                <w:bCs w:val="0"/>
                <w:color w:val="auto"/>
                <w:sz w:val="24"/>
                <w:szCs w:val="24"/>
                <w:u w:val="wave"/>
                <w:lang w:val="en-US" w:eastAsia="zh-CN"/>
              </w:rPr>
              <w:t>。初期雨水每次降水量根据以下公示进行</w:t>
            </w:r>
            <w:r>
              <w:rPr>
                <w:rFonts w:hint="default" w:ascii="Times New Roman" w:hAnsi="Times New Roman" w:eastAsia="宋体" w:cs="Times New Roman"/>
                <w:b w:val="0"/>
                <w:bCs w:val="0"/>
                <w:color w:val="auto"/>
                <w:sz w:val="24"/>
                <w:szCs w:val="24"/>
                <w:u w:val="wave"/>
                <w:lang w:val="en-US" w:eastAsia="zh-CN"/>
              </w:rPr>
              <w:t>计算：</w:t>
            </w:r>
          </w:p>
          <w:p>
            <w:pPr>
              <w:pStyle w:val="24"/>
              <w:ind w:left="0" w:leftChars="0" w:firstLine="0" w:firstLineChars="0"/>
              <w:jc w:val="center"/>
              <w:rPr>
                <w:rFonts w:hint="default" w:ascii="Times New Roman" w:hAnsi="Times New Roman" w:eastAsia="宋体" w:cs="Times New Roman"/>
                <w:color w:val="auto"/>
                <w:sz w:val="24"/>
                <w:szCs w:val="24"/>
                <w:u w:val="wave"/>
              </w:rPr>
            </w:pPr>
            <w:r>
              <w:rPr>
                <w:rFonts w:hint="default" w:ascii="Times New Roman" w:hAnsi="Times New Roman" w:eastAsia="宋体" w:cs="Times New Roman"/>
                <w:color w:val="auto"/>
                <w:sz w:val="24"/>
                <w:szCs w:val="24"/>
                <w:u w:val="wave"/>
              </w:rPr>
              <w:t>Q=ΨqF</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u w:val="wave"/>
                <w:lang w:val="en-US" w:eastAsia="zh-CN"/>
              </w:rPr>
            </w:pPr>
            <w:r>
              <w:rPr>
                <w:rFonts w:hint="default" w:ascii="Times New Roman" w:hAnsi="Times New Roman" w:eastAsia="宋体" w:cs="Times New Roman"/>
                <w:b w:val="0"/>
                <w:bCs w:val="0"/>
                <w:color w:val="auto"/>
                <w:sz w:val="24"/>
                <w:szCs w:val="24"/>
                <w:u w:val="wave"/>
                <w:lang w:val="en-US" w:eastAsia="zh-CN"/>
              </w:rPr>
              <w:t>式中：Q——初期雨水量（m³）；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both"/>
              <w:textAlignment w:val="auto"/>
              <w:rPr>
                <w:rFonts w:hint="default" w:ascii="Times New Roman" w:hAnsi="Times New Roman" w:eastAsia="宋体" w:cs="Times New Roman"/>
                <w:b w:val="0"/>
                <w:bCs w:val="0"/>
                <w:color w:val="auto"/>
                <w:sz w:val="24"/>
                <w:szCs w:val="24"/>
                <w:u w:val="wave"/>
                <w:lang w:val="en-US" w:eastAsia="zh-CN"/>
              </w:rPr>
            </w:pPr>
            <w:r>
              <w:rPr>
                <w:rFonts w:hint="default" w:ascii="Times New Roman" w:hAnsi="Times New Roman" w:eastAsia="宋体" w:cs="Times New Roman"/>
                <w:b w:val="0"/>
                <w:bCs w:val="0"/>
                <w:color w:val="auto"/>
                <w:sz w:val="24"/>
                <w:szCs w:val="24"/>
                <w:u w:val="wave"/>
                <w:lang w:val="en-US" w:eastAsia="zh-CN"/>
              </w:rPr>
              <w:t>Ψ——径流系数，—径流系数，根据《室外排水设计规范》（GB50014-2021）中表4.1.8-1径流系数-各种屋面、混凝土或沥青路面雨水设计径流系数取值为0.85~0.95，本项目径流系数取值0.9；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both"/>
              <w:textAlignment w:val="auto"/>
              <w:rPr>
                <w:rFonts w:hint="default" w:ascii="Times New Roman" w:hAnsi="Times New Roman" w:eastAsia="宋体" w:cs="Times New Roman"/>
                <w:b w:val="0"/>
                <w:bCs w:val="0"/>
                <w:color w:val="auto"/>
                <w:sz w:val="24"/>
                <w:szCs w:val="24"/>
                <w:u w:val="wave"/>
                <w:lang w:val="en-US" w:eastAsia="zh-CN"/>
              </w:rPr>
            </w:pPr>
            <w:r>
              <w:rPr>
                <w:rFonts w:hint="default" w:ascii="Times New Roman" w:hAnsi="Times New Roman" w:eastAsia="宋体" w:cs="Times New Roman"/>
                <w:b w:val="0"/>
                <w:bCs w:val="0"/>
                <w:color w:val="auto"/>
                <w:sz w:val="24"/>
                <w:szCs w:val="24"/>
                <w:u w:val="wave"/>
                <w:lang w:val="en-US" w:eastAsia="zh-CN"/>
              </w:rPr>
              <w:t>F——汇水面积（ha），厂区汇水面积按露天场地估算，约为8522m</w:t>
            </w:r>
            <w:r>
              <w:rPr>
                <w:rFonts w:hint="default" w:ascii="Times New Roman" w:hAnsi="Times New Roman" w:eastAsia="宋体" w:cs="Times New Roman"/>
                <w:b w:val="0"/>
                <w:bCs w:val="0"/>
                <w:color w:val="auto"/>
                <w:sz w:val="24"/>
                <w:szCs w:val="24"/>
                <w:u w:val="wave"/>
                <w:vertAlign w:val="superscript"/>
                <w:lang w:val="en-US" w:eastAsia="zh-CN"/>
              </w:rPr>
              <w:t>2</w:t>
            </w:r>
            <w:r>
              <w:rPr>
                <w:rFonts w:hint="default" w:ascii="Times New Roman" w:hAnsi="Times New Roman" w:eastAsia="宋体" w:cs="Times New Roman"/>
                <w:b w:val="0"/>
                <w:bCs w:val="0"/>
                <w:color w:val="auto"/>
                <w:sz w:val="24"/>
                <w:szCs w:val="24"/>
                <w:u w:val="wave"/>
                <w:lang w:val="en-US" w:eastAsia="zh-CN"/>
              </w:rPr>
              <w:t>，折合0.8522ha。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both"/>
              <w:textAlignment w:val="auto"/>
              <w:rPr>
                <w:rFonts w:hint="eastAsia" w:ascii="Times New Roman" w:hAnsi="Times New Roman" w:eastAsia="宋体" w:cs="Times New Roman"/>
                <w:b w:val="0"/>
                <w:bCs w:val="0"/>
                <w:color w:val="auto"/>
                <w:sz w:val="24"/>
                <w:szCs w:val="24"/>
                <w:u w:val="wave"/>
                <w:lang w:val="en-US" w:eastAsia="zh-CN"/>
              </w:rPr>
            </w:pPr>
            <w:r>
              <w:rPr>
                <w:rFonts w:hint="default" w:ascii="Times New Roman" w:hAnsi="Times New Roman" w:eastAsia="宋体" w:cs="Times New Roman"/>
                <w:b w:val="0"/>
                <w:bCs w:val="0"/>
                <w:color w:val="auto"/>
                <w:sz w:val="24"/>
                <w:szCs w:val="24"/>
                <w:u w:val="wave"/>
                <w:lang w:val="en-US" w:eastAsia="zh-CN"/>
              </w:rPr>
              <w:t>q——设计暴雨强度（m³/s·ha）</w:t>
            </w:r>
            <w:r>
              <w:rPr>
                <w:rFonts w:hint="eastAsia" w:ascii="Times New Roman" w:hAnsi="Times New Roman" w:eastAsia="宋体" w:cs="Times New Roman"/>
                <w:b w:val="0"/>
                <w:bCs w:val="0"/>
                <w:color w:val="auto"/>
                <w:sz w:val="24"/>
                <w:szCs w:val="24"/>
                <w:u w:val="wave"/>
                <w:lang w:val="en-US" w:eastAsia="zh-CN"/>
              </w:rPr>
              <w:t>，参考《湖南省雨水控制与利用工程技术标准》（DBJ43/T390-2022）中附表B，衡阳市暴雨强度公式计算：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val="0"/>
                <w:bCs w:val="0"/>
                <w:color w:val="auto"/>
                <w:sz w:val="24"/>
                <w:szCs w:val="24"/>
                <w:u w:val="wave"/>
                <w:lang w:val="en-US" w:eastAsia="zh-CN"/>
              </w:rPr>
            </w:pPr>
            <m:oMathPara>
              <m:oMath>
                <m:r>
                  <m:rPr>
                    <m:sty m:val="p"/>
                  </m:rPr>
                  <w:rPr>
                    <w:rFonts w:hint="default" w:ascii="Cambria Math" w:hAnsi="Cambria Math" w:eastAsia="宋体" w:cs="Times New Roman"/>
                    <w:color w:val="auto"/>
                    <w:kern w:val="2"/>
                    <w:sz w:val="24"/>
                    <w:szCs w:val="24"/>
                    <w:u w:val="wave"/>
                    <w:lang w:val="en-US" w:eastAsia="zh-CN" w:bidi="ar-SA"/>
                  </w:rPr>
                  <m:t>q=</m:t>
                </m:r>
                <m:f>
                  <m:fPr>
                    <m:ctrlPr>
                      <w:rPr>
                        <w:rFonts w:hint="default" w:ascii="Cambria Math" w:hAnsi="Cambria Math" w:eastAsia="宋体" w:cs="Times New Roman"/>
                        <w:b w:val="0"/>
                        <w:bCs w:val="0"/>
                        <w:color w:val="auto"/>
                        <w:kern w:val="2"/>
                        <w:sz w:val="24"/>
                        <w:szCs w:val="24"/>
                        <w:u w:val="wave"/>
                        <w:lang w:val="en-US" w:eastAsia="zh-CN" w:bidi="ar-SA"/>
                      </w:rPr>
                    </m:ctrlPr>
                  </m:fPr>
                  <m:num>
                    <m:r>
                      <m:rPr>
                        <m:sty m:val="p"/>
                      </m:rPr>
                      <w:rPr>
                        <w:rFonts w:hint="default" w:ascii="Cambria Math" w:hAnsi="Cambria Math" w:eastAsia="宋体" w:cs="Times New Roman"/>
                        <w:color w:val="auto"/>
                        <w:kern w:val="2"/>
                        <w:sz w:val="24"/>
                        <w:szCs w:val="24"/>
                        <w:u w:val="wave"/>
                        <w:lang w:val="en-US" w:eastAsia="zh-CN" w:bidi="ar-SA"/>
                      </w:rPr>
                      <m:t>1915.959（1+0.6461lgP）</m:t>
                    </m:r>
                    <m:ctrlPr>
                      <w:rPr>
                        <w:rFonts w:hint="default" w:ascii="Cambria Math" w:hAnsi="Cambria Math" w:eastAsia="宋体" w:cs="Times New Roman"/>
                        <w:b w:val="0"/>
                        <w:bCs w:val="0"/>
                        <w:color w:val="auto"/>
                        <w:kern w:val="2"/>
                        <w:sz w:val="24"/>
                        <w:szCs w:val="24"/>
                        <w:u w:val="wave"/>
                        <w:lang w:val="en-US" w:eastAsia="zh-CN" w:bidi="ar-SA"/>
                      </w:rPr>
                    </m:ctrlPr>
                  </m:num>
                  <m:den>
                    <m:sSup>
                      <m:sSupPr>
                        <m:ctrlPr>
                          <w:rPr>
                            <w:rFonts w:hint="default" w:ascii="Cambria Math" w:hAnsi="Cambria Math" w:eastAsia="宋体" w:cs="Times New Roman"/>
                            <w:b w:val="0"/>
                            <w:bCs w:val="0"/>
                            <w:color w:val="auto"/>
                            <w:kern w:val="2"/>
                            <w:sz w:val="24"/>
                            <w:szCs w:val="24"/>
                            <w:u w:val="wave"/>
                            <w:lang w:val="en-US" w:eastAsia="zh-CN" w:bidi="ar-SA"/>
                          </w:rPr>
                        </m:ctrlPr>
                      </m:sSupPr>
                      <m:e>
                        <m:r>
                          <m:rPr>
                            <m:sty m:val="p"/>
                          </m:rPr>
                          <w:rPr>
                            <w:rFonts w:hint="default" w:ascii="Cambria Math" w:hAnsi="Cambria Math" w:eastAsia="宋体" w:cs="Times New Roman"/>
                            <w:color w:val="auto"/>
                            <w:kern w:val="2"/>
                            <w:sz w:val="24"/>
                            <w:szCs w:val="24"/>
                            <w:u w:val="wave"/>
                            <w:lang w:val="en-US" w:eastAsia="zh-CN" w:bidi="ar-SA"/>
                          </w:rPr>
                          <m:t>（t+11.212）</m:t>
                        </m:r>
                        <m:ctrlPr>
                          <w:rPr>
                            <w:rFonts w:hint="default" w:ascii="Cambria Math" w:hAnsi="Cambria Math" w:eastAsia="宋体" w:cs="Times New Roman"/>
                            <w:b w:val="0"/>
                            <w:bCs w:val="0"/>
                            <w:color w:val="auto"/>
                            <w:kern w:val="2"/>
                            <w:sz w:val="24"/>
                            <w:szCs w:val="24"/>
                            <w:u w:val="wave"/>
                            <w:lang w:val="en-US" w:eastAsia="zh-CN" w:bidi="ar-SA"/>
                          </w:rPr>
                        </m:ctrlPr>
                      </m:e>
                      <m:sup>
                        <m:r>
                          <m:rPr>
                            <m:sty m:val="p"/>
                          </m:rPr>
                          <w:rPr>
                            <w:rFonts w:hint="default" w:ascii="Cambria Math" w:hAnsi="Cambria Math" w:eastAsia="宋体" w:cs="Times New Roman"/>
                            <w:color w:val="auto"/>
                            <w:kern w:val="2"/>
                            <w:sz w:val="24"/>
                            <w:szCs w:val="24"/>
                            <w:u w:val="wave"/>
                            <w:lang w:val="en-US" w:eastAsia="zh-CN" w:bidi="ar-SA"/>
                          </w:rPr>
                          <m:t>0.711</m:t>
                        </m:r>
                        <m:ctrlPr>
                          <w:rPr>
                            <w:rFonts w:hint="default" w:ascii="Cambria Math" w:hAnsi="Cambria Math" w:eastAsia="宋体" w:cs="Times New Roman"/>
                            <w:b w:val="0"/>
                            <w:bCs w:val="0"/>
                            <w:color w:val="auto"/>
                            <w:kern w:val="2"/>
                            <w:sz w:val="24"/>
                            <w:szCs w:val="24"/>
                            <w:u w:val="wave"/>
                            <w:lang w:val="en-US" w:eastAsia="zh-CN" w:bidi="ar-SA"/>
                          </w:rPr>
                        </m:ctrlPr>
                      </m:sup>
                    </m:sSup>
                    <m:ctrlPr>
                      <w:rPr>
                        <w:rFonts w:hint="default" w:ascii="Cambria Math" w:hAnsi="Cambria Math" w:eastAsia="宋体" w:cs="Times New Roman"/>
                        <w:b w:val="0"/>
                        <w:bCs w:val="0"/>
                        <w:color w:val="auto"/>
                        <w:kern w:val="2"/>
                        <w:sz w:val="24"/>
                        <w:szCs w:val="24"/>
                        <w:u w:val="wave"/>
                        <w:lang w:val="en-US" w:eastAsia="zh-CN" w:bidi="ar-SA"/>
                      </w:rPr>
                    </m:ctrlPr>
                  </m:den>
                </m:f>
              </m:oMath>
            </m:oMathPara>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both"/>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式中：p——设计降雨重现期（a），取1a；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920" w:firstLineChars="800"/>
              <w:jc w:val="both"/>
              <w:textAlignment w:val="auto"/>
              <w:rPr>
                <w:rFonts w:hint="default"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t——初期雨水时间（min），取15min。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计算得出暴雨量为2187.86L/s·ha，雨水流量Q为144.08L/s。按照15min计，则初期雨水量为129.68m</w:t>
            </w:r>
            <w:r>
              <w:rPr>
                <w:rFonts w:hint="eastAsia" w:ascii="Times New Roman" w:hAnsi="Times New Roman" w:eastAsia="宋体" w:cs="Times New Roman"/>
                <w:b w:val="0"/>
                <w:bCs w:val="0"/>
                <w:color w:val="auto"/>
                <w:sz w:val="24"/>
                <w:szCs w:val="24"/>
                <w:u w:val="wave"/>
                <w:vertAlign w:val="superscript"/>
                <w:lang w:val="en-US" w:eastAsia="zh-CN"/>
              </w:rPr>
              <w:t>3</w:t>
            </w:r>
            <w:r>
              <w:rPr>
                <w:rFonts w:hint="eastAsia" w:ascii="Times New Roman" w:hAnsi="Times New Roman" w:eastAsia="宋体" w:cs="Times New Roman"/>
                <w:b w:val="0"/>
                <w:bCs w:val="0"/>
                <w:color w:val="auto"/>
                <w:sz w:val="24"/>
                <w:szCs w:val="24"/>
                <w:u w:val="wave"/>
                <w:lang w:val="en-US" w:eastAsia="zh-CN"/>
              </w:rPr>
              <w:t>/次。年暴雨次数取20，则雨水流量为2593.52m</w:t>
            </w:r>
            <w:r>
              <w:rPr>
                <w:rFonts w:hint="eastAsia" w:ascii="Times New Roman" w:hAnsi="Times New Roman" w:eastAsia="宋体" w:cs="Times New Roman"/>
                <w:b w:val="0"/>
                <w:bCs w:val="0"/>
                <w:color w:val="auto"/>
                <w:sz w:val="24"/>
                <w:szCs w:val="24"/>
                <w:u w:val="wave"/>
                <w:vertAlign w:val="superscript"/>
                <w:lang w:val="en-US" w:eastAsia="zh-CN"/>
              </w:rPr>
              <w:t>3</w:t>
            </w:r>
            <w:r>
              <w:rPr>
                <w:rFonts w:hint="eastAsia" w:ascii="Times New Roman" w:hAnsi="Times New Roman" w:eastAsia="宋体" w:cs="Times New Roman"/>
                <w:b w:val="0"/>
                <w:bCs w:val="0"/>
                <w:color w:val="auto"/>
                <w:sz w:val="24"/>
                <w:szCs w:val="24"/>
                <w:u w:val="wave"/>
                <w:lang w:val="en-US" w:eastAsia="zh-CN"/>
              </w:rPr>
              <w:t>/a。初期雨水初期雨水经初期雨水收集池收集后，与项目车间地面拖洗废水一并经三级隔油沉淀池+高效油水分离器处理后排入园区污水管网最后进入衡阳西渡高新区污水处理厂深度处理；池体进水口处设三通阀，降雨15min后人工关闭收集池进水口阀门，15min后的雨水径流沿雨水沟通过雨水排放口直接排入园区雨水管网。</w:t>
            </w:r>
          </w:p>
          <w:p>
            <w:pPr>
              <w:pStyle w:val="68"/>
              <w:keepNext w:val="0"/>
              <w:keepLines w:val="0"/>
              <w:pageBreakBefore w:val="0"/>
              <w:widowControl w:val="0"/>
              <w:kinsoku/>
              <w:wordWrap/>
              <w:overflowPunct/>
              <w:topLinePunct w:val="0"/>
              <w:autoSpaceDE w:val="0"/>
              <w:autoSpaceDN w:val="0"/>
              <w:bidi w:val="0"/>
              <w:adjustRightInd/>
              <w:snapToGrid/>
              <w:spacing w:line="360" w:lineRule="auto"/>
              <w:ind w:right="0" w:firstLine="482" w:firstLineChars="200"/>
              <w:jc w:val="both"/>
              <w:textAlignment w:val="auto"/>
              <w:rPr>
                <w:rFonts w:hint="default" w:ascii="Times New Roman" w:hAnsi="Times New Roman" w:eastAsia="宋体" w:cs="Times New Roman"/>
                <w:b/>
                <w:bCs w:val="0"/>
                <w:color w:val="auto"/>
                <w:sz w:val="24"/>
                <w:szCs w:val="24"/>
                <w:u w:val="wave"/>
                <w:lang w:val="en-US" w:eastAsia="zh-CN"/>
              </w:rPr>
            </w:pPr>
            <w:r>
              <w:rPr>
                <w:rFonts w:hint="default" w:ascii="Times New Roman" w:hAnsi="Times New Roman" w:eastAsia="宋体" w:cs="Times New Roman"/>
                <w:b/>
                <w:bCs w:val="0"/>
                <w:color w:val="auto"/>
                <w:sz w:val="24"/>
                <w:szCs w:val="24"/>
                <w:u w:val="wave"/>
                <w:lang w:val="en-US" w:eastAsia="zh-CN"/>
              </w:rPr>
              <w:t>（2）排水</w:t>
            </w:r>
          </w:p>
          <w:p>
            <w:pPr>
              <w:pStyle w:val="68"/>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①生活污水：项目用水量为</w:t>
            </w:r>
            <w:r>
              <w:rPr>
                <w:rFonts w:hint="eastAsia" w:ascii="Times New Roman" w:hAnsi="Times New Roman" w:cs="Times New Roman"/>
                <w:b w:val="0"/>
                <w:bCs/>
                <w:color w:val="auto"/>
                <w:sz w:val="24"/>
                <w:szCs w:val="24"/>
                <w:u w:val="wave"/>
                <w:lang w:val="en-US" w:eastAsia="zh-CN"/>
              </w:rPr>
              <w:t>450</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/a（</w:t>
            </w:r>
            <w:r>
              <w:rPr>
                <w:rFonts w:hint="eastAsia" w:ascii="Times New Roman" w:hAnsi="Times New Roman" w:cs="Times New Roman"/>
                <w:b w:val="0"/>
                <w:bCs/>
                <w:color w:val="auto"/>
                <w:sz w:val="24"/>
                <w:szCs w:val="24"/>
                <w:u w:val="wave"/>
                <w:lang w:val="en-US" w:eastAsia="zh-CN"/>
              </w:rPr>
              <w:t>1.5</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/d），排污系数取0.8，则生活污水产生量为</w:t>
            </w:r>
            <w:r>
              <w:rPr>
                <w:rFonts w:hint="eastAsia" w:ascii="Times New Roman" w:hAnsi="Times New Roman" w:cs="Times New Roman"/>
                <w:b w:val="0"/>
                <w:bCs/>
                <w:color w:val="auto"/>
                <w:sz w:val="24"/>
                <w:szCs w:val="24"/>
                <w:u w:val="wave"/>
                <w:lang w:val="en-US" w:eastAsia="zh-CN"/>
              </w:rPr>
              <w:t>360</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/a（</w:t>
            </w:r>
            <w:r>
              <w:rPr>
                <w:rFonts w:hint="eastAsia" w:ascii="Times New Roman" w:hAnsi="Times New Roman" w:cs="Times New Roman"/>
                <w:b w:val="0"/>
                <w:bCs/>
                <w:color w:val="auto"/>
                <w:sz w:val="24"/>
                <w:szCs w:val="24"/>
                <w:u w:val="wave"/>
                <w:lang w:val="en-US" w:eastAsia="zh-CN"/>
              </w:rPr>
              <w:t>1.2</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/d）。</w:t>
            </w:r>
          </w:p>
          <w:p>
            <w:pPr>
              <w:pStyle w:val="68"/>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②车间地面拖洗废水：车间地面拖洗年用水量</w:t>
            </w:r>
            <w:r>
              <w:rPr>
                <w:rFonts w:hint="eastAsia" w:ascii="Times New Roman" w:hAnsi="Times New Roman" w:cs="Times New Roman"/>
                <w:b w:val="0"/>
                <w:bCs/>
                <w:color w:val="auto"/>
                <w:sz w:val="24"/>
                <w:szCs w:val="24"/>
                <w:u w:val="wave"/>
                <w:lang w:val="en-US" w:eastAsia="zh-CN"/>
              </w:rPr>
              <w:t>4623.75</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/a</w:t>
            </w:r>
            <w:r>
              <w:rPr>
                <w:rFonts w:hint="eastAsia" w:ascii="Times New Roman" w:hAnsi="Times New Roman" w:cs="Times New Roman"/>
                <w:b w:val="0"/>
                <w:bCs/>
                <w:color w:val="auto"/>
                <w:sz w:val="24"/>
                <w:szCs w:val="24"/>
                <w:u w:val="wave"/>
                <w:lang w:val="en-US" w:eastAsia="zh-CN"/>
              </w:rPr>
              <w:t>（最高日用水量30.825m</w:t>
            </w:r>
            <w:r>
              <w:rPr>
                <w:rFonts w:hint="eastAsia" w:ascii="Times New Roman" w:hAnsi="Times New Roman" w:cs="Times New Roman"/>
                <w:b w:val="0"/>
                <w:bCs/>
                <w:color w:val="auto"/>
                <w:sz w:val="24"/>
                <w:szCs w:val="24"/>
                <w:u w:val="wave"/>
                <w:vertAlign w:val="superscript"/>
                <w:lang w:val="en-US" w:eastAsia="zh-CN"/>
              </w:rPr>
              <w:t>3</w:t>
            </w:r>
            <w:r>
              <w:rPr>
                <w:rFonts w:hint="eastAsia" w:ascii="Times New Roman" w:hAnsi="Times New Roman" w:cs="Times New Roman"/>
                <w:b w:val="0"/>
                <w:bCs/>
                <w:color w:val="auto"/>
                <w:sz w:val="24"/>
                <w:szCs w:val="24"/>
                <w:u w:val="wave"/>
                <w:lang w:val="en-US" w:eastAsia="zh-CN"/>
              </w:rPr>
              <w:t>/d）</w:t>
            </w:r>
            <w:r>
              <w:rPr>
                <w:rFonts w:hint="default" w:ascii="Times New Roman" w:hAnsi="Times New Roman" w:eastAsia="宋体" w:cs="Times New Roman"/>
                <w:b w:val="0"/>
                <w:bCs/>
                <w:color w:val="auto"/>
                <w:sz w:val="24"/>
                <w:szCs w:val="24"/>
                <w:u w:val="wave"/>
                <w:lang w:val="en-US" w:eastAsia="zh-CN"/>
              </w:rPr>
              <w:t>，排污系数取0.8，则废水产生量为</w:t>
            </w:r>
            <w:r>
              <w:rPr>
                <w:rFonts w:hint="eastAsia" w:ascii="Times New Roman" w:hAnsi="Times New Roman" w:cs="Times New Roman"/>
                <w:b w:val="0"/>
                <w:bCs/>
                <w:color w:val="auto"/>
                <w:sz w:val="24"/>
                <w:szCs w:val="24"/>
                <w:u w:val="wave"/>
                <w:lang w:val="en-US" w:eastAsia="zh-CN"/>
              </w:rPr>
              <w:t>3699</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/a</w:t>
            </w:r>
            <w:r>
              <w:rPr>
                <w:rFonts w:hint="eastAsia" w:ascii="Times New Roman" w:hAnsi="Times New Roman" w:cs="Times New Roman"/>
                <w:b w:val="0"/>
                <w:bCs/>
                <w:color w:val="auto"/>
                <w:sz w:val="24"/>
                <w:szCs w:val="24"/>
                <w:u w:val="wave"/>
                <w:lang w:val="en-US" w:eastAsia="zh-CN"/>
              </w:rPr>
              <w:t>（最高日废水量24.66m</w:t>
            </w:r>
            <w:r>
              <w:rPr>
                <w:rFonts w:hint="eastAsia" w:ascii="Times New Roman" w:hAnsi="Times New Roman" w:cs="Times New Roman"/>
                <w:b w:val="0"/>
                <w:bCs/>
                <w:color w:val="auto"/>
                <w:sz w:val="24"/>
                <w:szCs w:val="24"/>
                <w:u w:val="wave"/>
                <w:vertAlign w:val="superscript"/>
                <w:lang w:val="en-US" w:eastAsia="zh-CN"/>
              </w:rPr>
              <w:t>3</w:t>
            </w:r>
            <w:r>
              <w:rPr>
                <w:rFonts w:hint="eastAsia" w:ascii="Times New Roman" w:hAnsi="Times New Roman" w:cs="Times New Roman"/>
                <w:b w:val="0"/>
                <w:bCs/>
                <w:color w:val="auto"/>
                <w:sz w:val="24"/>
                <w:szCs w:val="24"/>
                <w:u w:val="wave"/>
                <w:lang w:val="en-US" w:eastAsia="zh-CN"/>
              </w:rPr>
              <w:t>/d）</w:t>
            </w:r>
            <w:r>
              <w:rPr>
                <w:rFonts w:hint="default" w:ascii="Times New Roman" w:hAnsi="Times New Roman" w:eastAsia="宋体" w:cs="Times New Roman"/>
                <w:b w:val="0"/>
                <w:bCs/>
                <w:color w:val="auto"/>
                <w:sz w:val="24"/>
                <w:szCs w:val="24"/>
                <w:u w:val="wave"/>
                <w:lang w:val="en-US" w:eastAsia="zh-CN"/>
              </w:rPr>
              <w:t>。</w:t>
            </w:r>
          </w:p>
          <w:p>
            <w:pPr>
              <w:pStyle w:val="68"/>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③初期雨水：年产生量</w:t>
            </w:r>
            <w:r>
              <w:rPr>
                <w:rFonts w:hint="eastAsia" w:ascii="Times New Roman" w:hAnsi="Times New Roman" w:cs="Times New Roman"/>
                <w:b w:val="0"/>
                <w:bCs/>
                <w:color w:val="auto"/>
                <w:sz w:val="24"/>
                <w:szCs w:val="24"/>
                <w:u w:val="wave"/>
                <w:lang w:val="en-US" w:eastAsia="zh-CN"/>
              </w:rPr>
              <w:t>2593.52</w:t>
            </w:r>
            <w:r>
              <w:rPr>
                <w:rFonts w:hint="default" w:ascii="Times New Roman" w:hAnsi="Times New Roman" w:eastAsia="宋体" w:cs="Times New Roman"/>
                <w:b w:val="0"/>
                <w:bCs/>
                <w:color w:val="auto"/>
                <w:sz w:val="24"/>
                <w:szCs w:val="24"/>
                <w:u w:val="wave"/>
                <w:lang w:val="en-US" w:eastAsia="zh-CN"/>
              </w:rPr>
              <w:t>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/a，计算过程详见第四章节。</w:t>
            </w:r>
          </w:p>
          <w:p>
            <w:pPr>
              <w:pStyle w:val="68"/>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项目排水采用雨污分流，分生活污水收集系统、室外初期雨水收集系统。生活污水排入化粪池处理，经污水管网排入</w:t>
            </w:r>
            <w:r>
              <w:rPr>
                <w:rFonts w:hint="eastAsia" w:ascii="Times New Roman" w:hAnsi="Times New Roman" w:cs="Times New Roman"/>
                <w:b w:val="0"/>
                <w:bCs/>
                <w:color w:val="auto"/>
                <w:sz w:val="24"/>
                <w:szCs w:val="24"/>
                <w:u w:val="wave"/>
                <w:lang w:val="en-US" w:eastAsia="zh-CN"/>
              </w:rPr>
              <w:t>衡阳</w:t>
            </w:r>
            <w:r>
              <w:rPr>
                <w:rFonts w:hint="default" w:ascii="Times New Roman" w:hAnsi="Times New Roman" w:eastAsia="宋体" w:cs="Times New Roman"/>
                <w:b w:val="0"/>
                <w:bCs/>
                <w:color w:val="auto"/>
                <w:sz w:val="24"/>
                <w:szCs w:val="24"/>
                <w:u w:val="wave"/>
                <w:lang w:val="en-US" w:eastAsia="zh-CN"/>
              </w:rPr>
              <w:t>西渡高新区污水处理厂处理，经处理达标后外排</w:t>
            </w:r>
            <w:r>
              <w:rPr>
                <w:rFonts w:hint="eastAsia" w:ascii="Times New Roman" w:hAnsi="Times New Roman" w:cs="Times New Roman"/>
                <w:b w:val="0"/>
                <w:bCs/>
                <w:color w:val="auto"/>
                <w:sz w:val="24"/>
                <w:szCs w:val="24"/>
                <w:u w:val="wave"/>
                <w:lang w:val="en-US" w:eastAsia="zh-CN"/>
              </w:rPr>
              <w:t>蒸水</w:t>
            </w:r>
            <w:r>
              <w:rPr>
                <w:rFonts w:hint="default" w:ascii="Times New Roman" w:hAnsi="Times New Roman" w:eastAsia="宋体" w:cs="Times New Roman"/>
                <w:b w:val="0"/>
                <w:bCs/>
                <w:color w:val="auto"/>
                <w:sz w:val="24"/>
                <w:szCs w:val="24"/>
                <w:u w:val="wave"/>
                <w:lang w:val="en-US" w:eastAsia="zh-CN"/>
              </w:rPr>
              <w:t>，最终汇入湘江</w:t>
            </w:r>
            <w:bookmarkStart w:id="13" w:name="OLE_LINK10"/>
            <w:r>
              <w:rPr>
                <w:rFonts w:hint="default" w:ascii="Times New Roman" w:hAnsi="Times New Roman" w:eastAsia="宋体" w:cs="Times New Roman"/>
                <w:b w:val="0"/>
                <w:bCs/>
                <w:color w:val="auto"/>
                <w:sz w:val="24"/>
                <w:szCs w:val="24"/>
                <w:u w:val="wave"/>
                <w:lang w:val="en-US" w:eastAsia="zh-CN"/>
              </w:rPr>
              <w:t>。初期雨水经初期雨水收集池收集后，与项目车间地面拖洗废水一并经三级隔油沉淀池+高效油水分离器处理后排入园区污水管网最后进入衡阳西渡高新区污水处理厂深度处理</w:t>
            </w:r>
            <w:bookmarkEnd w:id="13"/>
            <w:r>
              <w:rPr>
                <w:rFonts w:hint="default" w:ascii="Times New Roman" w:hAnsi="Times New Roman" w:eastAsia="宋体" w:cs="Times New Roman"/>
                <w:b w:val="0"/>
                <w:bCs/>
                <w:color w:val="auto"/>
                <w:sz w:val="24"/>
                <w:szCs w:val="24"/>
                <w:u w:val="wave"/>
                <w:lang w:val="en-US" w:eastAsia="zh-CN"/>
              </w:rPr>
              <w:t>。项目用排水一览表见下表2-1</w:t>
            </w:r>
            <w:r>
              <w:rPr>
                <w:rFonts w:hint="eastAsia" w:ascii="Times New Roman" w:hAnsi="Times New Roman" w:cs="Times New Roman"/>
                <w:b w:val="0"/>
                <w:bCs/>
                <w:color w:val="auto"/>
                <w:sz w:val="24"/>
                <w:szCs w:val="24"/>
                <w:u w:val="wave"/>
                <w:lang w:val="en-US" w:eastAsia="zh-CN"/>
              </w:rPr>
              <w:t>0</w:t>
            </w:r>
            <w:r>
              <w:rPr>
                <w:rFonts w:hint="default" w:ascii="Times New Roman" w:hAnsi="Times New Roman" w:eastAsia="宋体" w:cs="Times New Roman"/>
                <w:b w:val="0"/>
                <w:bCs/>
                <w:color w:val="auto"/>
                <w:sz w:val="24"/>
                <w:szCs w:val="24"/>
                <w:u w:val="wave"/>
                <w:lang w:val="en-US" w:eastAsia="zh-CN"/>
              </w:rPr>
              <w:t>，水平衡图见图2-1。</w:t>
            </w:r>
          </w:p>
          <w:p>
            <w:pPr>
              <w:pStyle w:val="44"/>
              <w:bidi w:val="0"/>
              <w:rPr>
                <w:rFonts w:hint="default" w:ascii="Times New Roman" w:hAnsi="Times New Roman" w:cs="Times New Roman"/>
                <w:b/>
                <w:bCs/>
                <w:lang w:val="en-US" w:eastAsia="zh-CN"/>
              </w:rPr>
            </w:pPr>
            <w:r>
              <w:rPr>
                <w:rFonts w:hint="default" w:ascii="Times New Roman" w:hAnsi="Times New Roman" w:cs="Times New Roman"/>
                <w:b/>
                <w:bCs/>
                <w:lang w:val="en-US" w:eastAsia="zh-CN"/>
              </w:rPr>
              <w:t>表2-1</w:t>
            </w:r>
            <w:r>
              <w:rPr>
                <w:rFonts w:hint="eastAsia" w:ascii="Times New Roman" w:hAnsi="Times New Roman" w:cs="Times New Roman"/>
                <w:b/>
                <w:bCs/>
                <w:lang w:val="en-US" w:eastAsia="zh-CN"/>
              </w:rPr>
              <w:t>0</w:t>
            </w:r>
            <w:r>
              <w:rPr>
                <w:rFonts w:hint="default" w:ascii="Times New Roman" w:hAnsi="Times New Roman" w:cs="Times New Roman"/>
                <w:b/>
                <w:bCs/>
                <w:lang w:val="en-US" w:eastAsia="zh-CN"/>
              </w:rPr>
              <w:t xml:space="preserve">  用排水一览表</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453"/>
              <w:gridCol w:w="1657"/>
              <w:gridCol w:w="1366"/>
              <w:gridCol w:w="16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6"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序号</w:t>
                  </w:r>
                </w:p>
              </w:tc>
              <w:tc>
                <w:tcPr>
                  <w:tcW w:w="1541"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类别</w:t>
                  </w:r>
                </w:p>
              </w:tc>
              <w:tc>
                <w:tcPr>
                  <w:tcW w:w="1041"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用水量m</w:t>
                  </w:r>
                  <w:r>
                    <w:rPr>
                      <w:rFonts w:hint="default" w:ascii="Times New Roman" w:hAnsi="Times New Roman" w:eastAsia="宋体" w:cs="Times New Roman"/>
                      <w:b/>
                      <w:bCs/>
                      <w:vertAlign w:val="superscript"/>
                      <w:lang w:val="en-US" w:eastAsia="zh-CN"/>
                    </w:rPr>
                    <w:t>3</w:t>
                  </w:r>
                  <w:r>
                    <w:rPr>
                      <w:rFonts w:hint="default" w:ascii="Times New Roman" w:hAnsi="Times New Roman" w:eastAsia="宋体" w:cs="Times New Roman"/>
                      <w:b/>
                      <w:bCs/>
                      <w:lang w:val="en-US" w:eastAsia="zh-CN"/>
                    </w:rPr>
                    <w:t>/a</w:t>
                  </w:r>
                </w:p>
              </w:tc>
              <w:tc>
                <w:tcPr>
                  <w:tcW w:w="858"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排污系数</w:t>
                  </w:r>
                </w:p>
              </w:tc>
              <w:tc>
                <w:tcPr>
                  <w:tcW w:w="1041"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废水量m</w:t>
                  </w:r>
                  <w:r>
                    <w:rPr>
                      <w:rFonts w:hint="default" w:ascii="Times New Roman" w:hAnsi="Times New Roman" w:eastAsia="宋体" w:cs="Times New Roman"/>
                      <w:b/>
                      <w:bCs/>
                      <w:vertAlign w:val="superscript"/>
                      <w:lang w:val="en-US" w:eastAsia="zh-CN"/>
                    </w:rPr>
                    <w:t>3</w:t>
                  </w:r>
                  <w:r>
                    <w:rPr>
                      <w:rFonts w:hint="default" w:ascii="Times New Roman" w:hAnsi="Times New Roman" w:eastAsia="宋体" w:cs="Times New Roman"/>
                      <w:b/>
                      <w:bCs/>
                      <w:lang w:val="en-US" w:eastAsia="zh-CN"/>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6"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w:t>
                  </w:r>
                </w:p>
              </w:tc>
              <w:tc>
                <w:tcPr>
                  <w:tcW w:w="1541"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生活用水</w:t>
                  </w:r>
                </w:p>
              </w:tc>
              <w:tc>
                <w:tcPr>
                  <w:tcW w:w="1041"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450</w:t>
                  </w:r>
                </w:p>
              </w:tc>
              <w:tc>
                <w:tcPr>
                  <w:tcW w:w="858"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0.8</w:t>
                  </w:r>
                </w:p>
              </w:tc>
              <w:tc>
                <w:tcPr>
                  <w:tcW w:w="1041"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6"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w:t>
                  </w:r>
                </w:p>
              </w:tc>
              <w:tc>
                <w:tcPr>
                  <w:tcW w:w="1541"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bookmarkStart w:id="14" w:name="OLE_LINK7"/>
                  <w:r>
                    <w:rPr>
                      <w:rFonts w:hint="default" w:ascii="Times New Roman" w:hAnsi="Times New Roman" w:eastAsia="宋体" w:cs="Times New Roman"/>
                      <w:lang w:val="en-US" w:eastAsia="zh-CN"/>
                    </w:rPr>
                    <w:t>车间地面拖洗废水</w:t>
                  </w:r>
                  <w:bookmarkEnd w:id="14"/>
                </w:p>
              </w:tc>
              <w:tc>
                <w:tcPr>
                  <w:tcW w:w="1041"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4623.75</w:t>
                  </w:r>
                </w:p>
              </w:tc>
              <w:tc>
                <w:tcPr>
                  <w:tcW w:w="858"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0.8</w:t>
                  </w:r>
                </w:p>
              </w:tc>
              <w:tc>
                <w:tcPr>
                  <w:tcW w:w="1041"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3699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6"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w:t>
                  </w:r>
                </w:p>
              </w:tc>
              <w:tc>
                <w:tcPr>
                  <w:tcW w:w="1541"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lang w:val="en-US" w:eastAsia="zh-CN"/>
                    </w:rPr>
                    <w:t>初期雨水</w:t>
                  </w:r>
                </w:p>
              </w:tc>
              <w:tc>
                <w:tcPr>
                  <w:tcW w:w="1041"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w:t>
                  </w:r>
                </w:p>
              </w:tc>
              <w:tc>
                <w:tcPr>
                  <w:tcW w:w="858"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w:t>
                  </w:r>
                </w:p>
              </w:tc>
              <w:tc>
                <w:tcPr>
                  <w:tcW w:w="1041" w:type="pct"/>
                  <w:tcBorders>
                    <w:tl2br w:val="nil"/>
                    <w:tr2bl w:val="nil"/>
                  </w:tcBorders>
                  <w:shd w:val="clear" w:color="auto" w:fill="auto"/>
                  <w:vAlign w:val="center"/>
                </w:tcPr>
                <w:p>
                  <w:pPr>
                    <w:pStyle w:val="44"/>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default" w:ascii="Times New Roman" w:hAnsi="Times New Roman" w:eastAsia="宋体" w:cs="Times New Roman"/>
                      <w:kern w:val="0"/>
                      <w:sz w:val="21"/>
                      <w:szCs w:val="20"/>
                      <w:lang w:val="en-US" w:eastAsia="zh-CN" w:bidi="ar-SA"/>
                    </w:rPr>
                  </w:pPr>
                  <w:r>
                    <w:rPr>
                      <w:rFonts w:hint="eastAsia" w:ascii="Times New Roman" w:hAnsi="Times New Roman" w:eastAsia="宋体" w:cs="Times New Roman"/>
                      <w:kern w:val="0"/>
                      <w:sz w:val="21"/>
                      <w:szCs w:val="20"/>
                      <w:lang w:val="en-US" w:eastAsia="zh-CN" w:bidi="ar-SA"/>
                    </w:rPr>
                    <w:t>2593.52</w:t>
                  </w:r>
                </w:p>
              </w:tc>
            </w:tr>
          </w:tbl>
          <w:p>
            <w:pPr>
              <w:pStyle w:val="44"/>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left="0" w:leftChars="0" w:firstLine="0" w:firstLineChars="0"/>
              <w:textAlignment w:val="auto"/>
              <w:rPr>
                <w:rFonts w:hint="default" w:ascii="Times New Roman" w:hAnsi="Times New Roman" w:eastAsia="宋体" w:cs="Times New Roman"/>
                <w:b w:val="0"/>
                <w:bCs/>
                <w:color w:val="auto"/>
                <w:sz w:val="24"/>
                <w:szCs w:val="24"/>
                <w:u w:val="wave"/>
                <w:lang w:val="en-US" w:eastAsia="zh-CN"/>
              </w:rPr>
            </w:pPr>
            <w:r>
              <w:rPr>
                <w:u w:val="wave"/>
              </w:rPr>
              <w:object>
                <v:shape id="_x0000_i1025" o:spt="75" type="#_x0000_t75" style="height:155.7pt;width:400.2pt;" o:ole="t" filled="f" o:preferrelative="t" stroked="f" coordsize="21600,21600">
                  <v:path/>
                  <v:fill on="f" focussize="0,0"/>
                  <v:stroke on="f"/>
                  <v:imagedata r:id="rId9" o:title=""/>
                  <o:lock v:ext="edit" aspectratio="t"/>
                  <w10:wrap type="none"/>
                  <w10:anchorlock/>
                </v:shape>
                <o:OLEObject Type="Embed" ProgID="Visio.Drawing.11" ShapeID="_x0000_i1025" DrawAspect="Content" ObjectID="_1468075725" r:id="rId8">
                  <o:LockedField>false</o:LockedField>
                </o:OLEObject>
              </w:object>
            </w:r>
            <w:r>
              <w:rPr>
                <w:rFonts w:hint="default" w:ascii="Times New Roman" w:hAnsi="Times New Roman" w:eastAsia="宋体" w:cs="Times New Roman"/>
                <w:b/>
                <w:bCs/>
                <w:u w:val="wave"/>
                <w:lang w:val="en-US" w:eastAsia="zh-CN"/>
              </w:rPr>
              <w:t>图2-1  项目水平衡图（m</w:t>
            </w:r>
            <w:r>
              <w:rPr>
                <w:rFonts w:hint="default" w:ascii="Times New Roman" w:hAnsi="Times New Roman" w:eastAsia="宋体" w:cs="Times New Roman"/>
                <w:b/>
                <w:bCs/>
                <w:u w:val="wave"/>
                <w:vertAlign w:val="superscript"/>
                <w:lang w:val="en-US" w:eastAsia="zh-CN"/>
              </w:rPr>
              <w:t>3</w:t>
            </w:r>
            <w:r>
              <w:rPr>
                <w:rFonts w:hint="default" w:ascii="Times New Roman" w:hAnsi="Times New Roman" w:eastAsia="宋体" w:cs="Times New Roman"/>
                <w:b/>
                <w:bCs/>
                <w:u w:val="wave"/>
                <w:lang w:val="en-US" w:eastAsia="zh-CN"/>
              </w:rPr>
              <w:t xml:space="preserve">/a）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default" w:ascii="Times New Roman" w:hAnsi="Times New Roman" w:eastAsia="宋体" w:cs="Times New Roman"/>
                <w:b/>
                <w:bCs w:val="0"/>
                <w:color w:val="auto"/>
                <w:sz w:val="24"/>
                <w:szCs w:val="24"/>
                <w:u w:val="none"/>
                <w:lang w:val="en-US" w:eastAsia="zh-CN"/>
              </w:rPr>
              <w:t>5、劳动定员及工作制度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val="0"/>
                <w:color w:val="auto"/>
                <w:sz w:val="21"/>
                <w:szCs w:val="21"/>
                <w:u w:val="none"/>
                <w:lang w:val="en-US" w:eastAsia="zh-CN"/>
              </w:rPr>
            </w:pPr>
            <w:r>
              <w:rPr>
                <w:rFonts w:hint="default" w:ascii="Times New Roman" w:hAnsi="Times New Roman" w:eastAsia="宋体" w:cs="Times New Roman"/>
                <w:b w:val="0"/>
                <w:bCs/>
                <w:color w:val="auto"/>
                <w:sz w:val="24"/>
                <w:szCs w:val="24"/>
                <w:u w:val="none"/>
                <w:lang w:val="en-US" w:eastAsia="zh-CN"/>
              </w:rPr>
              <w:t>项目劳动定员</w:t>
            </w:r>
            <w:r>
              <w:rPr>
                <w:rFonts w:hint="eastAsia" w:ascii="Times New Roman" w:hAnsi="Times New Roman" w:eastAsia="宋体" w:cs="Times New Roman"/>
                <w:b w:val="0"/>
                <w:bCs/>
                <w:color w:val="auto"/>
                <w:sz w:val="24"/>
                <w:szCs w:val="24"/>
                <w:u w:val="none"/>
                <w:lang w:val="en-US" w:eastAsia="zh-CN"/>
              </w:rPr>
              <w:t>1</w:t>
            </w:r>
            <w:r>
              <w:rPr>
                <w:rFonts w:hint="default" w:ascii="Times New Roman" w:hAnsi="Times New Roman" w:eastAsia="宋体" w:cs="Times New Roman"/>
                <w:b w:val="0"/>
                <w:bCs/>
                <w:color w:val="auto"/>
                <w:sz w:val="24"/>
                <w:szCs w:val="24"/>
                <w:u w:val="none"/>
                <w:lang w:val="en-US" w:eastAsia="zh-CN"/>
              </w:rPr>
              <w:t>0人，日生产工作时间为8h，一班制，年产天数300d。员工在本项目内住宿，</w:t>
            </w:r>
            <w:r>
              <w:rPr>
                <w:rFonts w:hint="eastAsia" w:ascii="Times New Roman" w:hAnsi="Times New Roman" w:eastAsia="宋体" w:cs="Times New Roman"/>
                <w:b w:val="0"/>
                <w:bCs/>
                <w:color w:val="auto"/>
                <w:sz w:val="24"/>
                <w:szCs w:val="24"/>
                <w:u w:val="none"/>
                <w:lang w:val="en-US" w:eastAsia="zh-CN"/>
              </w:rPr>
              <w:t>不设食堂</w:t>
            </w:r>
            <w:r>
              <w:rPr>
                <w:rFonts w:hint="default" w:ascii="Times New Roman" w:hAnsi="Times New Roman" w:eastAsia="宋体" w:cs="Times New Roman"/>
                <w:b w:val="0"/>
                <w:bCs/>
                <w:color w:val="auto"/>
                <w:sz w:val="24"/>
                <w:szCs w:val="24"/>
                <w:u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5" w:hRule="atLeast"/>
          <w:jc w:val="center"/>
        </w:trPr>
        <w:tc>
          <w:tcPr>
            <w:tcW w:w="886" w:type="dxa"/>
            <w:noWrap w:val="0"/>
            <w:vAlign w:val="center"/>
          </w:tcPr>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工艺流程和产排污环节</w:t>
            </w:r>
          </w:p>
        </w:tc>
        <w:tc>
          <w:tcPr>
            <w:tcW w:w="8173" w:type="dxa"/>
            <w:noWrap w:val="0"/>
            <w:vAlign w:val="top"/>
          </w:tcPr>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b/>
                <w:bCs/>
                <w:color w:val="auto"/>
                <w:sz w:val="24"/>
                <w:u w:val="none" w:color="auto"/>
                <w:lang w:val="zh-CN"/>
              </w:rPr>
            </w:pPr>
            <w:r>
              <w:rPr>
                <w:rFonts w:hint="eastAsia" w:ascii="Times New Roman" w:hAnsi="Times New Roman" w:eastAsia="Times New Roman" w:cs="Times New Roman"/>
                <w:b/>
                <w:bCs/>
                <w:color w:val="auto"/>
                <w:sz w:val="24"/>
                <w:u w:val="none" w:color="auto"/>
                <w:lang w:val="zh-CN"/>
              </w:rPr>
              <w:t>一、</w:t>
            </w:r>
            <w:r>
              <w:rPr>
                <w:rFonts w:hint="default" w:ascii="Times New Roman" w:hAnsi="Times New Roman" w:eastAsia="Times New Roman" w:cs="Times New Roman"/>
                <w:b/>
                <w:bCs/>
                <w:color w:val="auto"/>
                <w:sz w:val="24"/>
                <w:u w:val="none" w:color="auto"/>
                <w:lang w:val="zh-CN"/>
              </w:rPr>
              <w:t>施工期工艺流程和产排污环节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rPr>
            </w:pPr>
            <w:r>
              <w:rPr>
                <w:rFonts w:hint="default" w:ascii="Times New Roman" w:hAnsi="Times New Roman" w:eastAsia="Times New Roman" w:cs="Times New Roman"/>
                <w:color w:val="auto"/>
                <w:sz w:val="24"/>
                <w:u w:val="none" w:color="auto"/>
                <w:lang w:val="zh-CN"/>
              </w:rPr>
              <w:t>本项目租赁现有厂房，施工期主要为设备安装，主要为噪声污染，且施工期较短，采取相应措施后对周边环境影响较小。</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b/>
                <w:bCs/>
                <w:color w:val="auto"/>
                <w:sz w:val="24"/>
                <w:u w:val="none" w:color="auto"/>
                <w:lang w:val="zh-CN"/>
              </w:rPr>
            </w:pPr>
            <w:r>
              <w:rPr>
                <w:rFonts w:hint="eastAsia" w:ascii="Times New Roman" w:hAnsi="Times New Roman" w:eastAsia="Times New Roman" w:cs="Times New Roman"/>
                <w:b/>
                <w:bCs/>
                <w:color w:val="auto"/>
                <w:sz w:val="24"/>
                <w:u w:val="none" w:color="auto"/>
                <w:lang w:val="zh-CN"/>
              </w:rPr>
              <w:t>二、</w:t>
            </w:r>
            <w:r>
              <w:rPr>
                <w:rFonts w:hint="default" w:ascii="Times New Roman" w:hAnsi="Times New Roman" w:eastAsia="Times New Roman" w:cs="Times New Roman"/>
                <w:b/>
                <w:bCs/>
                <w:color w:val="auto"/>
                <w:sz w:val="24"/>
                <w:u w:val="none" w:color="auto"/>
                <w:lang w:val="zh-CN"/>
              </w:rPr>
              <w:t>营运期工艺流程和产排污环节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rPr>
            </w:pPr>
            <w:r>
              <w:rPr>
                <w:rFonts w:hint="default" w:ascii="Times New Roman" w:hAnsi="Times New Roman" w:eastAsia="Times New Roman" w:cs="Times New Roman"/>
                <w:color w:val="auto"/>
                <w:sz w:val="24"/>
                <w:u w:val="none" w:color="auto"/>
                <w:lang w:val="zh-CN"/>
              </w:rPr>
              <w:t>本项目根据《报废汽车回收拆解企业技术规范》（GB22128-2019）和《报废机动车拆解企业污染控制技术规范》（HJ348-2022）的要求进行作业。本项目不涉及报废机动车、拆解后各部件的清洗，沾染少量油污、泥土部件直接外售回收单位，由回收单位根据需求进行清洗，</w:t>
            </w:r>
            <w:r>
              <w:rPr>
                <w:rFonts w:hint="default" w:ascii="Times New Roman" w:hAnsi="Times New Roman" w:eastAsia="Times New Roman" w:cs="Times New Roman"/>
                <w:b/>
                <w:bCs/>
                <w:color w:val="auto"/>
                <w:sz w:val="24"/>
                <w:u w:val="none" w:color="auto"/>
                <w:lang w:val="zh-CN"/>
              </w:rPr>
              <w:t>不涉及各项拆除零部件的深度拆解和各类危险废物的处置。拆解的报废机动车“五大总成”具备再制造条件的，可以按照国家有关规定出售给具有再制造能力的企业经过再制造予以循环利用；不具备再制造条件的，应当作为废金属，交售给钢铁企业作为冶炼原料。发动机无需毁形</w:t>
            </w:r>
            <w:r>
              <w:rPr>
                <w:rFonts w:hint="default" w:ascii="Times New Roman" w:hAnsi="Times New Roman" w:eastAsia="Times New Roman" w:cs="Times New Roman"/>
                <w:color w:val="auto"/>
                <w:sz w:val="24"/>
                <w:u w:val="none" w:color="auto"/>
                <w:lang w:val="zh-CN"/>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rPr>
            </w:pPr>
            <w:r>
              <w:rPr>
                <w:rFonts w:hint="default" w:ascii="Times New Roman" w:hAnsi="Times New Roman" w:eastAsia="Times New Roman" w:cs="Times New Roman"/>
                <w:color w:val="auto"/>
                <w:sz w:val="24"/>
                <w:u w:val="none" w:color="auto"/>
                <w:lang w:val="zh-CN"/>
              </w:rPr>
              <w:t>本项目按照能源类型与车型在不同分区按照有关规定进行预处理，预处理结束后，按车辆大小进行切割精拆。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b/>
                <w:bCs/>
                <w:color w:val="auto"/>
                <w:sz w:val="24"/>
                <w:u w:val="none" w:color="auto"/>
                <w:lang w:val="zh-CN"/>
              </w:rPr>
            </w:pPr>
            <w:r>
              <w:rPr>
                <w:rFonts w:hint="default" w:ascii="Times New Roman" w:hAnsi="Times New Roman" w:eastAsia="Times New Roman" w:cs="Times New Roman"/>
                <w:b/>
                <w:bCs/>
                <w:color w:val="auto"/>
                <w:sz w:val="24"/>
                <w:u w:val="none" w:color="auto"/>
                <w:lang w:val="zh-CN"/>
              </w:rPr>
              <w:t>1、报废机动车拆解回收总体流程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rPr>
            </w:pPr>
            <w:r>
              <w:rPr>
                <w:rFonts w:hint="default" w:ascii="Times New Roman" w:hAnsi="Times New Roman" w:eastAsia="Times New Roman" w:cs="Times New Roman"/>
                <w:color w:val="auto"/>
                <w:sz w:val="24"/>
                <w:u w:val="none" w:color="auto"/>
                <w:lang w:val="zh-CN"/>
              </w:rPr>
              <w:t>根据国家发展和改革委、科技部、生态环境部联合发布的《汽车产品回收利用技术政策》（公告2006年第9号），要综合考虑汽车产品生产、维修、拆解等环节的材料再利用，提高材料的循环利用率。废旧汽车回收程序见下图2-2。</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1、报废机动车拆解回收总体流程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根据国家发展和改革委、科技部、生态环境部联合发布的《汽车产品回收利用技术政策》（公告2006年第9号），要综合考虑汽车产品生产、维修、拆解等环节的材料再利用，提高材料的循环利用率。废旧汽车回收程序见下图2-2。</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drawing>
                <wp:inline distT="0" distB="0" distL="114300" distR="114300">
                  <wp:extent cx="5109845" cy="771525"/>
                  <wp:effectExtent l="0" t="0" r="0" b="0"/>
                  <wp:docPr id="120" name="ECB019B1-382A-4266-B25C-5B523AA43C14-1" descr="C:/Users/Administrator/AppData/Local/Temp/wps.ZCzDfD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ECB019B1-382A-4266-B25C-5B523AA43C14-1" descr="C:/Users/Administrator/AppData/Local/Temp/wps.ZCzDfDwps"/>
                          <pic:cNvPicPr>
                            <a:picLocks noChangeAspect="1"/>
                          </pic:cNvPicPr>
                        </pic:nvPicPr>
                        <pic:blipFill>
                          <a:blip r:embed="rId10"/>
                          <a:srcRect l="6766" t="22505" r="5944" b="28033"/>
                          <a:stretch>
                            <a:fillRect/>
                          </a:stretch>
                        </pic:blipFill>
                        <pic:spPr>
                          <a:xfrm>
                            <a:off x="0" y="0"/>
                            <a:ext cx="5109845" cy="7715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spacing w:before="157" w:beforeLines="50" w:line="240" w:lineRule="auto"/>
              <w:ind w:firstLine="0" w:firstLineChars="0"/>
              <w:jc w:val="center"/>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宋体" w:cs="Times New Roman"/>
                <w:b/>
                <w:bCs/>
                <w:color w:val="auto"/>
                <w:sz w:val="21"/>
                <w:szCs w:val="21"/>
                <w:u w:val="none" w:color="auto"/>
                <w:lang w:val="zh-CN" w:eastAsia="zh-CN"/>
              </w:rPr>
              <w:t>图2-2  报废机动车拆解回收总体流程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b/>
                <w:bCs/>
                <w:color w:val="auto"/>
                <w:sz w:val="24"/>
                <w:u w:val="none" w:color="auto"/>
                <w:lang w:val="zh-CN" w:eastAsia="zh-CN"/>
              </w:rPr>
            </w:pPr>
            <w:r>
              <w:rPr>
                <w:rFonts w:hint="default" w:ascii="Times New Roman" w:hAnsi="Times New Roman" w:eastAsia="Times New Roman" w:cs="Times New Roman"/>
                <w:b/>
                <w:bCs/>
                <w:color w:val="auto"/>
                <w:sz w:val="24"/>
                <w:u w:val="none" w:color="auto"/>
                <w:lang w:val="zh-CN" w:eastAsia="zh-CN"/>
              </w:rPr>
              <w:t>2、报废燃油汽车拆解工艺流程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报废燃油汽车详细拆解工艺流程和产排污环节详见图2-3。</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drawing>
                <wp:inline distT="0" distB="0" distL="114300" distR="114300">
                  <wp:extent cx="4901565" cy="5812155"/>
                  <wp:effectExtent l="0" t="0" r="0" b="0"/>
                  <wp:docPr id="126" name="ECB019B1-382A-4266-B25C-5B523AA43C14-2" descr="C:/Users/Administrator/AppData/Local/Temp/wps.kFrbz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ECB019B1-382A-4266-B25C-5B523AA43C14-2" descr="C:/Users/Administrator/AppData/Local/Temp/wps.kFrbzUwps"/>
                          <pic:cNvPicPr>
                            <a:picLocks noChangeAspect="1"/>
                          </pic:cNvPicPr>
                        </pic:nvPicPr>
                        <pic:blipFill>
                          <a:blip r:embed="rId11"/>
                          <a:srcRect l="4527" t="4350" r="4005" b="3687"/>
                          <a:stretch>
                            <a:fillRect/>
                          </a:stretch>
                        </pic:blipFill>
                        <pic:spPr>
                          <a:xfrm>
                            <a:off x="0" y="0"/>
                            <a:ext cx="4901565" cy="58121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spacing w:before="157" w:beforeLines="50"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zh-CN" w:eastAsia="zh-CN"/>
              </w:rPr>
            </w:pPr>
            <w:r>
              <w:rPr>
                <w:rFonts w:hint="default" w:ascii="Times New Roman" w:hAnsi="Times New Roman" w:eastAsia="宋体" w:cs="Times New Roman"/>
                <w:b/>
                <w:bCs/>
                <w:color w:val="auto"/>
                <w:sz w:val="21"/>
                <w:szCs w:val="21"/>
                <w:u w:val="none" w:color="auto"/>
                <w:lang w:val="zh-CN" w:eastAsia="zh-CN"/>
              </w:rPr>
              <w:t>图2-3  报废燃油汽车拆解工艺流程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各工作程序要点如下：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（1）检查和登记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w:t>
            </w:r>
            <w:r>
              <w:rPr>
                <w:rFonts w:hint="default" w:ascii="Times New Roman" w:hAnsi="Times New Roman" w:eastAsia="Times New Roman" w:cs="Times New Roman"/>
                <w:color w:val="auto"/>
                <w:sz w:val="24"/>
                <w:u w:val="wave" w:color="auto"/>
                <w:lang w:val="zh-CN" w:eastAsia="zh-CN"/>
              </w:rPr>
              <w:t>报废燃油汽车中少量事故车辆通过拖车运至厂区室内燃油汽车停放区，大部分车辆直接驶入厂区室外燃油汽车停放区。</w:t>
            </w:r>
            <w:r>
              <w:rPr>
                <w:rFonts w:hint="default" w:ascii="Times New Roman" w:hAnsi="Times New Roman" w:eastAsia="Times New Roman" w:cs="Times New Roman"/>
                <w:color w:val="auto"/>
                <w:sz w:val="24"/>
                <w:u w:val="none" w:color="auto"/>
                <w:lang w:val="zh-CN" w:eastAsia="zh-CN"/>
              </w:rPr>
              <w:t>报废汽车进厂后，取出灭火器、三角锥、车载工具等，人工检查报废汽车发动机、散热器、变速器、差速器、油箱等总成部件的密封破损情况。发动仅拆卸，对于出现有泄漏的总成部件，采用相应的收集桶先收集泄漏的液体，防止废液跑冒滴漏。</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2）报废燃油汽车进厂后，人工检查报废汽车油液泄漏情况，如进厂的报废燃油汽车有漏油液现象，立即将报废燃油汽车转移至拆解车间预处理区，使用废油抽取机和冷媒回收机等设备对废油液进行回收，废油液回收完毕后立即转移至拆解区安排拆解，不得在室外贮存，以此减少跑、冒、滴、漏。具体操作流程与正常报废燃油燃气汽车拆解工艺一致。</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对报废燃油汽车进行登记注册并拍照，将其主要信息录入电脑数据库并在车身醒目位置贴上显示信息的标签。主要信息包括：报废汽车车主（单位或个人）名称、证件号码、牌照号码、车型、品牌型号、车身颜色、重量、发动机号、车辆识别代号（或车架号）、出厂年份、接收或收购日期。</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4）将报废燃油汽车的机动车登记证书、号牌、行驶证交公安机关交通管理部门办理注销登记。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5）向报废燃油汽车车主发放《报废汽车回收证明》及有关注销书面材料。</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（2）停车区暂存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项目报废燃油汽车贮存要求如下：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1）应避免侧放、倒放。车辆如需叠放，应使上下车辆的重心尽量重合，且不应超过3层。2层和3层放时，高度分别不应超过3m和4.5m。对于大型车辆应单层平置。采用框架结构存放的，要保证安全性，并易于装卸。</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2）与其他废弃物分开暂存。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3）完整报废燃油汽车</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经预处理后的完整报废燃油汽车放置于室外露天机动车贮存区，待拆解。</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4）事故车辆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预处理后事故车辆全部放置于室内机动车停放区。区域内设置废油液截留沟。</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（3）拆解预处理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在进行报废汽车总体拆卸前，应对报废汽车进行必要的预处理，根据车辆的不同属性及大小，</w:t>
            </w:r>
            <w:r>
              <w:rPr>
                <w:rFonts w:hint="default" w:ascii="Times New Roman" w:hAnsi="Times New Roman" w:eastAsia="Times New Roman" w:cs="Times New Roman"/>
                <w:color w:val="auto"/>
                <w:sz w:val="24"/>
                <w:u w:val="wave" w:color="auto"/>
                <w:lang w:val="zh-CN" w:eastAsia="zh-CN"/>
              </w:rPr>
              <w:t>用拖车送至拆解车间预处理区。拆解工作按照车辆生产企业所提供的拆解信息或拆解手册进行合理拆解，没有拆解手册的，参照同类其他车辆的规定拆解</w:t>
            </w:r>
            <w:r>
              <w:rPr>
                <w:rFonts w:hint="default" w:ascii="Times New Roman" w:hAnsi="Times New Roman" w:eastAsia="Times New Roman" w:cs="Times New Roman"/>
                <w:color w:val="auto"/>
                <w:sz w:val="24"/>
                <w:u w:val="none" w:color="auto"/>
                <w:lang w:val="zh-CN" w:eastAsia="zh-CN"/>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1）</w:t>
            </w:r>
            <w:r>
              <w:rPr>
                <w:rFonts w:hint="eastAsia" w:eastAsia="Times New Roman" w:cs="Times New Roman"/>
                <w:color w:val="auto"/>
                <w:sz w:val="24"/>
                <w:u w:val="wave" w:color="auto"/>
                <w:lang w:val="zh-CN" w:eastAsia="zh-CN"/>
              </w:rPr>
              <w:t>放电、</w:t>
            </w:r>
            <w:r>
              <w:rPr>
                <w:rFonts w:hint="default" w:ascii="Times New Roman" w:hAnsi="Times New Roman" w:eastAsia="Times New Roman" w:cs="Times New Roman"/>
                <w:color w:val="auto"/>
                <w:sz w:val="24"/>
                <w:u w:val="wave" w:color="auto"/>
                <w:lang w:val="zh-CN" w:eastAsia="zh-CN"/>
              </w:rPr>
              <w:t>拆除废铅酸蓄电池</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wave" w:color="auto"/>
                <w:lang w:val="zh-CN" w:eastAsia="zh-CN"/>
              </w:rPr>
              <w:t>将整个</w:t>
            </w:r>
            <w:r>
              <w:rPr>
                <w:rFonts w:hint="eastAsia" w:eastAsia="Times New Roman" w:cs="Times New Roman"/>
                <w:color w:val="auto"/>
                <w:sz w:val="24"/>
                <w:u w:val="wave" w:color="auto"/>
                <w:lang w:val="zh-CN" w:eastAsia="zh-CN"/>
              </w:rPr>
              <w:t>放电后</w:t>
            </w:r>
            <w:r>
              <w:rPr>
                <w:rFonts w:hint="default" w:ascii="Times New Roman" w:hAnsi="Times New Roman" w:eastAsia="Times New Roman" w:cs="Times New Roman"/>
                <w:color w:val="auto"/>
                <w:sz w:val="24"/>
                <w:u w:val="wave" w:color="auto"/>
                <w:lang w:val="zh-CN" w:eastAsia="zh-CN"/>
              </w:rPr>
              <w:t>废铅酸蓄电池存放至耐酸碱塑料容器中，再送至危险废物暂存间暂存。拆除后的废铅酸蓄电池不再进行进一步拆解，直接交资质单位处置。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此环节产生危险废物S1废铅酸蓄电池、N噪声。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2）拆除引爆安全气囊</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项目单独设置密闭安全气囊引爆室，设有1台安全气囊引爆器（电引爆，引爆人员在引爆室外控制电源）。人工拆除安全气囊后，项目不对未引爆的安全气囊进行暂存，拆除的安全气囊立即转移至安全气囊引爆室进行引爆，引爆后的安全气囊不再具有风险性，作为一般固废，经收集后由环卫部门统一清运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wave" w:color="auto"/>
                <w:lang w:val="zh-CN" w:eastAsia="zh-CN"/>
              </w:rPr>
              <w:t>安全气囊引爆工艺说明：安全气囊内主要化学成分包括叠氮化钠、硝酸钾和二氧化硅。引爆时，安全气囊内的叠氮化钠发生反应生成大量的氮气和钠，金属钠和硝酸钾反应释放出更多的氮气并形成氧化钾和氧化钠，这些氧化物会立即与二氧化硅反应生成硅酸盐，氮气则充入气囊，引爆气囊。</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2NaN</w:t>
            </w:r>
            <w:r>
              <w:rPr>
                <w:rFonts w:hint="default" w:ascii="Times New Roman" w:hAnsi="Times New Roman" w:eastAsia="Times New Roman" w:cs="Times New Roman"/>
                <w:color w:val="auto"/>
                <w:sz w:val="24"/>
                <w:u w:val="none" w:color="auto"/>
                <w:vertAlign w:val="subscript"/>
                <w:lang w:val="zh-CN" w:eastAsia="zh-CN"/>
              </w:rPr>
              <w:t>3</w:t>
            </w:r>
            <w:r>
              <w:rPr>
                <w:rFonts w:hint="default" w:ascii="Times New Roman" w:hAnsi="Times New Roman" w:eastAsia="Times New Roman" w:cs="Times New Roman"/>
                <w:color w:val="auto"/>
                <w:sz w:val="24"/>
                <w:u w:val="none" w:color="auto"/>
                <w:lang w:val="zh-CN" w:eastAsia="zh-CN"/>
              </w:rPr>
              <w:t>=2Na+3N</w:t>
            </w:r>
            <w:r>
              <w:rPr>
                <w:rFonts w:hint="default" w:ascii="Times New Roman" w:hAnsi="Times New Roman" w:eastAsia="Times New Roman" w:cs="Times New Roman"/>
                <w:color w:val="auto"/>
                <w:sz w:val="24"/>
                <w:u w:val="none" w:color="auto"/>
                <w:vertAlign w:val="subscript"/>
                <w:lang w:val="zh-CN" w:eastAsia="zh-CN"/>
              </w:rPr>
              <w:t>2</w:t>
            </w:r>
            <w:r>
              <w:rPr>
                <w:rFonts w:hint="default" w:ascii="Times New Roman" w:hAnsi="Times New Roman" w:eastAsia="Times New Roman" w:cs="Times New Roman"/>
                <w:color w:val="auto"/>
                <w:sz w:val="24"/>
                <w:u w:val="none" w:color="auto"/>
                <w:lang w:val="zh-CN" w:eastAsia="zh-CN"/>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10Na+2KNO</w:t>
            </w:r>
            <w:r>
              <w:rPr>
                <w:rFonts w:hint="default" w:ascii="Times New Roman" w:hAnsi="Times New Roman" w:eastAsia="Times New Roman" w:cs="Times New Roman"/>
                <w:color w:val="auto"/>
                <w:sz w:val="24"/>
                <w:u w:val="none" w:color="auto"/>
                <w:vertAlign w:val="subscript"/>
                <w:lang w:val="zh-CN" w:eastAsia="zh-CN"/>
              </w:rPr>
              <w:t>3</w:t>
            </w:r>
            <w:r>
              <w:rPr>
                <w:rFonts w:hint="default" w:ascii="Times New Roman" w:hAnsi="Times New Roman" w:eastAsia="Times New Roman" w:cs="Times New Roman"/>
                <w:color w:val="auto"/>
                <w:sz w:val="24"/>
                <w:u w:val="none" w:color="auto"/>
                <w:lang w:val="zh-CN" w:eastAsia="zh-CN"/>
              </w:rPr>
              <w:t>+6SiO</w:t>
            </w:r>
            <w:r>
              <w:rPr>
                <w:rFonts w:hint="default" w:ascii="Times New Roman" w:hAnsi="Times New Roman" w:eastAsia="Times New Roman" w:cs="Times New Roman"/>
                <w:color w:val="auto"/>
                <w:sz w:val="24"/>
                <w:u w:val="none" w:color="auto"/>
                <w:vertAlign w:val="subscript"/>
                <w:lang w:val="zh-CN" w:eastAsia="zh-CN"/>
              </w:rPr>
              <w:t>2</w:t>
            </w:r>
            <w:r>
              <w:rPr>
                <w:rFonts w:hint="default" w:ascii="Times New Roman" w:hAnsi="Times New Roman" w:eastAsia="Times New Roman" w:cs="Times New Roman"/>
                <w:color w:val="auto"/>
                <w:sz w:val="24"/>
                <w:u w:val="none" w:color="auto"/>
                <w:lang w:val="zh-CN" w:eastAsia="zh-CN"/>
              </w:rPr>
              <w:t>=5Na</w:t>
            </w:r>
            <w:r>
              <w:rPr>
                <w:rFonts w:hint="default" w:ascii="Times New Roman" w:hAnsi="Times New Roman" w:eastAsia="Times New Roman" w:cs="Times New Roman"/>
                <w:color w:val="auto"/>
                <w:sz w:val="24"/>
                <w:u w:val="none" w:color="auto"/>
                <w:vertAlign w:val="subscript"/>
                <w:lang w:val="zh-CN" w:eastAsia="zh-CN"/>
              </w:rPr>
              <w:t>2</w:t>
            </w:r>
            <w:r>
              <w:rPr>
                <w:rFonts w:hint="default" w:ascii="Times New Roman" w:hAnsi="Times New Roman" w:eastAsia="Times New Roman" w:cs="Times New Roman"/>
                <w:color w:val="auto"/>
                <w:sz w:val="24"/>
                <w:u w:val="none" w:color="auto"/>
                <w:lang w:val="zh-CN" w:eastAsia="zh-CN"/>
              </w:rPr>
              <w:t>SiO</w:t>
            </w:r>
            <w:r>
              <w:rPr>
                <w:rFonts w:hint="default" w:ascii="Times New Roman" w:hAnsi="Times New Roman" w:eastAsia="Times New Roman" w:cs="Times New Roman"/>
                <w:color w:val="auto"/>
                <w:sz w:val="24"/>
                <w:u w:val="none" w:color="auto"/>
                <w:vertAlign w:val="subscript"/>
                <w:lang w:val="zh-CN" w:eastAsia="zh-CN"/>
              </w:rPr>
              <w:t>3</w:t>
            </w:r>
            <w:r>
              <w:rPr>
                <w:rFonts w:hint="default" w:ascii="Times New Roman" w:hAnsi="Times New Roman" w:eastAsia="Times New Roman" w:cs="Times New Roman"/>
                <w:color w:val="auto"/>
                <w:sz w:val="24"/>
                <w:u w:val="none" w:color="auto"/>
                <w:lang w:val="zh-CN" w:eastAsia="zh-CN"/>
              </w:rPr>
              <w:t>+K2SiO</w:t>
            </w:r>
            <w:r>
              <w:rPr>
                <w:rFonts w:hint="default" w:ascii="Times New Roman" w:hAnsi="Times New Roman" w:eastAsia="Times New Roman" w:cs="Times New Roman"/>
                <w:color w:val="auto"/>
                <w:sz w:val="24"/>
                <w:u w:val="none" w:color="auto"/>
                <w:vertAlign w:val="subscript"/>
                <w:lang w:val="zh-CN" w:eastAsia="zh-CN"/>
              </w:rPr>
              <w:t>3</w:t>
            </w:r>
            <w:r>
              <w:rPr>
                <w:rFonts w:hint="default" w:ascii="Times New Roman" w:hAnsi="Times New Roman" w:eastAsia="Times New Roman" w:cs="Times New Roman"/>
                <w:color w:val="auto"/>
                <w:sz w:val="24"/>
                <w:u w:val="none" w:color="auto"/>
                <w:lang w:val="zh-CN" w:eastAsia="zh-CN"/>
              </w:rPr>
              <w:t>+N</w:t>
            </w:r>
            <w:r>
              <w:rPr>
                <w:rFonts w:hint="default" w:ascii="Times New Roman" w:hAnsi="Times New Roman" w:eastAsia="Times New Roman" w:cs="Times New Roman"/>
                <w:color w:val="auto"/>
                <w:sz w:val="24"/>
                <w:u w:val="none" w:color="auto"/>
                <w:vertAlign w:val="subscript"/>
                <w:lang w:val="zh-CN" w:eastAsia="zh-CN"/>
              </w:rPr>
              <w:t>2</w:t>
            </w:r>
            <w:r>
              <w:rPr>
                <w:rFonts w:hint="default" w:ascii="Times New Roman" w:hAnsi="Times New Roman" w:eastAsia="Times New Roman" w:cs="Times New Roman"/>
                <w:color w:val="auto"/>
                <w:sz w:val="24"/>
                <w:u w:val="none" w:color="auto"/>
                <w:lang w:val="zh-CN" w:eastAsia="zh-CN"/>
              </w:rPr>
              <w:t>↑</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drawing>
                <wp:inline distT="0" distB="0" distL="114300" distR="114300">
                  <wp:extent cx="5083810" cy="530225"/>
                  <wp:effectExtent l="0" t="0" r="2540" b="0"/>
                  <wp:docPr id="131" name="ECB019B1-382A-4266-B25C-5B523AA43C14-3"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ECB019B1-382A-4266-B25C-5B523AA43C14-3" descr="wps"/>
                          <pic:cNvPicPr>
                            <a:picLocks noChangeAspect="1"/>
                          </pic:cNvPicPr>
                        </pic:nvPicPr>
                        <pic:blipFill>
                          <a:blip r:embed="rId12"/>
                          <a:srcRect l="5998" t="29332" r="3468" b="17060"/>
                          <a:stretch>
                            <a:fillRect/>
                          </a:stretch>
                        </pic:blipFill>
                        <pic:spPr>
                          <a:xfrm>
                            <a:off x="0" y="0"/>
                            <a:ext cx="5083810" cy="5302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spacing w:before="157" w:beforeLines="50"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zh-CN" w:eastAsia="zh-CN"/>
              </w:rPr>
            </w:pPr>
            <w:r>
              <w:rPr>
                <w:rFonts w:hint="default" w:ascii="Times New Roman" w:hAnsi="Times New Roman" w:eastAsia="宋体" w:cs="Times New Roman"/>
                <w:b/>
                <w:bCs/>
                <w:color w:val="auto"/>
                <w:sz w:val="21"/>
                <w:szCs w:val="21"/>
                <w:u w:val="none" w:color="auto"/>
                <w:lang w:val="zh-CN" w:eastAsia="zh-CN"/>
              </w:rPr>
              <w:t>图2-4  安全气囊引爆原理图</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一般安全气囊打开后体积约60~100L，即氮气量约4.5mol（按100L计），经计算单个安全气囊中NaN</w:t>
            </w:r>
            <w:r>
              <w:rPr>
                <w:rFonts w:hint="default" w:ascii="Times New Roman" w:hAnsi="Times New Roman" w:eastAsia="Times New Roman" w:cs="Times New Roman"/>
                <w:color w:val="auto"/>
                <w:sz w:val="24"/>
                <w:u w:val="none" w:color="auto"/>
                <w:vertAlign w:val="subscript"/>
                <w:lang w:val="zh-CN" w:eastAsia="zh-CN"/>
              </w:rPr>
              <w:t>3</w:t>
            </w:r>
            <w:r>
              <w:rPr>
                <w:rFonts w:hint="default" w:ascii="Times New Roman" w:hAnsi="Times New Roman" w:eastAsia="Times New Roman" w:cs="Times New Roman"/>
                <w:color w:val="auto"/>
                <w:sz w:val="24"/>
                <w:u w:val="none" w:color="auto"/>
                <w:lang w:val="zh-CN" w:eastAsia="zh-CN"/>
              </w:rPr>
              <w:t>的含量约3mol，即195g。叠氮化钠一经引爆分解非常完全，不会剩余。</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本项目安全气囊引爆室未完全密封，引爆过程中产生的氮气量小，氮气通过箱体缝隙进入大气环境，安全气囊引爆过程引爆室内压力变化不大，对环境的冲击小。</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此环节产生S2废安全气囊、N噪声、G1安全气囊引爆废气。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3）收集废油液、拆除油箱和滤清器</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项目采用废油液抽取机（油泵）将各类废油液（汽油、柴油、机油、润滑油、制动液、防冻剂等），分别抽至专用容器内，各种废油液的排空率大于90%。收集的柴油和废机油转移至危废暂存间内柴油储罐及废机油储罐内暂存，其他废油液采用专用容器，密闭储存于危废暂存间内，收集的汽柴油用于厂区车辆自用，其他废油液定期交由有资质的单位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报废汽车中主要存在以下几种废油、废液：</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①机油：降低发动机摩擦，减缓磨损，储存于发动机内，呈油状；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②润滑油：减少摩擦，润滑汽车零部件，一般位于变速器、差速器内，呈油状；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③汽油、柴油：传统机动车的动力燃料，储存于油箱内，呈油状；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④制动液（刹车油）：传递刹车的压力，其储液罐位于刹车助力泵上面，主要成分为润滑剂（乙二醇等）、稀释剂（二甘醇醚等）和添加剂（抗氧剂等）组成，呈油状；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⑤冷却液（防冻剂、水箱水）：防冻剂沸点高，一般在120℃，而冰点则达到-60℃至-40℃，可以有效防止车辆开锅，并且在冬季可防止因结冰所造成的水箱或散热器损坏，主要成分为乙二醇、防腐剂等，呈液态。</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废油液的收集、排空均在拆解车间预处理区内完成，拆解车间地面均进行防渗处理，地面并使用吸油毡吸附收集跑冒滴漏油液。废油液采用油泵抽取，排空率高，且防滴漏效果好，少量跑冒滴漏的废油液采用接油盘收集，并转移至相应容器内。车间地面油污清理定期拖洗。</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待报废燃油汽车油箱内汽油或柴油收集完毕后，拆除油箱，拆除滤清器。抽取完汽油、柴油的油箱转入车架切割打包区切割后作为废金属处理。汽车中滤清器包括机油滤清器，燃油滤清器，空气滤清器和空调滤清器。机油滤清器和燃油滤清器含有废油，因此作为危险固废送有资质的单位进行处置。空气滤清器和空调滤清器作为一般工业固废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此环节产生S3废油液（机油、润滑油、液压油、制动液等）、S4燃料油（汽柴油）、S5废有机溶剂与含有机溶剂废物、S6油箱、S7滤清器、S8抹布手套/吸油毡、N噪声、G2废油液挥发有机废气。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4）收集汽车空调制冷剂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项目采用专用的冷媒回收机抽取空调系统中的制冷剂（R134a等）至专用的密闭容器（制冷剂储罐），收集的制冷剂暂存于危废暂存间，定期交由资质单位处置。不同类型制冷剂分别回收、使用专门容器单独存放。</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此环节产生S9废空调制冷剂、N噪声、G3制冷剂废气。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5）拆除催化器、电容器</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拆除尾气净化装置（含催化剂）、含多氯联苯的电容器，拆除后整个直接送至危废暂存间内，分区储存，不再进行拆解。定期送资质单位进行处置。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此环节产生S10拆除尾气净化装置（含催化剂）、S11含多氯联苯的电容器、N噪声。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6）拆除电器部件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人工拆除各种电子电器部件，包括仪表盘、音响、车载电台电话、电子导航设备、电动机、发电机、电线电缆以及其他电子电器。</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电器部件中电线和塑料件作为一般固废外售废品收购站，废电路板、含铅部件（如二极管、电阻、印刷电路板、电子元件等）、含汞部件（温控器、传感器、汽车前后灯等）、含六价铬部件及含镉部件等均属于危险废物，采用专用容器盛装后，暂存于危险废物暂存间内，最终交资质单位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此环节产生S12废电线、S13废电路板、S14废有毒物质部件、N噪声。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厂区内不设清洗点，车辆及拆解的零部件均不清洗，含油零部件、油箱、油管等采用一次性抹布擦拭，抹布不清洗，作为危险废物交由资质单位处置。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（4）拆解加工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经预处理后的报废汽车，通过叉车或行车转至拆解区进行拆解。拆解方式以机械为主，人工为辅。报废汽车预处理后，利用液压剪将车体解体。对于轴承、活塞、离合器、电子部件等采用扳手、锤子、钳子等手动工具拆解。从报废汽车拆除的零部件或材料应首先考虑再利用，可利用零部件单独收集和暂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报废的大型客、货车及其他营运车辆按照国家有关规定在公安机关、交通管理部门的监督下解体。</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项目按照《报废机动车拆解企业污染控制技术规范》（HJ348-2022）和《报废机动车回收拆解企业技术规范》（GB22128-2019）规定，拆解流程如下：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1）拆除玻璃</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玻璃经收集后外售玻璃厂。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此环节产生S15废玻璃、N噪声。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2）拆除车轮、轮毂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轮胎和备胎的轮部分大多为塑料材料，经收集后外售废轮胎回收公司或废橡胶回收公司，轮毂为废钢铁，暂存待售。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此环节产生S16废钢铁（轮毂等）、S17废橡胶（车胎）、N噪声。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3）拆除车门、内饰、座椅</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车门经切割后外售废钢铁回收公司，汽车座椅和内饰作为一般工业固废处理。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此环节产生S16废钢铁（车门等）、S17废橡胶、S18废塑料、N噪声。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4）拆除含铅、汞、铬等有害物质部件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拆除含铅、汞、铬等有害物质部件。其中大部分含有铅、汞部件主要在电子器件中，已在预处理工序中回收，此阶段回收余下的或未清理完全的。回收的含铅、汞、镐、铬部件均属危险废物，采用专用容器盛装后，暂存于危险废物暂存间内，最终交资质单位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此环节产生S14废有毒物质部件、N噪声。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5）拆除消声器、转向锁总成、停车装置、倒车雷达及电子控制模块</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该部分经收集后外售回收公司。</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此环节产生S19不可用零部件、N噪声。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6）拆除含铜、铝、镁等有色金属部件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拆除能有效回收的含铜、铝、镁等有色金属部件，该部分经收集后外售废金属回收公司。</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此环节产生S17废橡胶、S20有色金属、N噪声。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7）拆除能有效回收的大型塑料件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拆除能有效回收的大型塑料件保险杠、仪表板、液体容器等，该部分经收集后外售废塑料回收公司。</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此环节产生S18废塑料（保险杠、仪表板、液体容器等）、N噪声。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8）拆除橡胶制品件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该部分经收集后外售废橡胶回收公司。</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此环节产生S17废橡胶（车胎）、N噪声。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9）拆除五大总成及零部件、总成精细拆除</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将初步拆解后产生的报废汽车各机械总成进行零部件和附件的精细拆解加工。通过精细拆解，能够获得大量的总成零部件，为再生零部件制造提供原材料。机械总成的体积较小，其机械构造较复杂。本项目根据各机械总成的组成和特点，在车间内设置精细拆解平台，采用人工精细拆解，拆解过程中采用抹布对总成零部件表面机油进行擦拭。</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此环节产生S3废油液、S8抹布手套、S16废钢铁、N噪声。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10）车架切割及打包</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采用剪切机及切割机进行切割，切割后的废钢铁采用打包机打包后转运至一般产品库房暂存待售。本项目不对车架进行精细拆解加工。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此环节产生S16废钢铁、N噪声、G4粉尘。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（5）暂存和管理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1）使用各种专用密闭容器暂存废液，防止挥发，并交给资质单位回收处理。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2）拆下的可再利用零部件在室内暂存。尺寸较大的废钢铁切割分段。</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3）对暂存的各种零部件、材料、废弃物的容器进行标识，避免混合、混放。</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4）对拆解后的所有的零部件、材料、废弃物进行分类暂存和标识，含有害物质的部件应标明有害物质的种类。</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5）容器和装置要防漏和防止洒溅，未引爆安全气囊的暂存装置应防爆，并对其进行日常性检查。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6）拆解后废弃物的暂存应严格按照GB18599和GB18597要求执行。</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7）固体废弃物应交给符合国家相关标准的废物处理单位处理，不得非法转移.倾倒、利用、处置。危险废物储存时间不超过一年，危险废物应交由具有相应资质的单位进行处理处置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8）废弃电器、铅酸蓄电池贮存场地不得有明火。</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b/>
                <w:bCs/>
                <w:color w:val="auto"/>
                <w:sz w:val="24"/>
                <w:u w:val="none" w:color="auto"/>
                <w:lang w:val="zh-CN" w:eastAsia="zh-CN"/>
              </w:rPr>
            </w:pPr>
            <w:r>
              <w:rPr>
                <w:rFonts w:hint="default" w:ascii="Times New Roman" w:hAnsi="Times New Roman" w:eastAsia="Times New Roman" w:cs="Times New Roman"/>
                <w:b/>
                <w:bCs/>
                <w:color w:val="auto"/>
                <w:sz w:val="24"/>
                <w:u w:val="none" w:color="auto"/>
                <w:lang w:val="zh-CN" w:eastAsia="zh-CN"/>
              </w:rPr>
              <w:t>3、报废新能源汽车拆解工艺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报废新能源汽车拆解工艺详见图2-5。</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jc w:val="center"/>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drawing>
                <wp:inline distT="0" distB="0" distL="114300" distR="114300">
                  <wp:extent cx="4719320" cy="5708650"/>
                  <wp:effectExtent l="0" t="0" r="0" b="0"/>
                  <wp:docPr id="132" name="ECB019B1-382A-4266-B25C-5B523AA43C14-4" descr="C:/Users/Administrator/AppData/Local/Temp/wps.Ahepab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ECB019B1-382A-4266-B25C-5B523AA43C14-4" descr="C:/Users/Administrator/AppData/Local/Temp/wps.Ahepabwps"/>
                          <pic:cNvPicPr>
                            <a:picLocks noChangeAspect="1"/>
                          </pic:cNvPicPr>
                        </pic:nvPicPr>
                        <pic:blipFill>
                          <a:blip r:embed="rId13"/>
                          <a:srcRect l="5701" t="3767" r="5665" b="3695"/>
                          <a:stretch>
                            <a:fillRect/>
                          </a:stretch>
                        </pic:blipFill>
                        <pic:spPr>
                          <a:xfrm>
                            <a:off x="0" y="0"/>
                            <a:ext cx="4719320" cy="57086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spacing w:before="157" w:beforeLines="50"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zh-CN" w:eastAsia="zh-CN"/>
              </w:rPr>
            </w:pPr>
            <w:r>
              <w:rPr>
                <w:rFonts w:hint="default" w:ascii="Times New Roman" w:hAnsi="Times New Roman" w:eastAsia="宋体" w:cs="Times New Roman"/>
                <w:b/>
                <w:bCs/>
                <w:color w:val="auto"/>
                <w:sz w:val="21"/>
                <w:szCs w:val="21"/>
                <w:u w:val="none" w:color="auto"/>
                <w:lang w:val="zh-CN" w:eastAsia="zh-CN"/>
              </w:rPr>
              <w:t>图2-5  报废新能源汽车拆解工艺流程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（1）检查和登记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报废新能源汽车进厂后，人工检查报废汽车油液泄漏情况，如有漏油液现象，立即将报废新能源汽车转移至拆解车间预处理区，使用废油抽取机和冷媒回收机等设备对废油液进行回收，废油液回收完毕后立即转移至拆解区安排拆解，不得在室外贮存，以此减少跑、冒、滴、漏。检查动力蓄电池和驱动电机等部件的密封、破损情况，对于存在漏电风险的，采取措施进行绝缘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报废电动汽车检查和登记与报废燃油汽车的工艺流程完全一致，详见前文。</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（2）报废电动汽车暂存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报废电动汽车贮存要求在报废燃油燃气汽车贮存要求的基础上，增加了3条贮存要求，具体如下：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1）电动汽车在动力蓄电池未拆卸前不应叠放。</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2）电动汽车在动力蓄电池未拆卸前应单独贮存，并采取防火、防水、绝缘、隔热等安全保障措施。</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3）电动汽车中的事故车以及发生动力蓄电池破损的车辆应隔离贮存。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（3）拆解预处理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报废电动汽车的拆解预处理主要包括拆预处理前安全检查、拆除及引爆安全气囊、拆除电容器、收集车内废油液、收集汽车空凋制冷剂及拆除电器部件。具体流程如下：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1）预处理前安全检查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报废电动汽车动力电池普遍带电，进行拆解预处理及拆解前需进行如下安全检查。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①检查车身有无漏液、有无带电；</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②检查动力蓄电池布局和安装位置，确认诊断接口是否完好；</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③对动力蓄电池电压、温度等参数进行检测，评估其安全状态；</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④断开动力蓄电池高压回路；</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⑤在室内或有防雨顶棚的拆解预处理平台上使用防静电工具排空存留在车内的废液</w:t>
            </w:r>
            <w:r>
              <w:rPr>
                <w:rFonts w:hint="eastAsia" w:eastAsia="Times New Roman" w:cs="Times New Roman"/>
                <w:color w:val="auto"/>
                <w:sz w:val="24"/>
                <w:u w:val="none" w:color="auto"/>
                <w:lang w:val="zh-CN" w:eastAsia="zh-CN"/>
              </w:rPr>
              <w:t>，</w:t>
            </w:r>
            <w:r>
              <w:rPr>
                <w:rFonts w:hint="default" w:ascii="Times New Roman" w:hAnsi="Times New Roman" w:eastAsia="Times New Roman" w:cs="Times New Roman"/>
                <w:color w:val="auto"/>
                <w:sz w:val="24"/>
                <w:u w:val="none" w:color="auto"/>
                <w:lang w:val="zh-CN" w:eastAsia="zh-CN"/>
              </w:rPr>
              <w:t>并使用专用容器分类回收；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⑥使用防静电设备回收电动汽车空调制冷剂。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动力蓄电池拆卸技术要求：</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①拆卸动力蓄电池阻挡部件，如引擎盖、行李箱盖、车门等；</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②断开电压线束（电缆），拆卸不同安装位置的动力蓄电池；</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③收集采用液冷结构方式散热的动力蓄电池包（组）内的冷却液；</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④对拆卸下的动力蓄电池线束接头、正负极片等外露线束和金属物进行绝缘处理，并在其明显位置处贴上标签，标明绝缘状况；</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⑤收集驱动电机总成内残余冷却液后，拆除驱动电机。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2）收集报废电动汽车内废油液、收集拆除并引爆安全气囊、拆除电器部件。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报废电动汽车的废油液收集、安全气囊拆除引爆及电器部件拆除过程均与报废燃油汽车一致，详见报废燃油汽车废油液收集、空凋制冷剂收集、安全气囊拆除引爆及电器部件拆除工艺。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2废安全气囊、S3废油液、S5废有机溶剂与含有机溶剂废物、S7滤清器、S8抹布手套、S9废空调制冷剂、S11含多氯联苯的电容器、S12废电线、S13废电路板、S14废有毒物质部件、S21废动力蓄电池、G1安全气囊引爆废气、G2废油液挥发有机废气、G3制冷剂废气、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厂区内不设清洗点，车辆及拆解的零部件均不清洗，含油零部件等采用一次性抹布擦拭，抹布不清洗，作为危险废物交由资质单位处理。车间地面定期拖洗。</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（4）拆解加工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除拆除动力蓄电池并收集蓄电池内冷却液外，其余工序均与报废燃油汽车一致。项目不对电动汽车的驱动电机进行精拆，经收集贮存后由相关厂家进行回收。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动力蓄电池的拆卸时，需拆解动力蓄电池阻挡部件，如引擎盖、行李箱盖、车门等，然后断开电压线束，拆除不同位置的动力蓄电池，收集采用液冷结构方式散热的动力蓄电池包内的冷却液：对拆除的动力蓄电线束接头、正负极片等外露线束和金属物进行绝缘处理，并贴上标签，标明绝缘状况。然后拆除驱动电机残余的冷却液，拆除驱动电机。</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此环节产生S14废有毒物质部件、S15废玻璃、S16废钢铁、S17废橡胶、S18废塑料、S19不可用零部件、S20有色金属、G4粉尘、N噪声。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eastAsia" w:eastAsia="Times New Roman" w:cs="Times New Roman"/>
                <w:color w:val="auto"/>
                <w:sz w:val="24"/>
                <w:u w:val="wave" w:color="auto"/>
                <w:lang w:val="zh-CN" w:eastAsia="zh-CN"/>
              </w:rPr>
              <w:t>（</w:t>
            </w:r>
            <w:r>
              <w:rPr>
                <w:rFonts w:hint="eastAsia" w:eastAsia="Times New Roman" w:cs="Times New Roman"/>
                <w:color w:val="auto"/>
                <w:sz w:val="24"/>
                <w:u w:val="wave" w:color="auto"/>
                <w:lang w:val="en-US" w:eastAsia="zh-CN"/>
              </w:rPr>
              <w:t>5</w:t>
            </w:r>
            <w:r>
              <w:rPr>
                <w:rFonts w:hint="eastAsia" w:eastAsia="Times New Roman" w:cs="Times New Roman"/>
                <w:color w:val="auto"/>
                <w:sz w:val="24"/>
                <w:u w:val="wave" w:color="auto"/>
                <w:lang w:val="zh-CN" w:eastAsia="zh-CN"/>
              </w:rPr>
              <w:t>）厂内物料转运方式</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本项目厂内物料转运采用机械化为主、人工辅助方式，报废汽车整车及大件拆解物料通过叉车、牵引车、起重机等设备转运，小件分类物料装入密闭料箱、周转箱后由叉车或手推车转运，废油液、废蓄电池等危险废物采用专用密闭容器、防渗漏托盘并沿专用通道转运，易扬尘及一般固废实行密闭或覆盖转运；转运路线依托硬化路面实行人车分流、货流分流，全程落实防雨、防渗、防扬尘及防泄漏等环保安全措施，确保物料转运规范有序、无二次污染。</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w:t>
            </w:r>
            <w:r>
              <w:rPr>
                <w:rFonts w:hint="eastAsia" w:eastAsia="Times New Roman" w:cs="Times New Roman"/>
                <w:color w:val="auto"/>
                <w:sz w:val="24"/>
                <w:u w:val="wave" w:color="auto"/>
                <w:lang w:val="en-US" w:eastAsia="zh-CN"/>
              </w:rPr>
              <w:t>6</w:t>
            </w:r>
            <w:r>
              <w:rPr>
                <w:rFonts w:hint="default" w:ascii="Times New Roman" w:hAnsi="Times New Roman" w:eastAsia="Times New Roman" w:cs="Times New Roman"/>
                <w:color w:val="auto"/>
                <w:sz w:val="24"/>
                <w:u w:val="wave" w:color="auto"/>
                <w:lang w:val="zh-CN" w:eastAsia="zh-CN"/>
              </w:rPr>
              <w:t>）贮存和管理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eastAsia" w:eastAsia="Times New Roman" w:cs="Times New Roman"/>
                <w:color w:val="auto"/>
                <w:sz w:val="24"/>
                <w:u w:val="wave" w:color="auto"/>
                <w:lang w:val="en-US" w:eastAsia="zh-CN"/>
              </w:rPr>
              <w:t>1）</w:t>
            </w:r>
            <w:r>
              <w:rPr>
                <w:rFonts w:hint="default" w:ascii="Times New Roman" w:hAnsi="Times New Roman" w:eastAsia="Times New Roman" w:cs="Times New Roman"/>
                <w:color w:val="auto"/>
                <w:sz w:val="24"/>
                <w:u w:val="wave" w:color="auto"/>
                <w:lang w:val="zh-CN" w:eastAsia="zh-CN"/>
              </w:rPr>
              <w:t>各种零部件和材料都应以恰当的方式拆除和隔离。拆解时应避免损伤或污染再利用零件和可回收材料。对拆解后的所有的零部件、材料、废弃物进行分类存储和标识，含有害物质的部件应标明有害物质的种类。</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2）对存储的各种零部件、材料、废弃物的容器进行标识，避免混合、混放。拆下的可再利用零部件应在室内存储。</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3）容器和装置要防漏和防止洒溅，拆解下来的安全气囊应该及时引爆，未引爆安全气囊的存储装置应防爆，并对其进行日常性检查。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4）发动机分离工作区域四周设有集油沟，拆解过程产生的废机油通过之后再用泵抽至200L规格的专用油桶中并暂存在危险废物暂存仓内，发生事故时产生的含油废水，经沟导入车间事故应急池内进行暂存</w:t>
            </w:r>
            <w:r>
              <w:rPr>
                <w:rFonts w:hint="eastAsia" w:eastAsia="Times New Roman" w:cs="Times New Roman"/>
                <w:color w:val="auto"/>
                <w:sz w:val="24"/>
                <w:u w:val="wave" w:color="auto"/>
                <w:lang w:val="zh-CN" w:eastAsia="zh-CN"/>
              </w:rPr>
              <w:t>。</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5）废油液经油液排放系统抽出来后用专用200L规格的油桶进行分类收集储存，不同的油类液体分不同的油桶(铁桶)密封存放，并在桶身标明油类名称；制冷剂回收装置配备不同的储存容器对不同的制冷剂进行分类回收，汽车空调制冷剂由专业人员采用特制的回收装置整体抽走收集后统一用钢瓶密封存放，基本无外排。</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6）存留在报废汽车中的各种废液应抽空并分类回收，各种废液的排空率应不低于90%。使用各种专用密闭容器存储抽出来的废油液，防止挥发，并交给有资质单位进行安全处置。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7）加强生产管理，设备选型上优先选用低噪音设备，对高噪音设备进行重点治理，加强噪声设备的维护管理，采取多种隔声降噪措施将生产噪声影响控制在可接受范围内。</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8）固体废弃物应交给符合国家相关标准的废物处理单位处理，不得焚烧丢弃。其他危险废物应交由具有相应资质的单位进行处理处置。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9）各种废弃物的存储时间一般不超过一年。根据企业提供的资料，拆解过程产生的各类固废回收处置周期为1次/周，暂存时间最长不超过20天。项目内设一个1</w:t>
            </w:r>
            <w:r>
              <w:rPr>
                <w:rFonts w:hint="eastAsia" w:eastAsia="Times New Roman" w:cs="Times New Roman"/>
                <w:color w:val="auto"/>
                <w:sz w:val="24"/>
                <w:u w:val="wave" w:color="auto"/>
                <w:lang w:val="en-US" w:eastAsia="zh-CN"/>
              </w:rPr>
              <w:t>0</w:t>
            </w:r>
            <w:r>
              <w:rPr>
                <w:rFonts w:hint="default" w:ascii="Times New Roman" w:hAnsi="Times New Roman" w:eastAsia="Times New Roman" w:cs="Times New Roman"/>
                <w:color w:val="auto"/>
                <w:sz w:val="24"/>
                <w:u w:val="wave" w:color="auto"/>
                <w:lang w:val="zh-CN" w:eastAsia="zh-CN"/>
              </w:rPr>
              <w:t>0m</w:t>
            </w:r>
            <w:r>
              <w:rPr>
                <w:rFonts w:hint="default" w:ascii="Times New Roman" w:hAnsi="Times New Roman" w:eastAsia="Times New Roman" w:cs="Times New Roman"/>
                <w:color w:val="auto"/>
                <w:sz w:val="24"/>
                <w:u w:val="wave" w:color="auto"/>
                <w:vertAlign w:val="superscript"/>
                <w:lang w:val="zh-CN" w:eastAsia="zh-CN"/>
              </w:rPr>
              <w:t>2</w:t>
            </w:r>
            <w:r>
              <w:rPr>
                <w:rFonts w:hint="default" w:ascii="Times New Roman" w:hAnsi="Times New Roman" w:eastAsia="Times New Roman" w:cs="Times New Roman"/>
                <w:color w:val="auto"/>
                <w:sz w:val="24"/>
                <w:u w:val="wave" w:color="auto"/>
                <w:lang w:val="zh-CN" w:eastAsia="zh-CN"/>
              </w:rPr>
              <w:t>的危险废物暂存仓，危险废物暂存仓内设4个独立的隔间，分别存放①废油液和废燃料油、②制冷剂、③废</w:t>
            </w:r>
            <w:r>
              <w:rPr>
                <w:rFonts w:hint="eastAsia" w:eastAsia="Times New Roman" w:cs="Times New Roman"/>
                <w:color w:val="auto"/>
                <w:sz w:val="24"/>
                <w:u w:val="wave" w:color="auto"/>
                <w:lang w:val="zh-CN" w:eastAsia="zh-CN"/>
              </w:rPr>
              <w:t>铅</w:t>
            </w:r>
            <w:r>
              <w:rPr>
                <w:rFonts w:hint="default" w:ascii="Times New Roman" w:hAnsi="Times New Roman" w:eastAsia="Times New Roman" w:cs="Times New Roman"/>
                <w:color w:val="auto"/>
                <w:sz w:val="24"/>
                <w:u w:val="wave" w:color="auto"/>
                <w:lang w:val="zh-CN" w:eastAsia="zh-CN"/>
              </w:rPr>
              <w:t>蓄电池、④废尾气净化装置、电容器、沾染上油污的手套、抹布、油水分离产生的油泥/渣等。因此拆解预处理过程中拆解下来的废</w:t>
            </w:r>
            <w:r>
              <w:rPr>
                <w:rFonts w:hint="eastAsia" w:eastAsia="Times New Roman" w:cs="Times New Roman"/>
                <w:color w:val="auto"/>
                <w:sz w:val="24"/>
                <w:u w:val="wave" w:color="auto"/>
                <w:lang w:val="zh-CN" w:eastAsia="zh-CN"/>
              </w:rPr>
              <w:t>铅</w:t>
            </w:r>
            <w:r>
              <w:rPr>
                <w:rFonts w:hint="default" w:ascii="Times New Roman" w:hAnsi="Times New Roman" w:eastAsia="Times New Roman" w:cs="Times New Roman"/>
                <w:color w:val="auto"/>
                <w:sz w:val="24"/>
                <w:u w:val="wave" w:color="auto"/>
                <w:lang w:val="zh-CN" w:eastAsia="zh-CN"/>
              </w:rPr>
              <w:t>蓄电池、废电容器、汽车尾气净化装置、各种废油液和空调制冷剂经收集后将在危废暂存间内进行分类存放，其中废油液和废燃料油经油液排放系统抽出来后用专用200L规格的铁油桶进行分类收集储存，不同的油类液体分不同的铁油桶密封存放，并在桶身标明油类名称；制冷剂回收装置配备不同的储存容器对不同的制冷剂进行分类回收，汽车空调制冷剂由专业人员采用特制的回收装置整体抽走收集后统一用钢瓶密封存放；废蓄电池、废电容器、尾气净化装置经人工拆除后均存放在专用密闭容器中。预处理过程中，安全气囊拆除并经引爆装置安全引爆后，作为一般固废（主要为尼龙织布）进行外售。预处理过程中产生的污染物主要是废油液、废蓄电池等危险固废、尼龙织布等一般固废和作业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eastAsia" w:eastAsia="Times New Roman" w:cs="Times New Roman"/>
                <w:color w:val="auto"/>
                <w:sz w:val="24"/>
                <w:u w:val="wave" w:color="auto"/>
                <w:lang w:val="zh-CN" w:eastAsia="zh-CN"/>
              </w:rPr>
              <w:t>项目内设</w:t>
            </w:r>
            <w:r>
              <w:rPr>
                <w:rFonts w:hint="eastAsia" w:eastAsia="Times New Roman" w:cs="Times New Roman"/>
                <w:color w:val="auto"/>
                <w:sz w:val="24"/>
                <w:u w:val="wave" w:color="auto"/>
                <w:lang w:val="en-US" w:eastAsia="zh-CN"/>
              </w:rPr>
              <w:t>1个50</w:t>
            </w:r>
            <w:r>
              <w:rPr>
                <w:rFonts w:hint="default" w:ascii="Times New Roman" w:hAnsi="Times New Roman" w:eastAsia="Times New Roman" w:cs="Times New Roman"/>
                <w:color w:val="auto"/>
                <w:sz w:val="24"/>
                <w:u w:val="wave" w:color="auto"/>
                <w:lang w:val="zh-CN" w:eastAsia="zh-CN"/>
              </w:rPr>
              <w:t>m</w:t>
            </w:r>
            <w:r>
              <w:rPr>
                <w:rFonts w:hint="default" w:ascii="Times New Roman" w:hAnsi="Times New Roman" w:eastAsia="Times New Roman" w:cs="Times New Roman"/>
                <w:color w:val="auto"/>
                <w:sz w:val="24"/>
                <w:u w:val="wave" w:color="auto"/>
                <w:vertAlign w:val="superscript"/>
                <w:lang w:val="zh-CN" w:eastAsia="zh-CN"/>
              </w:rPr>
              <w:t>2</w:t>
            </w:r>
            <w:r>
              <w:rPr>
                <w:rFonts w:hint="default" w:ascii="Times New Roman" w:hAnsi="Times New Roman" w:eastAsia="Times New Roman" w:cs="Times New Roman"/>
                <w:color w:val="auto"/>
                <w:sz w:val="24"/>
                <w:u w:val="wave" w:color="auto"/>
                <w:lang w:val="zh-CN" w:eastAsia="zh-CN"/>
              </w:rPr>
              <w:t>的</w:t>
            </w:r>
            <w:r>
              <w:rPr>
                <w:rFonts w:hint="eastAsia" w:eastAsia="Times New Roman" w:cs="Times New Roman"/>
                <w:color w:val="auto"/>
                <w:sz w:val="24"/>
                <w:u w:val="wave" w:color="auto"/>
                <w:lang w:val="zh-CN" w:eastAsia="zh-CN"/>
              </w:rPr>
              <w:t>动力电池暂存间</w:t>
            </w:r>
            <w:r>
              <w:rPr>
                <w:rFonts w:hint="default" w:ascii="Times New Roman" w:hAnsi="Times New Roman" w:eastAsia="Times New Roman" w:cs="Times New Roman"/>
                <w:color w:val="auto"/>
                <w:sz w:val="24"/>
                <w:u w:val="wave" w:color="auto"/>
                <w:lang w:val="zh-CN" w:eastAsia="zh-CN"/>
              </w:rPr>
              <w:t>，内设</w:t>
            </w:r>
            <w:r>
              <w:rPr>
                <w:rFonts w:hint="eastAsia" w:eastAsia="Times New Roman" w:cs="Times New Roman"/>
                <w:color w:val="auto"/>
                <w:sz w:val="24"/>
                <w:u w:val="wave" w:color="auto"/>
                <w:lang w:val="en-US" w:eastAsia="zh-CN"/>
              </w:rPr>
              <w:t>2</w:t>
            </w:r>
            <w:r>
              <w:rPr>
                <w:rFonts w:hint="default" w:ascii="Times New Roman" w:hAnsi="Times New Roman" w:eastAsia="Times New Roman" w:cs="Times New Roman"/>
                <w:color w:val="auto"/>
                <w:sz w:val="24"/>
                <w:u w:val="wave" w:color="auto"/>
                <w:lang w:val="zh-CN" w:eastAsia="zh-CN"/>
              </w:rPr>
              <w:t>个独立的隔间，分别存放①废三元锂电池、②废旧磷酸铁锂电池</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wave" w:color="auto"/>
                <w:lang w:val="zh-CN" w:eastAsia="zh-CN"/>
              </w:rPr>
            </w:pPr>
            <w:r>
              <w:rPr>
                <w:rFonts w:hint="default" w:ascii="Times New Roman" w:hAnsi="Times New Roman" w:eastAsia="Times New Roman" w:cs="Times New Roman"/>
                <w:color w:val="auto"/>
                <w:sz w:val="24"/>
                <w:u w:val="wave" w:color="auto"/>
                <w:lang w:val="zh-CN" w:eastAsia="zh-CN"/>
              </w:rPr>
              <w:t>备注：为防止危废暂存间液体泄漏物事故情况下溢流出来，建设单位拟在危废暂存间出入口设置缓坡并在仓库内配置沙桶等吸附材料。</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b/>
                <w:bCs/>
                <w:color w:val="auto"/>
                <w:sz w:val="24"/>
                <w:u w:val="none" w:color="auto"/>
                <w:lang w:val="zh-CN" w:eastAsia="zh-CN"/>
              </w:rPr>
            </w:pPr>
            <w:r>
              <w:rPr>
                <w:rFonts w:hint="eastAsia" w:ascii="Times New Roman" w:hAnsi="Times New Roman" w:eastAsia="Times New Roman" w:cs="Times New Roman"/>
                <w:b/>
                <w:bCs/>
                <w:color w:val="auto"/>
                <w:sz w:val="24"/>
                <w:u w:val="none" w:color="auto"/>
                <w:lang w:val="en-US" w:eastAsia="zh-CN"/>
              </w:rPr>
              <w:t>4、</w:t>
            </w:r>
            <w:r>
              <w:rPr>
                <w:rFonts w:hint="default" w:ascii="Times New Roman" w:hAnsi="Times New Roman" w:eastAsia="Times New Roman" w:cs="Times New Roman"/>
                <w:b/>
                <w:bCs/>
                <w:color w:val="auto"/>
                <w:sz w:val="24"/>
                <w:u w:val="none" w:color="auto"/>
                <w:lang w:val="zh-CN" w:eastAsia="zh-CN"/>
              </w:rPr>
              <w:t>报废（燃油和新能源）摩托车拆解工艺流程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报废（燃油和新能源）摩托车拆解工艺流程如下图2-6。</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jc w:val="center"/>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drawing>
                <wp:inline distT="0" distB="0" distL="114300" distR="114300">
                  <wp:extent cx="4752340" cy="3592830"/>
                  <wp:effectExtent l="0" t="0" r="0" b="0"/>
                  <wp:docPr id="133" name="ECB019B1-382A-4266-B25C-5B523AA43C14-5" descr="C:/Users/Administrator/AppData/Local/Temp/wps.EGTcd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ECB019B1-382A-4266-B25C-5B523AA43C14-5" descr="C:/Users/Administrator/AppData/Local/Temp/wps.EGTcdCwps"/>
                          <pic:cNvPicPr>
                            <a:picLocks noChangeAspect="1"/>
                          </pic:cNvPicPr>
                        </pic:nvPicPr>
                        <pic:blipFill>
                          <a:blip r:embed="rId14"/>
                          <a:srcRect l="6446" t="5380" r="4713" b="5349"/>
                          <a:stretch>
                            <a:fillRect/>
                          </a:stretch>
                        </pic:blipFill>
                        <pic:spPr>
                          <a:xfrm>
                            <a:off x="0" y="0"/>
                            <a:ext cx="4752340" cy="35928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spacing w:before="157" w:beforeLines="50"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zh-CN" w:eastAsia="zh-CN"/>
              </w:rPr>
            </w:pPr>
            <w:r>
              <w:rPr>
                <w:rFonts w:hint="default" w:ascii="Times New Roman" w:hAnsi="Times New Roman" w:eastAsia="宋体" w:cs="Times New Roman"/>
                <w:b/>
                <w:bCs/>
                <w:color w:val="auto"/>
                <w:sz w:val="21"/>
                <w:szCs w:val="21"/>
                <w:u w:val="none" w:color="auto"/>
                <w:lang w:val="zh-CN" w:eastAsia="zh-CN"/>
              </w:rPr>
              <w:t>图2-6  报废（燃油和新能源）摩托车拆解工艺流程</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报废（燃油和新能源）摩托车拆解工艺简述：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（1）检查和登记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报废燃油摩托车与报废燃油汽车的工艺流程完全一致，报废新能源摩托车与报废新能源汽车的工艺流程完全一致。</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（2）暂存</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报废燃油摩托车贮存要求与报废燃油汽车贮存要求完全一致，报废新能源摩托车与报废新能源汽车贮存要求完全一致。</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（3）拆解预处理</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报废摩托车的预处理主要包括拆除废铅酸蓄电池（动力蓄电池）、收集车内废油液、拆除油箱及滤清拆除催化器及滤清器和拆除电器部件，报废燃油摩托车拆解预处理过程与报废燃油燃气汽车一致，报废新能源摩托车与报废新能源汽车拆解预处理过程一致。</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此环节产生S1废铅酸蓄电池、S3废油液、S4燃料油、S5废有机溶剂与含有机溶剂废物、S6油箱、S7滤清器、S10废尾气净化装置（含催化剂）、S11含多氯联苯的电容器、S12废电线、S13废电路板、S21动力蓄电池、G2废油液挥发有机气体、N噪声。</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（4）拆解加工</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①拆除传动装置及连接件。</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②拆除变速器以及与其零部件相连的电路、气路管件、油路管件、进气管、排气管。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③拆除前后车轮，并拆下轮胎，链条以及余下的零部件和车架总体。</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④拆除五大总成及零部件、总成精细拆除。</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eastAsia="zh-CN"/>
              </w:rPr>
            </w:pPr>
            <w:r>
              <w:rPr>
                <w:rFonts w:hint="default" w:ascii="Times New Roman" w:hAnsi="Times New Roman" w:eastAsia="Times New Roman" w:cs="Times New Roman"/>
                <w:color w:val="auto"/>
                <w:sz w:val="24"/>
                <w:u w:val="none" w:color="auto"/>
                <w:lang w:val="zh-CN" w:eastAsia="zh-CN"/>
              </w:rPr>
              <w:t>⑤车架切割及打包，采用剪切机及切割机进行切割，切割后的废钢铁采用打包机打包后转运至一般产品库房暂存待售。</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Times New Roman" w:cs="Times New Roman"/>
                <w:color w:val="auto"/>
                <w:sz w:val="24"/>
                <w:u w:val="none" w:color="auto"/>
                <w:lang w:val="zh-CN"/>
              </w:rPr>
            </w:pPr>
            <w:r>
              <w:rPr>
                <w:rFonts w:hint="default" w:ascii="Times New Roman" w:hAnsi="Times New Roman" w:eastAsia="Times New Roman" w:cs="Times New Roman"/>
                <w:color w:val="auto"/>
                <w:sz w:val="24"/>
                <w:u w:val="none" w:color="auto"/>
                <w:lang w:val="zh-CN" w:eastAsia="zh-CN"/>
              </w:rPr>
              <w:t>此环节产生S16废钢铁、S17废橡胶、S19可用零部件、G4粉尘、N噪声。</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u w:val="none"/>
                <w:lang w:val="en-US" w:eastAsia="zh-CN"/>
              </w:rPr>
            </w:pPr>
            <w:r>
              <w:rPr>
                <w:rFonts w:hint="default" w:ascii="Times New Roman" w:hAnsi="Times New Roman" w:eastAsia="宋体" w:cs="Times New Roman"/>
                <w:b/>
                <w:bCs/>
                <w:color w:val="auto"/>
                <w:u w:val="none"/>
                <w:lang w:val="en-US" w:eastAsia="zh-CN"/>
              </w:rPr>
              <w:t>表2-7  项目产污情况一览表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3"/>
              <w:gridCol w:w="735"/>
              <w:gridCol w:w="802"/>
              <w:gridCol w:w="1897"/>
              <w:gridCol w:w="2148"/>
              <w:gridCol w:w="18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u w:val="none" w:color="auto"/>
                      <w:vertAlign w:val="baseline"/>
                      <w:lang w:eastAsia="zh-CN"/>
                    </w:rPr>
                  </w:pPr>
                  <w:r>
                    <w:rPr>
                      <w:rFonts w:hint="default" w:ascii="Times New Roman" w:hAnsi="Times New Roman" w:eastAsia="宋体" w:cs="Times New Roman"/>
                      <w:b/>
                      <w:bCs/>
                      <w:color w:val="auto"/>
                      <w:sz w:val="21"/>
                      <w:szCs w:val="21"/>
                      <w:u w:val="none" w:color="auto"/>
                      <w:vertAlign w:val="baseline"/>
                      <w:lang w:eastAsia="zh-CN"/>
                    </w:rPr>
                    <w:t>序号</w:t>
                  </w:r>
                </w:p>
              </w:tc>
              <w:tc>
                <w:tcPr>
                  <w:tcW w:w="46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u w:val="none" w:color="auto"/>
                      <w:vertAlign w:val="baseline"/>
                      <w:lang w:eastAsia="zh-CN"/>
                    </w:rPr>
                  </w:pPr>
                  <w:r>
                    <w:rPr>
                      <w:rFonts w:hint="default" w:ascii="Times New Roman" w:hAnsi="Times New Roman" w:eastAsia="宋体" w:cs="Times New Roman"/>
                      <w:b/>
                      <w:bCs/>
                      <w:color w:val="auto"/>
                      <w:sz w:val="21"/>
                      <w:szCs w:val="21"/>
                      <w:u w:val="none" w:color="auto"/>
                      <w:vertAlign w:val="baseline"/>
                      <w:lang w:eastAsia="zh-CN"/>
                    </w:rPr>
                    <w:t>类别</w:t>
                  </w: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u w:val="none" w:color="auto"/>
                      <w:vertAlign w:val="baseline"/>
                      <w:lang w:eastAsia="zh-CN"/>
                    </w:rPr>
                  </w:pPr>
                  <w:r>
                    <w:rPr>
                      <w:rFonts w:hint="default" w:ascii="Times New Roman" w:hAnsi="Times New Roman" w:eastAsia="宋体" w:cs="Times New Roman"/>
                      <w:b/>
                      <w:bCs/>
                      <w:color w:val="auto"/>
                      <w:sz w:val="21"/>
                      <w:szCs w:val="21"/>
                      <w:u w:val="none" w:color="auto"/>
                      <w:vertAlign w:val="baseline"/>
                      <w:lang w:eastAsia="zh-CN"/>
                    </w:rPr>
                    <w:t>编号</w:t>
                  </w:r>
                </w:p>
              </w:tc>
              <w:tc>
                <w:tcPr>
                  <w:tcW w:w="119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u w:val="none" w:color="auto"/>
                      <w:vertAlign w:val="baseline"/>
                      <w:lang w:eastAsia="zh-CN"/>
                    </w:rPr>
                  </w:pPr>
                  <w:r>
                    <w:rPr>
                      <w:rFonts w:hint="default" w:ascii="Times New Roman" w:hAnsi="Times New Roman" w:eastAsia="宋体" w:cs="Times New Roman"/>
                      <w:b/>
                      <w:bCs/>
                      <w:color w:val="auto"/>
                      <w:sz w:val="21"/>
                      <w:szCs w:val="21"/>
                      <w:u w:val="none" w:color="auto"/>
                      <w:vertAlign w:val="baseline"/>
                      <w:lang w:eastAsia="zh-CN"/>
                    </w:rPr>
                    <w:t>主要生产单元名称</w:t>
                  </w: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u w:val="none" w:color="auto"/>
                      <w:vertAlign w:val="baseline"/>
                      <w:lang w:eastAsia="zh-CN"/>
                    </w:rPr>
                  </w:pPr>
                  <w:r>
                    <w:rPr>
                      <w:rFonts w:hint="default" w:ascii="Times New Roman" w:hAnsi="Times New Roman" w:eastAsia="宋体" w:cs="Times New Roman"/>
                      <w:b/>
                      <w:bCs/>
                      <w:color w:val="auto"/>
                      <w:sz w:val="21"/>
                      <w:szCs w:val="21"/>
                      <w:u w:val="none" w:color="auto"/>
                      <w:vertAlign w:val="baseline"/>
                      <w:lang w:eastAsia="zh-CN"/>
                    </w:rPr>
                    <w:t>产污环节</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u w:val="none" w:color="auto"/>
                      <w:vertAlign w:val="baseline"/>
                      <w:lang w:eastAsia="zh-CN"/>
                    </w:rPr>
                  </w:pPr>
                  <w:r>
                    <w:rPr>
                      <w:rFonts w:hint="default" w:ascii="Times New Roman" w:hAnsi="Times New Roman" w:eastAsia="宋体" w:cs="Times New Roman"/>
                      <w:b/>
                      <w:bCs/>
                      <w:color w:val="auto"/>
                      <w:sz w:val="21"/>
                      <w:szCs w:val="21"/>
                      <w:u w:val="none" w:color="auto"/>
                      <w:vertAlign w:val="baseline"/>
                      <w:lang w:eastAsia="zh-CN"/>
                    </w:rPr>
                    <w:t>主要污染物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1</w:t>
                  </w:r>
                </w:p>
              </w:tc>
              <w:tc>
                <w:tcPr>
                  <w:tcW w:w="46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废气</w:t>
                  </w: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G1</w:t>
                  </w:r>
                </w:p>
              </w:tc>
              <w:tc>
                <w:tcPr>
                  <w:tcW w:w="1192"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lang w:val="en-US" w:eastAsia="zh-CN"/>
                    </w:rPr>
                    <w:t>引爆安全气囊</w:t>
                  </w: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default" w:ascii="Times New Roman" w:hAnsi="Times New Roman" w:cs="Times New Roman"/>
                      <w:color w:val="auto"/>
                      <w:sz w:val="21"/>
                      <w:szCs w:val="21"/>
                      <w:u w:val="none" w:color="auto"/>
                      <w:lang w:val="en-US" w:eastAsia="zh-CN"/>
                    </w:rPr>
                    <w:t>气囊引爆</w:t>
                  </w:r>
                </w:p>
              </w:tc>
              <w:tc>
                <w:tcPr>
                  <w:tcW w:w="1156" w:type="pct"/>
                  <w:shd w:val="clear" w:color="auto" w:fill="auto"/>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default" w:ascii="Times New Roman" w:hAnsi="Times New Roman" w:eastAsia="宋体" w:cs="Times New Roman"/>
                      <w:b w:val="0"/>
                      <w:bCs w:val="0"/>
                      <w:color w:val="auto"/>
                      <w:kern w:val="0"/>
                      <w:sz w:val="21"/>
                      <w:szCs w:val="21"/>
                      <w:u w:val="none" w:color="auto"/>
                      <w:vertAlign w:val="baseline"/>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2</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kern w:val="0"/>
                      <w:sz w:val="21"/>
                      <w:szCs w:val="21"/>
                      <w:u w:val="none" w:color="auto"/>
                      <w:vertAlign w:val="baseline"/>
                      <w:lang w:val="en-US" w:eastAsia="zh-CN"/>
                    </w:rPr>
                    <w:t>G2</w:t>
                  </w:r>
                </w:p>
              </w:tc>
              <w:tc>
                <w:tcPr>
                  <w:tcW w:w="1192"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lang w:val="en-US" w:eastAsia="zh-CN"/>
                    </w:rPr>
                    <w:t>废油</w:t>
                  </w:r>
                  <w:r>
                    <w:rPr>
                      <w:rFonts w:hint="eastAsia" w:ascii="Times New Roman" w:hAnsi="Times New Roman" w:eastAsia="宋体" w:cs="Times New Roman"/>
                      <w:b w:val="0"/>
                      <w:bCs w:val="0"/>
                      <w:color w:val="auto"/>
                      <w:sz w:val="21"/>
                      <w:szCs w:val="21"/>
                      <w:u w:val="none" w:color="auto"/>
                      <w:lang w:val="en-US" w:eastAsia="zh-CN"/>
                    </w:rPr>
                    <w:t>液挥发</w:t>
                  </w:r>
                </w:p>
              </w:tc>
              <w:tc>
                <w:tcPr>
                  <w:tcW w:w="1350" w:type="pct"/>
                  <w:shd w:val="clear" w:color="auto" w:fill="auto"/>
                  <w:noWrap w:val="0"/>
                  <w:vAlign w:val="center"/>
                </w:tcPr>
                <w:p>
                  <w:pPr>
                    <w:keepNext w:val="0"/>
                    <w:keepLines w:val="0"/>
                    <w:pageBreakBefore w:val="0"/>
                    <w:widowControl w:val="0"/>
                    <w:kinsoku/>
                    <w:wordWrap/>
                    <w:overflowPunct/>
                    <w:topLinePunct w:val="0"/>
                    <w:autoSpaceDE w:val="0"/>
                    <w:autoSpaceDN w:val="0"/>
                    <w:bidi w:val="0"/>
                    <w:adjustRightInd/>
                    <w:snapToGrid w:val="0"/>
                    <w:spacing w:line="360" w:lineRule="exact"/>
                    <w:ind w:left="21" w:leftChars="1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default" w:ascii="Times New Roman" w:hAnsi="Times New Roman" w:eastAsia="宋体" w:cs="Times New Roman"/>
                      <w:color w:val="auto"/>
                      <w:sz w:val="21"/>
                      <w:szCs w:val="21"/>
                      <w:u w:val="none" w:color="auto"/>
                    </w:rPr>
                    <w:t>预处理工序</w:t>
                  </w:r>
                </w:p>
              </w:tc>
              <w:tc>
                <w:tcPr>
                  <w:tcW w:w="1156" w:type="pct"/>
                  <w:shd w:val="clear" w:color="auto" w:fill="auto"/>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default" w:ascii="Times New Roman" w:hAnsi="Times New Roman" w:eastAsia="宋体" w:cs="Times New Roman"/>
                      <w:b w:val="0"/>
                      <w:bCs w:val="0"/>
                      <w:color w:val="auto"/>
                      <w:kern w:val="0"/>
                      <w:sz w:val="21"/>
                      <w:szCs w:val="21"/>
                      <w:u w:val="none" w:color="auto"/>
                      <w:vertAlign w:val="baseline"/>
                      <w:lang w:val="en-US" w:eastAsia="zh-CN"/>
                    </w:rPr>
                    <w:t>非甲烷总统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3</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rPr>
                  </w:pPr>
                </w:p>
              </w:tc>
              <w:tc>
                <w:tcPr>
                  <w:tcW w:w="50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default" w:ascii="Times New Roman" w:hAnsi="Times New Roman" w:eastAsia="宋体" w:cs="Times New Roman"/>
                      <w:b w:val="0"/>
                      <w:bCs w:val="0"/>
                      <w:color w:val="auto"/>
                      <w:kern w:val="0"/>
                      <w:sz w:val="21"/>
                      <w:szCs w:val="21"/>
                      <w:u w:val="none" w:color="auto"/>
                      <w:vertAlign w:val="baseline"/>
                      <w:lang w:val="en-US" w:eastAsia="zh-CN"/>
                    </w:rPr>
                    <w:t>G3</w:t>
                  </w:r>
                </w:p>
              </w:tc>
              <w:tc>
                <w:tcPr>
                  <w:tcW w:w="119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制冷剂逸散</w:t>
                  </w:r>
                </w:p>
              </w:tc>
              <w:tc>
                <w:tcPr>
                  <w:tcW w:w="1350"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60" w:lineRule="exact"/>
                    <w:ind w:left="21" w:leftChars="1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eastAsia" w:ascii="Times New Roman" w:hAnsi="Times New Roman" w:eastAsia="宋体" w:cs="Times New Roman"/>
                      <w:b w:val="0"/>
                      <w:bCs w:val="0"/>
                      <w:color w:val="auto"/>
                      <w:kern w:val="0"/>
                      <w:sz w:val="21"/>
                      <w:szCs w:val="21"/>
                      <w:u w:val="none" w:color="auto"/>
                      <w:vertAlign w:val="baseline"/>
                      <w:lang w:val="en-US" w:eastAsia="zh-CN" w:bidi="ar-SA"/>
                    </w:rPr>
                    <w:t>预处理工序</w:t>
                  </w:r>
                </w:p>
              </w:tc>
              <w:tc>
                <w:tcPr>
                  <w:tcW w:w="1156"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eastAsia" w:ascii="Times New Roman" w:hAnsi="Times New Roman" w:eastAsia="宋体" w:cs="Times New Roman"/>
                      <w:b w:val="0"/>
                      <w:bCs w:val="0"/>
                      <w:color w:val="auto"/>
                      <w:kern w:val="0"/>
                      <w:sz w:val="21"/>
                      <w:szCs w:val="21"/>
                      <w:u w:val="none" w:color="auto"/>
                      <w:vertAlign w:val="baseline"/>
                      <w:lang w:val="en-US" w:eastAsia="zh-CN" w:bidi="ar-SA"/>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4</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rPr>
                  </w:pPr>
                </w:p>
              </w:tc>
              <w:tc>
                <w:tcPr>
                  <w:tcW w:w="50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rPr>
                  </w:pPr>
                  <w:r>
                    <w:rPr>
                      <w:rFonts w:hint="default" w:ascii="Times New Roman" w:hAnsi="Times New Roman" w:eastAsia="宋体" w:cs="Times New Roman"/>
                      <w:b w:val="0"/>
                      <w:bCs w:val="0"/>
                      <w:color w:val="auto"/>
                      <w:kern w:val="0"/>
                      <w:sz w:val="21"/>
                      <w:szCs w:val="21"/>
                      <w:u w:val="none" w:color="auto"/>
                      <w:vertAlign w:val="baseline"/>
                      <w:lang w:val="en-US" w:eastAsia="zh-CN"/>
                    </w:rPr>
                    <w:t>G4</w:t>
                  </w:r>
                </w:p>
              </w:tc>
              <w:tc>
                <w:tcPr>
                  <w:tcW w:w="119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lang w:val="en-US" w:eastAsia="zh-CN"/>
                    </w:rPr>
                    <w:t>切割</w:t>
                  </w:r>
                  <w:r>
                    <w:rPr>
                      <w:rFonts w:hint="eastAsia" w:ascii="Times New Roman" w:hAnsi="Times New Roman" w:eastAsia="宋体" w:cs="Times New Roman"/>
                      <w:b w:val="0"/>
                      <w:bCs w:val="0"/>
                      <w:color w:val="auto"/>
                      <w:sz w:val="21"/>
                      <w:szCs w:val="21"/>
                      <w:u w:val="none" w:color="auto"/>
                      <w:lang w:val="en-US" w:eastAsia="zh-CN"/>
                    </w:rPr>
                    <w:t>、拆解</w:t>
                  </w: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u w:val="none" w:color="auto"/>
                      <w:vertAlign w:val="baseline"/>
                      <w:lang w:val="en-US" w:eastAsia="zh-CN" w:bidi="ar-SA"/>
                    </w:rPr>
                  </w:pPr>
                  <w:r>
                    <w:rPr>
                      <w:rFonts w:hint="eastAsia" w:ascii="Times New Roman" w:hAnsi="Times New Roman" w:eastAsia="宋体" w:cs="Times New Roman"/>
                      <w:color w:val="auto"/>
                      <w:sz w:val="21"/>
                      <w:szCs w:val="21"/>
                      <w:u w:val="none" w:color="auto"/>
                      <w:lang w:val="en-US" w:eastAsia="zh-CN"/>
                    </w:rPr>
                    <w:t>切割、</w:t>
                  </w:r>
                  <w:r>
                    <w:rPr>
                      <w:rFonts w:hint="default" w:ascii="Times New Roman" w:hAnsi="Times New Roman" w:eastAsia="宋体" w:cs="Times New Roman"/>
                      <w:color w:val="auto"/>
                      <w:sz w:val="21"/>
                      <w:szCs w:val="21"/>
                      <w:u w:val="none" w:color="auto"/>
                      <w:lang w:val="en-US" w:eastAsia="zh-CN"/>
                    </w:rPr>
                    <w:t>拆解工序</w:t>
                  </w:r>
                </w:p>
              </w:tc>
              <w:tc>
                <w:tcPr>
                  <w:tcW w:w="1156"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none" w:color="auto"/>
                      <w:vertAlign w:val="baseline"/>
                      <w:lang w:val="en-US" w:eastAsia="zh-CN"/>
                    </w:rPr>
                  </w:pPr>
                  <w:r>
                    <w:rPr>
                      <w:rFonts w:hint="default" w:ascii="Times New Roman" w:hAnsi="Times New Roman" w:eastAsia="宋体" w:cs="Times New Roman"/>
                      <w:b w:val="0"/>
                      <w:bCs w:val="0"/>
                      <w:color w:val="auto"/>
                      <w:kern w:val="0"/>
                      <w:sz w:val="21"/>
                      <w:szCs w:val="21"/>
                      <w:u w:val="none" w:color="auto"/>
                      <w:vertAlign w:val="baseline"/>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5</w:t>
                  </w:r>
                </w:p>
              </w:tc>
              <w:tc>
                <w:tcPr>
                  <w:tcW w:w="46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废水</w:t>
                  </w: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W1</w:t>
                  </w:r>
                </w:p>
              </w:tc>
              <w:tc>
                <w:tcPr>
                  <w:tcW w:w="119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w:t>
                  </w:r>
                </w:p>
              </w:tc>
              <w:tc>
                <w:tcPr>
                  <w:tcW w:w="135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日常生产</w:t>
                  </w:r>
                </w:p>
              </w:tc>
              <w:tc>
                <w:tcPr>
                  <w:tcW w:w="1156" w:type="pct"/>
                  <w:noWrap w:val="0"/>
                  <w:vAlign w:val="center"/>
                </w:tcPr>
                <w:p>
                  <w:pPr>
                    <w:keepNext w:val="0"/>
                    <w:keepLines w:val="0"/>
                    <w:pageBreakBefore w:val="0"/>
                    <w:widowControl w:val="0"/>
                    <w:numPr>
                      <w:ilvl w:val="0"/>
                      <w:numId w:val="0"/>
                    </w:numPr>
                    <w:tabs>
                      <w:tab w:val="left" w:pos="592"/>
                    </w:tabs>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生活污水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6</w:t>
                  </w:r>
                </w:p>
              </w:tc>
              <w:tc>
                <w:tcPr>
                  <w:tcW w:w="46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W2</w:t>
                  </w:r>
                </w:p>
              </w:tc>
              <w:tc>
                <w:tcPr>
                  <w:tcW w:w="119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w:t>
                  </w:r>
                </w:p>
              </w:tc>
              <w:tc>
                <w:tcPr>
                  <w:tcW w:w="1350"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eastAsia" w:ascii="Times New Roman" w:hAnsi="Times New Roman" w:eastAsia="宋体" w:cs="Times New Roman"/>
                      <w:b w:val="0"/>
                      <w:bCs w:val="0"/>
                      <w:color w:val="auto"/>
                      <w:kern w:val="2"/>
                      <w:sz w:val="21"/>
                      <w:szCs w:val="21"/>
                      <w:u w:val="none" w:color="auto"/>
                      <w:lang w:val="en-US" w:eastAsia="zh-CN" w:bidi="ar-SA"/>
                    </w:rPr>
                    <w:t>日常生产</w:t>
                  </w:r>
                </w:p>
              </w:tc>
              <w:tc>
                <w:tcPr>
                  <w:tcW w:w="1156" w:type="pct"/>
                  <w:noWrap w:val="0"/>
                  <w:vAlign w:val="center"/>
                </w:tcPr>
                <w:p>
                  <w:pPr>
                    <w:keepNext w:val="0"/>
                    <w:keepLines w:val="0"/>
                    <w:pageBreakBefore w:val="0"/>
                    <w:widowControl w:val="0"/>
                    <w:numPr>
                      <w:ilvl w:val="0"/>
                      <w:numId w:val="0"/>
                    </w:numPr>
                    <w:tabs>
                      <w:tab w:val="left" w:pos="592"/>
                    </w:tabs>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车间地面拖洗废水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7</w:t>
                  </w:r>
                </w:p>
              </w:tc>
              <w:tc>
                <w:tcPr>
                  <w:tcW w:w="462"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噪声</w:t>
                  </w: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N</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sz w:val="21"/>
                      <w:szCs w:val="21"/>
                      <w:u w:val="none" w:color="auto"/>
                      <w:lang w:val="en-US" w:eastAsia="zh-CN"/>
                    </w:rPr>
                    <w:t>设备噪声</w:t>
                  </w: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日常运营</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8</w:t>
                  </w:r>
                </w:p>
              </w:tc>
              <w:tc>
                <w:tcPr>
                  <w:tcW w:w="462" w:type="pct"/>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固废</w:t>
                  </w: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S1</w:t>
                  </w:r>
                </w:p>
              </w:tc>
              <w:tc>
                <w:tcPr>
                  <w:tcW w:w="119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sz w:val="21"/>
                      <w:szCs w:val="21"/>
                      <w:u w:val="none" w:color="auto"/>
                      <w:lang w:val="en-US" w:eastAsia="zh-CN"/>
                    </w:rPr>
                    <w:t>危险废物</w:t>
                  </w:r>
                </w:p>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拆除电池</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废铅蓄电池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9</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S3</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排空和收集车内液体</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废油液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10</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S4</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排空和收集车内液体</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燃料油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11</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S5</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回收废有机溶剂</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废有机溶剂与含有机溶剂废物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12</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S7</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拆除滤清器</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sz w:val="21"/>
                      <w:szCs w:val="21"/>
                      <w:u w:val="none" w:color="auto"/>
                      <w:vertAlign w:val="baseline"/>
                      <w:lang w:val="en-US" w:eastAsia="zh-CN"/>
                    </w:rPr>
                    <w:t>废</w:t>
                  </w:r>
                  <w:r>
                    <w:rPr>
                      <w:rFonts w:hint="default" w:ascii="Times New Roman" w:hAnsi="Times New Roman" w:eastAsia="宋体" w:cs="Times New Roman"/>
                      <w:b w:val="0"/>
                      <w:bCs w:val="0"/>
                      <w:color w:val="auto"/>
                      <w:sz w:val="21"/>
                      <w:szCs w:val="21"/>
                      <w:u w:val="none" w:color="auto"/>
                      <w:vertAlign w:val="baseline"/>
                      <w:lang w:val="en-US" w:eastAsia="zh-CN"/>
                    </w:rPr>
                    <w:t>滤清器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13</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w:t>
                  </w:r>
                  <w:r>
                    <w:rPr>
                      <w:rFonts w:hint="eastAsia" w:ascii="Times New Roman" w:hAnsi="Times New Roman" w:eastAsia="宋体" w:cs="Times New Roman"/>
                      <w:b w:val="0"/>
                      <w:bCs w:val="0"/>
                      <w:color w:val="auto"/>
                      <w:sz w:val="21"/>
                      <w:szCs w:val="21"/>
                      <w:u w:val="none" w:color="auto"/>
                      <w:vertAlign w:val="baseline"/>
                      <w:lang w:val="en-US" w:eastAsia="zh-CN"/>
                    </w:rPr>
                    <w:t>8</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拆除油箱、滤清器等</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抹布手套/吸油毡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14</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S9</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拆除空调</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废空调制冷剂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15</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S10</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拆除尾气净化装置</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废</w:t>
                  </w:r>
                  <w:bookmarkStart w:id="15" w:name="OLE_LINK8"/>
                  <w:r>
                    <w:rPr>
                      <w:rFonts w:hint="eastAsia" w:ascii="Times New Roman" w:hAnsi="Times New Roman" w:eastAsia="宋体" w:cs="Times New Roman"/>
                      <w:b w:val="0"/>
                      <w:bCs w:val="0"/>
                      <w:color w:val="auto"/>
                      <w:sz w:val="21"/>
                      <w:szCs w:val="21"/>
                      <w:u w:val="none" w:color="auto"/>
                      <w:vertAlign w:val="baseline"/>
                      <w:lang w:val="en-US" w:eastAsia="zh-CN"/>
                    </w:rPr>
                    <w:t>尾气净化装置</w:t>
                  </w:r>
                  <w:bookmarkEnd w:id="15"/>
                  <w:r>
                    <w:rPr>
                      <w:rFonts w:hint="eastAsia" w:ascii="Times New Roman" w:hAnsi="Times New Roman" w:eastAsia="宋体" w:cs="Times New Roman"/>
                      <w:b w:val="0"/>
                      <w:bCs w:val="0"/>
                      <w:color w:val="auto"/>
                      <w:sz w:val="21"/>
                      <w:szCs w:val="21"/>
                      <w:u w:val="none" w:color="auto"/>
                      <w:vertAlign w:val="baseline"/>
                      <w:lang w:val="en-US" w:eastAsia="zh-CN"/>
                    </w:rPr>
                    <w:t>（含催化剂）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16</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S11</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拆除包含有毒物质的部件</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含多氯联苯的电容器</w:t>
                  </w:r>
                  <w:r>
                    <w:rPr>
                      <w:rFonts w:hint="eastAsia" w:ascii="Times New Roman" w:hAnsi="Times New Roman" w:eastAsia="宋体" w:cs="Times New Roman"/>
                      <w:b w:val="0"/>
                      <w:bCs w:val="0"/>
                      <w:color w:val="auto"/>
                      <w:sz w:val="21"/>
                      <w:szCs w:val="21"/>
                      <w:u w:val="none" w:color="auto"/>
                      <w:vertAlign w:val="baseline"/>
                      <w:lang w:val="en-US" w:eastAsia="zh-CN"/>
                    </w:rPr>
                    <w:t>（</w:t>
                  </w:r>
                  <w:r>
                    <w:rPr>
                      <w:rFonts w:hint="default" w:ascii="Times New Roman" w:hAnsi="Times New Roman" w:eastAsia="宋体" w:cs="Times New Roman"/>
                      <w:b w:val="0"/>
                      <w:bCs w:val="0"/>
                      <w:color w:val="auto"/>
                      <w:sz w:val="21"/>
                      <w:szCs w:val="21"/>
                      <w:u w:val="none" w:color="auto"/>
                      <w:vertAlign w:val="baseline"/>
                      <w:lang w:val="en-US" w:eastAsia="zh-CN"/>
                    </w:rPr>
                    <w:t>含汞部件</w:t>
                  </w:r>
                  <w:r>
                    <w:rPr>
                      <w:rFonts w:hint="eastAsia" w:ascii="Times New Roman" w:hAnsi="Times New Roman" w:eastAsia="宋体" w:cs="Times New Roman"/>
                      <w:b w:val="0"/>
                      <w:bCs w:val="0"/>
                      <w:color w:val="auto"/>
                      <w:sz w:val="21"/>
                      <w:szCs w:val="21"/>
                      <w:u w:val="none" w:color="auto"/>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17</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S13</w:t>
                  </w:r>
                </w:p>
              </w:tc>
              <w:tc>
                <w:tcPr>
                  <w:tcW w:w="1192" w:type="pct"/>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拆电路板</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废电路板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18</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S14</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拆解</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kern w:val="2"/>
                      <w:sz w:val="21"/>
                      <w:szCs w:val="21"/>
                      <w:u w:val="none" w:color="auto"/>
                      <w:vertAlign w:val="baseline"/>
                      <w:lang w:val="en-US" w:eastAsia="zh-CN" w:bidi="ar-SA"/>
                    </w:rPr>
                    <w:t>废有毒物质部件</w:t>
                  </w:r>
                  <w:r>
                    <w:rPr>
                      <w:rFonts w:hint="eastAsia" w:ascii="Times New Roman" w:hAnsi="Times New Roman" w:eastAsia="宋体" w:cs="Times New Roman"/>
                      <w:b w:val="0"/>
                      <w:bCs w:val="0"/>
                      <w:color w:val="auto"/>
                      <w:kern w:val="2"/>
                      <w:sz w:val="21"/>
                      <w:szCs w:val="21"/>
                      <w:u w:val="none" w:color="auto"/>
                      <w:vertAlign w:val="baseline"/>
                      <w:lang w:val="en-US" w:eastAsia="zh-CN" w:bidi="ar-SA"/>
                    </w:rPr>
                    <w:t>（</w:t>
                  </w:r>
                  <w:r>
                    <w:rPr>
                      <w:rFonts w:hint="default" w:ascii="Times New Roman" w:hAnsi="Times New Roman" w:eastAsia="宋体" w:cs="Times New Roman"/>
                      <w:b w:val="0"/>
                      <w:bCs w:val="0"/>
                      <w:color w:val="auto"/>
                      <w:sz w:val="21"/>
                      <w:szCs w:val="21"/>
                      <w:u w:val="none" w:color="auto"/>
                      <w:vertAlign w:val="baseline"/>
                      <w:lang w:val="en-US" w:eastAsia="zh-CN"/>
                    </w:rPr>
                    <w:t>含汞部件</w:t>
                  </w:r>
                  <w:r>
                    <w:rPr>
                      <w:rFonts w:hint="eastAsia" w:ascii="Times New Roman" w:hAnsi="Times New Roman" w:eastAsia="宋体" w:cs="Times New Roman"/>
                      <w:b w:val="0"/>
                      <w:bCs w:val="0"/>
                      <w:color w:val="auto"/>
                      <w:kern w:val="2"/>
                      <w:sz w:val="21"/>
                      <w:szCs w:val="21"/>
                      <w:u w:val="none" w:color="auto"/>
                      <w:vertAlign w:val="baseline"/>
                      <w:lang w:val="en-US" w:eastAsia="zh-CN" w:bidi="ar-S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19</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S2</w:t>
                  </w:r>
                </w:p>
              </w:tc>
              <w:tc>
                <w:tcPr>
                  <w:tcW w:w="119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kern w:val="2"/>
                      <w:sz w:val="21"/>
                      <w:szCs w:val="21"/>
                      <w:u w:val="none" w:color="auto"/>
                      <w:lang w:val="en-US" w:eastAsia="zh-CN" w:bidi="ar-SA"/>
                    </w:rPr>
                    <w:t>一般固废</w:t>
                  </w: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拆除引爆安全气囊</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废安全气囊</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20</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S6</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拆除油箱</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油箱</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21</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eastAsia" w:ascii="Times New Roman" w:hAnsi="Times New Roman" w:eastAsia="宋体" w:cs="Times New Roman"/>
                      <w:b w:val="0"/>
                      <w:bCs w:val="0"/>
                      <w:color w:val="auto"/>
                      <w:kern w:val="2"/>
                      <w:sz w:val="21"/>
                      <w:szCs w:val="21"/>
                      <w:u w:val="none" w:color="auto"/>
                      <w:vertAlign w:val="baseline"/>
                      <w:lang w:val="en-US" w:eastAsia="zh-CN" w:bidi="ar-SA"/>
                    </w:rPr>
                    <w:t>S12</w:t>
                  </w:r>
                </w:p>
              </w:tc>
              <w:tc>
                <w:tcPr>
                  <w:tcW w:w="1192" w:type="pct"/>
                  <w:vMerge w:val="continue"/>
                  <w:shd w:val="clear" w:color="auto" w:fill="auto"/>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拆电路板</w:t>
                  </w:r>
                </w:p>
              </w:tc>
              <w:tc>
                <w:tcPr>
                  <w:tcW w:w="1156" w:type="pct"/>
                  <w:shd w:val="clear" w:color="auto" w:fill="auto"/>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废电线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22</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S15</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拆除玻璃</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废玻璃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23</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S16</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拆解</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废钢铁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24</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S17</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拆解</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废橡胶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25</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S18</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拆解</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废塑料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26</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S19</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其他零部件</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不可以零部件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27</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S20</w:t>
                  </w:r>
                </w:p>
              </w:tc>
              <w:tc>
                <w:tcPr>
                  <w:tcW w:w="119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kern w:val="2"/>
                      <w:sz w:val="21"/>
                      <w:szCs w:val="21"/>
                      <w:u w:val="none" w:color="auto"/>
                      <w:lang w:val="en-US" w:eastAsia="zh-CN" w:bidi="ar-SA"/>
                    </w:rPr>
                  </w:pP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拆解</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有色金属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eastAsia" w:ascii="Times New Roman" w:hAnsi="Times New Roman" w:eastAsia="宋体" w:cs="Times New Roman"/>
                      <w:b w:val="0"/>
                      <w:bCs w:val="0"/>
                      <w:color w:val="auto"/>
                      <w:sz w:val="21"/>
                      <w:szCs w:val="21"/>
                      <w:u w:val="none" w:color="auto"/>
                      <w:vertAlign w:val="baseline"/>
                      <w:lang w:val="en-US" w:eastAsia="zh-CN"/>
                    </w:rPr>
                    <w:t>28</w:t>
                  </w:r>
                </w:p>
              </w:tc>
              <w:tc>
                <w:tcPr>
                  <w:tcW w:w="462" w:type="pct"/>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p>
              </w:tc>
              <w:tc>
                <w:tcPr>
                  <w:tcW w:w="504"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u w:val="none" w:color="auto"/>
                      <w:vertAlign w:val="baseline"/>
                      <w:lang w:val="en-US" w:eastAsia="zh-CN"/>
                    </w:rPr>
                  </w:pPr>
                  <w:r>
                    <w:rPr>
                      <w:rFonts w:hint="default" w:ascii="Times New Roman" w:hAnsi="Times New Roman" w:eastAsia="宋体" w:cs="Times New Roman"/>
                      <w:b w:val="0"/>
                      <w:bCs w:val="0"/>
                      <w:color w:val="auto"/>
                      <w:sz w:val="21"/>
                      <w:szCs w:val="21"/>
                      <w:u w:val="none" w:color="auto"/>
                      <w:vertAlign w:val="baseline"/>
                      <w:lang w:val="en-US" w:eastAsia="zh-CN"/>
                    </w:rPr>
                    <w:t>S</w:t>
                  </w:r>
                  <w:r>
                    <w:rPr>
                      <w:rFonts w:hint="eastAsia" w:ascii="Times New Roman" w:hAnsi="Times New Roman" w:eastAsia="宋体" w:cs="Times New Roman"/>
                      <w:b w:val="0"/>
                      <w:bCs w:val="0"/>
                      <w:color w:val="auto"/>
                      <w:sz w:val="21"/>
                      <w:szCs w:val="21"/>
                      <w:u w:val="none" w:color="auto"/>
                      <w:vertAlign w:val="baseline"/>
                      <w:lang w:val="en-US" w:eastAsia="zh-CN"/>
                    </w:rPr>
                    <w:t>21</w:t>
                  </w:r>
                </w:p>
              </w:tc>
              <w:tc>
                <w:tcPr>
                  <w:tcW w:w="119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baseline"/>
                    <w:rPr>
                      <w:rFonts w:hint="default" w:ascii="Times New Roman" w:hAnsi="Times New Roman" w:eastAsia="宋体" w:cs="Times New Roman"/>
                      <w:b w:val="0"/>
                      <w:bCs w:val="0"/>
                      <w:color w:val="auto"/>
                      <w:sz w:val="21"/>
                      <w:szCs w:val="21"/>
                      <w:u w:val="none" w:color="auto"/>
                      <w:lang w:val="en-US" w:eastAsia="zh-CN"/>
                    </w:rPr>
                  </w:pPr>
                  <w:r>
                    <w:rPr>
                      <w:rFonts w:hint="default" w:ascii="Times New Roman" w:hAnsi="Times New Roman" w:eastAsia="宋体" w:cs="Times New Roman"/>
                      <w:b w:val="0"/>
                      <w:bCs w:val="0"/>
                      <w:color w:val="auto"/>
                      <w:sz w:val="21"/>
                      <w:szCs w:val="21"/>
                      <w:u w:val="none" w:color="auto"/>
                      <w:lang w:val="en-US" w:eastAsia="zh-CN"/>
                    </w:rPr>
                    <w:t>生活垃圾</w:t>
                  </w:r>
                </w:p>
              </w:tc>
              <w:tc>
                <w:tcPr>
                  <w:tcW w:w="1350"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员工生活</w:t>
                  </w:r>
                </w:p>
              </w:tc>
              <w:tc>
                <w:tcPr>
                  <w:tcW w:w="115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u w:val="none" w:color="auto"/>
                      <w:vertAlign w:val="baseline"/>
                      <w:lang w:val="en-US" w:eastAsia="zh-CN" w:bidi="ar-SA"/>
                    </w:rPr>
                  </w:pPr>
                  <w:r>
                    <w:rPr>
                      <w:rFonts w:hint="default" w:ascii="Times New Roman" w:hAnsi="Times New Roman" w:eastAsia="宋体" w:cs="Times New Roman"/>
                      <w:b w:val="0"/>
                      <w:bCs w:val="0"/>
                      <w:color w:val="auto"/>
                      <w:sz w:val="21"/>
                      <w:szCs w:val="21"/>
                      <w:u w:val="none" w:color="auto"/>
                      <w:vertAlign w:val="baseline"/>
                      <w:lang w:val="en-US" w:eastAsia="zh-CN"/>
                    </w:rPr>
                    <w:t>生活垃圾</w:t>
                  </w:r>
                </w:p>
              </w:tc>
            </w:tr>
          </w:tbl>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47" w:hRule="atLeast"/>
          <w:jc w:val="center"/>
        </w:trPr>
        <w:tc>
          <w:tcPr>
            <w:tcW w:w="886" w:type="dxa"/>
            <w:noWrap w:val="0"/>
            <w:vAlign w:val="center"/>
          </w:tcPr>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bCs/>
                <w:color w:val="auto"/>
                <w:kern w:val="2"/>
                <w:sz w:val="21"/>
                <w:szCs w:val="21"/>
                <w:u w:val="none"/>
              </w:rPr>
              <w:t>与项目有关的原有环境污染问题</w:t>
            </w:r>
          </w:p>
        </w:tc>
        <w:tc>
          <w:tcPr>
            <w:tcW w:w="817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szCs w:val="24"/>
                <w:u w:val="none"/>
                <w:lang w:val="en-US" w:eastAsia="zh-CN"/>
              </w:rPr>
            </w:pPr>
            <w:r>
              <w:rPr>
                <w:rFonts w:hint="default" w:ascii="Times New Roman" w:hAnsi="Times New Roman" w:cs="Times New Roman"/>
                <w:color w:val="auto"/>
                <w:kern w:val="0"/>
                <w:sz w:val="24"/>
                <w:szCs w:val="24"/>
                <w:u w:val="wave"/>
                <w:lang w:eastAsia="zh-CN"/>
              </w:rPr>
              <w:t>本项目属于新建项目，租用湖南衡利丰陶瓷有限公司现有</w:t>
            </w:r>
            <w:r>
              <w:rPr>
                <w:rFonts w:hint="eastAsia" w:ascii="Times New Roman" w:hAnsi="Times New Roman" w:cs="Times New Roman"/>
                <w:color w:val="auto"/>
                <w:kern w:val="0"/>
                <w:sz w:val="24"/>
                <w:szCs w:val="24"/>
                <w:u w:val="wave"/>
                <w:lang w:eastAsia="zh-CN"/>
              </w:rPr>
              <w:t>闲置</w:t>
            </w:r>
            <w:r>
              <w:rPr>
                <w:rFonts w:hint="default" w:ascii="Times New Roman" w:hAnsi="Times New Roman" w:cs="Times New Roman"/>
                <w:color w:val="auto"/>
                <w:kern w:val="0"/>
                <w:sz w:val="24"/>
                <w:szCs w:val="24"/>
                <w:u w:val="wave"/>
                <w:lang w:eastAsia="zh-CN"/>
              </w:rPr>
              <w:t>厂房进行生产，经现场踏勘，项目厂房为</w:t>
            </w:r>
            <w:bookmarkStart w:id="16" w:name="OLE_LINK18"/>
            <w:r>
              <w:rPr>
                <w:rFonts w:hint="default" w:ascii="Times New Roman" w:hAnsi="Times New Roman" w:cs="Times New Roman"/>
                <w:color w:val="auto"/>
                <w:kern w:val="0"/>
                <w:sz w:val="24"/>
                <w:szCs w:val="24"/>
                <w:u w:val="wave"/>
                <w:lang w:eastAsia="zh-CN"/>
              </w:rPr>
              <w:t>湖南衡利丰陶瓷有限公司</w:t>
            </w:r>
            <w:bookmarkEnd w:id="16"/>
            <w:r>
              <w:rPr>
                <w:rFonts w:hint="default" w:ascii="Times New Roman" w:hAnsi="Times New Roman" w:cs="Times New Roman"/>
                <w:color w:val="auto"/>
                <w:kern w:val="0"/>
                <w:sz w:val="24"/>
                <w:szCs w:val="24"/>
                <w:u w:val="wave"/>
                <w:lang w:eastAsia="zh-CN"/>
              </w:rPr>
              <w:t>闲置厂房，厂房内无生产设施，</w:t>
            </w:r>
            <w:r>
              <w:rPr>
                <w:rFonts w:hint="eastAsia" w:ascii="Times New Roman" w:hAnsi="Times New Roman" w:cs="Times New Roman"/>
                <w:color w:val="auto"/>
                <w:kern w:val="0"/>
                <w:sz w:val="24"/>
                <w:szCs w:val="24"/>
                <w:u w:val="wave"/>
                <w:lang w:eastAsia="zh-CN"/>
              </w:rPr>
              <w:t>无原有污染源，</w:t>
            </w:r>
            <w:r>
              <w:rPr>
                <w:rFonts w:hint="default" w:ascii="Times New Roman" w:hAnsi="Times New Roman" w:cs="Times New Roman"/>
                <w:color w:val="auto"/>
                <w:kern w:val="0"/>
                <w:sz w:val="24"/>
                <w:szCs w:val="24"/>
                <w:u w:val="wave"/>
                <w:lang w:eastAsia="zh-CN"/>
              </w:rPr>
              <w:t>不存在与本项目有关的原有污染情况及历史遗留环境问题。</w:t>
            </w:r>
          </w:p>
        </w:tc>
      </w:tr>
    </w:tbl>
    <w:p>
      <w:pPr>
        <w:pStyle w:val="21"/>
        <w:keepNext w:val="0"/>
        <w:keepLines w:val="0"/>
        <w:pageBreakBefore w:val="0"/>
        <w:kinsoku/>
        <w:wordWrap/>
        <w:overflowPunct/>
        <w:topLinePunct w:val="0"/>
        <w:bidi w:val="0"/>
        <w:adjustRightInd/>
        <w:snapToGrid/>
        <w:jc w:val="center"/>
        <w:rPr>
          <w:rFonts w:hint="default" w:ascii="Times New Roman" w:hAnsi="Times New Roman" w:eastAsia="宋体" w:cs="Times New Roman"/>
          <w:snapToGrid w:val="0"/>
          <w:color w:val="auto"/>
          <w:sz w:val="36"/>
          <w:szCs w:val="36"/>
          <w:u w:val="none"/>
        </w:rPr>
        <w:sectPr>
          <w:pgSz w:w="11905" w:h="16838"/>
          <w:pgMar w:top="1701" w:right="1531" w:bottom="1701" w:left="1531" w:header="851" w:footer="850" w:gutter="0"/>
          <w:pgBorders>
            <w:top w:val="none" w:sz="0" w:space="0"/>
            <w:left w:val="none" w:sz="0" w:space="0"/>
            <w:bottom w:val="none" w:sz="0" w:space="0"/>
            <w:right w:val="none" w:sz="0" w:space="0"/>
          </w:pgBorders>
          <w:cols w:space="720" w:num="1"/>
          <w:rtlGutter w:val="0"/>
          <w:docGrid w:type="lines" w:linePitch="312" w:charSpace="0"/>
        </w:sectPr>
      </w:pPr>
    </w:p>
    <w:p>
      <w:pPr>
        <w:pStyle w:val="21"/>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b/>
          <w:bCs/>
          <w:snapToGrid w:val="0"/>
          <w:color w:val="auto"/>
          <w:sz w:val="30"/>
          <w:szCs w:val="30"/>
          <w:u w:val="none"/>
        </w:rPr>
      </w:pPr>
      <w:r>
        <w:rPr>
          <w:rFonts w:hint="default" w:ascii="Times New Roman" w:hAnsi="Times New Roman" w:eastAsia="宋体" w:cs="Times New Roman"/>
          <w:b/>
          <w:bCs/>
          <w:snapToGrid w:val="0"/>
          <w:color w:val="auto"/>
          <w:sz w:val="30"/>
          <w:szCs w:val="30"/>
          <w:u w:val="none"/>
        </w:rPr>
        <w:t>三、区域环境质量现状、环境保护目标及评价标准</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80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区域</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环境</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质量</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现状</w:t>
            </w:r>
          </w:p>
        </w:tc>
        <w:tc>
          <w:tcPr>
            <w:tcW w:w="81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auto"/>
                <w:kern w:val="0"/>
                <w:sz w:val="24"/>
                <w:szCs w:val="24"/>
                <w:u w:val="none"/>
                <w:lang w:val="en-US" w:eastAsia="zh-CN"/>
              </w:rPr>
            </w:pPr>
            <w:r>
              <w:rPr>
                <w:rFonts w:hint="default" w:ascii="Times New Roman" w:hAnsi="Times New Roman" w:eastAsia="宋体" w:cs="Times New Roman"/>
                <w:b/>
                <w:bCs/>
                <w:color w:val="auto"/>
                <w:kern w:val="0"/>
                <w:sz w:val="24"/>
                <w:szCs w:val="24"/>
                <w:u w:val="none"/>
                <w:lang w:val="en-US" w:eastAsia="zh-CN"/>
              </w:rPr>
              <w:t>1、环境空气现状</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auto"/>
                <w:kern w:val="0"/>
                <w:sz w:val="24"/>
                <w:szCs w:val="24"/>
                <w:u w:val="none"/>
                <w:lang w:val="en-US" w:eastAsia="zh-CN"/>
              </w:rPr>
            </w:pPr>
            <w:r>
              <w:rPr>
                <w:rFonts w:hint="default" w:ascii="Times New Roman" w:hAnsi="Times New Roman" w:eastAsia="宋体" w:cs="Times New Roman"/>
                <w:b/>
                <w:bCs/>
                <w:color w:val="auto"/>
                <w:kern w:val="0"/>
                <w:sz w:val="24"/>
                <w:szCs w:val="24"/>
                <w:u w:val="none"/>
                <w:lang w:val="en-US" w:eastAsia="zh-CN"/>
              </w:rPr>
              <w:t>（1）达标区域判定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根据衡阳市生态环境局《关于202</w:t>
            </w:r>
            <w:r>
              <w:rPr>
                <w:rFonts w:hint="eastAsia" w:ascii="Times New Roman" w:hAnsi="Times New Roman" w:eastAsia="宋体" w:cs="Times New Roman"/>
                <w:b w:val="0"/>
                <w:bCs w:val="0"/>
                <w:color w:val="auto"/>
                <w:kern w:val="0"/>
                <w:sz w:val="24"/>
                <w:szCs w:val="24"/>
                <w:u w:val="none"/>
                <w:lang w:val="en-US" w:eastAsia="zh-CN"/>
              </w:rPr>
              <w:t>5</w:t>
            </w:r>
            <w:r>
              <w:rPr>
                <w:rFonts w:hint="default" w:ascii="Times New Roman" w:hAnsi="Times New Roman" w:eastAsia="宋体" w:cs="Times New Roman"/>
                <w:b w:val="0"/>
                <w:bCs w:val="0"/>
                <w:color w:val="auto"/>
                <w:kern w:val="0"/>
                <w:sz w:val="24"/>
                <w:szCs w:val="24"/>
                <w:u w:val="none"/>
                <w:lang w:val="en-US" w:eastAsia="zh-CN"/>
              </w:rPr>
              <w:t>年12月及1~12月全市环境质量状况的通报》中相关数据进行判定，其判定结果如下：</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default" w:ascii="Times New Roman" w:hAnsi="Times New Roman" w:eastAsia="宋体" w:cs="Times New Roman"/>
                <w:b/>
                <w:bCs/>
                <w:color w:val="auto"/>
                <w:kern w:val="0"/>
                <w:sz w:val="21"/>
                <w:szCs w:val="21"/>
                <w:u w:val="none"/>
                <w:lang w:val="en-US" w:eastAsia="zh-CN"/>
              </w:rPr>
            </w:pPr>
            <w:r>
              <w:rPr>
                <w:rFonts w:hint="default" w:ascii="Times New Roman" w:hAnsi="Times New Roman" w:eastAsia="宋体" w:cs="Times New Roman"/>
                <w:b/>
                <w:bCs/>
                <w:color w:val="auto"/>
                <w:kern w:val="0"/>
                <w:sz w:val="21"/>
                <w:szCs w:val="21"/>
                <w:u w:val="none"/>
                <w:lang w:val="en-US" w:eastAsia="zh-CN"/>
              </w:rPr>
              <w:t>表3-1  区域空气质量现状评价表（单位：ug/m</w:t>
            </w:r>
            <w:r>
              <w:rPr>
                <w:rFonts w:hint="default" w:ascii="Times New Roman" w:hAnsi="Times New Roman" w:eastAsia="宋体" w:cs="Times New Roman"/>
                <w:b/>
                <w:bCs/>
                <w:color w:val="auto"/>
                <w:kern w:val="0"/>
                <w:sz w:val="21"/>
                <w:szCs w:val="21"/>
                <w:u w:val="none"/>
                <w:vertAlign w:val="superscript"/>
                <w:lang w:val="en-US" w:eastAsia="zh-CN"/>
              </w:rPr>
              <w:t>3</w:t>
            </w:r>
            <w:r>
              <w:rPr>
                <w:rFonts w:hint="default" w:ascii="Times New Roman" w:hAnsi="Times New Roman" w:eastAsia="宋体" w:cs="Times New Roman"/>
                <w:b/>
                <w:bCs/>
                <w:color w:val="auto"/>
                <w:kern w:val="0"/>
                <w:sz w:val="21"/>
                <w:szCs w:val="21"/>
                <w:u w:val="none"/>
                <w:lang w:val="en-US" w:eastAsia="zh-CN"/>
              </w:rPr>
              <w:t>）</w:t>
            </w:r>
          </w:p>
          <w:tbl>
            <w:tblPr>
              <w:tblStyle w:val="25"/>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2286"/>
              <w:gridCol w:w="1084"/>
              <w:gridCol w:w="1031"/>
              <w:gridCol w:w="1449"/>
              <w:gridCol w:w="11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b/>
                      <w:bCs/>
                      <w:color w:val="auto"/>
                      <w:kern w:val="0"/>
                      <w:szCs w:val="21"/>
                    </w:rPr>
                  </w:pPr>
                  <w:r>
                    <w:rPr>
                      <w:b/>
                      <w:bCs/>
                      <w:color w:val="auto"/>
                      <w:kern w:val="0"/>
                      <w:szCs w:val="21"/>
                    </w:rPr>
                    <w:t>序号</w:t>
                  </w:r>
                </w:p>
              </w:tc>
              <w:tc>
                <w:tcPr>
                  <w:tcW w:w="1432" w:type="pct"/>
                  <w:noWrap w:val="0"/>
                  <w:vAlign w:val="center"/>
                </w:tcPr>
                <w:p>
                  <w:pPr>
                    <w:jc w:val="center"/>
                    <w:rPr>
                      <w:b/>
                      <w:bCs/>
                      <w:color w:val="auto"/>
                      <w:kern w:val="0"/>
                      <w:szCs w:val="21"/>
                    </w:rPr>
                  </w:pPr>
                  <w:r>
                    <w:rPr>
                      <w:b/>
                      <w:bCs/>
                      <w:color w:val="auto"/>
                      <w:kern w:val="0"/>
                      <w:szCs w:val="21"/>
                    </w:rPr>
                    <w:t>年评价指标</w:t>
                  </w:r>
                </w:p>
              </w:tc>
              <w:tc>
                <w:tcPr>
                  <w:tcW w:w="679" w:type="pct"/>
                  <w:noWrap w:val="0"/>
                  <w:vAlign w:val="center"/>
                </w:tcPr>
                <w:p>
                  <w:pPr>
                    <w:jc w:val="center"/>
                    <w:rPr>
                      <w:b/>
                      <w:bCs/>
                      <w:color w:val="auto"/>
                      <w:kern w:val="0"/>
                      <w:szCs w:val="21"/>
                    </w:rPr>
                  </w:pPr>
                  <w:r>
                    <w:rPr>
                      <w:b/>
                      <w:bCs/>
                      <w:color w:val="auto"/>
                      <w:kern w:val="0"/>
                      <w:szCs w:val="21"/>
                    </w:rPr>
                    <w:t>现状值</w:t>
                  </w:r>
                </w:p>
              </w:tc>
              <w:tc>
                <w:tcPr>
                  <w:tcW w:w="646" w:type="pct"/>
                  <w:noWrap w:val="0"/>
                  <w:vAlign w:val="center"/>
                </w:tcPr>
                <w:p>
                  <w:pPr>
                    <w:jc w:val="center"/>
                    <w:rPr>
                      <w:b/>
                      <w:bCs/>
                      <w:color w:val="auto"/>
                      <w:kern w:val="0"/>
                      <w:szCs w:val="21"/>
                    </w:rPr>
                  </w:pPr>
                  <w:r>
                    <w:rPr>
                      <w:b/>
                      <w:bCs/>
                      <w:color w:val="auto"/>
                      <w:kern w:val="0"/>
                      <w:szCs w:val="21"/>
                    </w:rPr>
                    <w:t>标准值</w:t>
                  </w:r>
                </w:p>
              </w:tc>
              <w:tc>
                <w:tcPr>
                  <w:tcW w:w="907" w:type="pct"/>
                  <w:noWrap w:val="0"/>
                  <w:vAlign w:val="center"/>
                </w:tcPr>
                <w:p>
                  <w:pPr>
                    <w:jc w:val="center"/>
                    <w:rPr>
                      <w:b/>
                      <w:bCs/>
                      <w:color w:val="auto"/>
                      <w:kern w:val="0"/>
                      <w:szCs w:val="21"/>
                    </w:rPr>
                  </w:pPr>
                  <w:r>
                    <w:rPr>
                      <w:b/>
                      <w:bCs/>
                      <w:color w:val="auto"/>
                      <w:kern w:val="0"/>
                      <w:szCs w:val="21"/>
                    </w:rPr>
                    <w:t>占标率（%）</w:t>
                  </w:r>
                </w:p>
              </w:tc>
              <w:tc>
                <w:tcPr>
                  <w:tcW w:w="703" w:type="pct"/>
                  <w:noWrap w:val="0"/>
                  <w:vAlign w:val="center"/>
                </w:tcPr>
                <w:p>
                  <w:pPr>
                    <w:jc w:val="center"/>
                    <w:rPr>
                      <w:b/>
                      <w:bCs/>
                      <w:color w:val="auto"/>
                      <w:kern w:val="0"/>
                      <w:szCs w:val="21"/>
                    </w:rPr>
                  </w:pPr>
                  <w:r>
                    <w:rPr>
                      <w:b/>
                      <w:bCs/>
                      <w:color w:val="auto"/>
                      <w:kern w:val="0"/>
                      <w:szCs w:val="21"/>
                    </w:rPr>
                    <w:t>是否达标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color w:val="auto"/>
                      <w:kern w:val="0"/>
                      <w:szCs w:val="21"/>
                    </w:rPr>
                  </w:pPr>
                  <w:r>
                    <w:rPr>
                      <w:color w:val="auto"/>
                      <w:kern w:val="0"/>
                      <w:szCs w:val="21"/>
                    </w:rPr>
                    <w:t>PM</w:t>
                  </w:r>
                  <w:r>
                    <w:rPr>
                      <w:color w:val="auto"/>
                      <w:kern w:val="0"/>
                      <w:szCs w:val="21"/>
                      <w:vertAlign w:val="subscript"/>
                    </w:rPr>
                    <w:t>10</w:t>
                  </w:r>
                </w:p>
              </w:tc>
              <w:tc>
                <w:tcPr>
                  <w:tcW w:w="1432" w:type="pct"/>
                  <w:noWrap w:val="0"/>
                  <w:vAlign w:val="center"/>
                </w:tcPr>
                <w:p>
                  <w:pPr>
                    <w:jc w:val="center"/>
                    <w:rPr>
                      <w:color w:val="auto"/>
                      <w:kern w:val="0"/>
                      <w:szCs w:val="21"/>
                    </w:rPr>
                  </w:pPr>
                  <w:r>
                    <w:rPr>
                      <w:color w:val="auto"/>
                      <w:kern w:val="0"/>
                      <w:szCs w:val="21"/>
                    </w:rPr>
                    <w:t>年平均质量浓度</w:t>
                  </w:r>
                </w:p>
              </w:tc>
              <w:tc>
                <w:tcPr>
                  <w:tcW w:w="679"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43ug/m</w:t>
                  </w:r>
                  <w:r>
                    <w:rPr>
                      <w:rFonts w:hint="eastAsia"/>
                      <w:color w:val="auto"/>
                      <w:kern w:val="0"/>
                      <w:szCs w:val="21"/>
                      <w:vertAlign w:val="superscript"/>
                      <w:lang w:val="en-US" w:eastAsia="zh-CN"/>
                    </w:rPr>
                    <w:t>3</w:t>
                  </w:r>
                </w:p>
              </w:tc>
              <w:tc>
                <w:tcPr>
                  <w:tcW w:w="646" w:type="pct"/>
                  <w:noWrap w:val="0"/>
                  <w:vAlign w:val="center"/>
                </w:tcPr>
                <w:p>
                  <w:pPr>
                    <w:jc w:val="center"/>
                    <w:rPr>
                      <w:color w:val="auto"/>
                      <w:kern w:val="0"/>
                      <w:szCs w:val="21"/>
                    </w:rPr>
                  </w:pPr>
                  <w:r>
                    <w:rPr>
                      <w:color w:val="auto"/>
                      <w:kern w:val="0"/>
                      <w:szCs w:val="21"/>
                    </w:rPr>
                    <w:t>70</w:t>
                  </w:r>
                  <w:r>
                    <w:rPr>
                      <w:rFonts w:hint="eastAsia"/>
                      <w:color w:val="auto"/>
                      <w:kern w:val="0"/>
                      <w:szCs w:val="21"/>
                      <w:lang w:val="en-US" w:eastAsia="zh-CN"/>
                    </w:rPr>
                    <w:t>ug/m</w:t>
                  </w:r>
                  <w:r>
                    <w:rPr>
                      <w:rFonts w:hint="eastAsia"/>
                      <w:color w:val="auto"/>
                      <w:kern w:val="0"/>
                      <w:szCs w:val="21"/>
                      <w:vertAlign w:val="superscript"/>
                      <w:lang w:val="en-US" w:eastAsia="zh-CN"/>
                    </w:rPr>
                    <w:t>3</w:t>
                  </w:r>
                </w:p>
              </w:tc>
              <w:tc>
                <w:tcPr>
                  <w:tcW w:w="907"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61.4</w:t>
                  </w:r>
                </w:p>
              </w:tc>
              <w:tc>
                <w:tcPr>
                  <w:tcW w:w="703" w:type="pct"/>
                  <w:noWrap w:val="0"/>
                  <w:vAlign w:val="center"/>
                </w:tcPr>
                <w:p>
                  <w:pPr>
                    <w:jc w:val="center"/>
                    <w:rPr>
                      <w:color w:val="auto"/>
                      <w:kern w:val="0"/>
                      <w:szCs w:val="21"/>
                    </w:rPr>
                  </w:pPr>
                  <w:r>
                    <w:rPr>
                      <w:color w:val="auto"/>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color w:val="auto"/>
                      <w:kern w:val="0"/>
                      <w:szCs w:val="21"/>
                    </w:rPr>
                  </w:pPr>
                  <w:r>
                    <w:rPr>
                      <w:color w:val="auto"/>
                      <w:kern w:val="0"/>
                      <w:szCs w:val="21"/>
                    </w:rPr>
                    <w:t>P</w:t>
                  </w:r>
                  <w:r>
                    <w:rPr>
                      <w:rFonts w:hint="eastAsia"/>
                      <w:color w:val="auto"/>
                      <w:kern w:val="0"/>
                      <w:szCs w:val="21"/>
                      <w:lang w:val="en-US" w:eastAsia="zh-CN"/>
                    </w:rPr>
                    <w:t>M</w:t>
                  </w:r>
                  <w:r>
                    <w:rPr>
                      <w:rFonts w:hint="eastAsia"/>
                      <w:color w:val="auto"/>
                      <w:kern w:val="0"/>
                      <w:szCs w:val="21"/>
                      <w:vertAlign w:val="subscript"/>
                    </w:rPr>
                    <w:t>2</w:t>
                  </w:r>
                  <w:r>
                    <w:rPr>
                      <w:color w:val="auto"/>
                      <w:kern w:val="0"/>
                      <w:szCs w:val="21"/>
                      <w:vertAlign w:val="subscript"/>
                    </w:rPr>
                    <w:t>.5</w:t>
                  </w:r>
                </w:p>
              </w:tc>
              <w:tc>
                <w:tcPr>
                  <w:tcW w:w="1432" w:type="pct"/>
                  <w:noWrap w:val="0"/>
                  <w:vAlign w:val="center"/>
                </w:tcPr>
                <w:p>
                  <w:pPr>
                    <w:jc w:val="center"/>
                    <w:rPr>
                      <w:color w:val="auto"/>
                      <w:kern w:val="0"/>
                      <w:szCs w:val="21"/>
                    </w:rPr>
                  </w:pPr>
                  <w:r>
                    <w:rPr>
                      <w:color w:val="auto"/>
                      <w:kern w:val="0"/>
                      <w:szCs w:val="21"/>
                    </w:rPr>
                    <w:t>年平均质量浓度</w:t>
                  </w:r>
                </w:p>
              </w:tc>
              <w:tc>
                <w:tcPr>
                  <w:tcW w:w="679"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29.5ug/m</w:t>
                  </w:r>
                  <w:r>
                    <w:rPr>
                      <w:rFonts w:hint="eastAsia"/>
                      <w:color w:val="auto"/>
                      <w:kern w:val="0"/>
                      <w:szCs w:val="21"/>
                      <w:vertAlign w:val="superscript"/>
                      <w:lang w:val="en-US" w:eastAsia="zh-CN"/>
                    </w:rPr>
                    <w:t>3</w:t>
                  </w:r>
                </w:p>
              </w:tc>
              <w:tc>
                <w:tcPr>
                  <w:tcW w:w="646" w:type="pct"/>
                  <w:noWrap w:val="0"/>
                  <w:vAlign w:val="center"/>
                </w:tcPr>
                <w:p>
                  <w:pPr>
                    <w:jc w:val="center"/>
                    <w:rPr>
                      <w:color w:val="auto"/>
                      <w:kern w:val="0"/>
                      <w:szCs w:val="21"/>
                    </w:rPr>
                  </w:pPr>
                  <w:r>
                    <w:rPr>
                      <w:color w:val="auto"/>
                      <w:kern w:val="0"/>
                      <w:szCs w:val="21"/>
                    </w:rPr>
                    <w:t>35</w:t>
                  </w:r>
                  <w:r>
                    <w:rPr>
                      <w:rFonts w:hint="eastAsia"/>
                      <w:color w:val="auto"/>
                      <w:kern w:val="0"/>
                      <w:szCs w:val="21"/>
                      <w:lang w:val="en-US" w:eastAsia="zh-CN"/>
                    </w:rPr>
                    <w:t>ug/m</w:t>
                  </w:r>
                  <w:r>
                    <w:rPr>
                      <w:rFonts w:hint="eastAsia"/>
                      <w:color w:val="auto"/>
                      <w:kern w:val="0"/>
                      <w:szCs w:val="21"/>
                      <w:vertAlign w:val="superscript"/>
                      <w:lang w:val="en-US" w:eastAsia="zh-CN"/>
                    </w:rPr>
                    <w:t>3</w:t>
                  </w:r>
                </w:p>
              </w:tc>
              <w:tc>
                <w:tcPr>
                  <w:tcW w:w="907"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84.3</w:t>
                  </w:r>
                </w:p>
              </w:tc>
              <w:tc>
                <w:tcPr>
                  <w:tcW w:w="703" w:type="pct"/>
                  <w:noWrap w:val="0"/>
                  <w:vAlign w:val="center"/>
                </w:tcPr>
                <w:p>
                  <w:pPr>
                    <w:jc w:val="center"/>
                    <w:rPr>
                      <w:color w:val="auto"/>
                      <w:kern w:val="0"/>
                      <w:szCs w:val="21"/>
                    </w:rPr>
                  </w:pPr>
                  <w:r>
                    <w:rPr>
                      <w:color w:val="auto"/>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color w:val="auto"/>
                      <w:kern w:val="0"/>
                      <w:szCs w:val="21"/>
                    </w:rPr>
                  </w:pPr>
                  <w:r>
                    <w:rPr>
                      <w:color w:val="auto"/>
                      <w:kern w:val="0"/>
                      <w:szCs w:val="21"/>
                    </w:rPr>
                    <w:t>CO</w:t>
                  </w:r>
                </w:p>
              </w:tc>
              <w:tc>
                <w:tcPr>
                  <w:tcW w:w="1432" w:type="pct"/>
                  <w:noWrap w:val="0"/>
                  <w:vAlign w:val="center"/>
                </w:tcPr>
                <w:p>
                  <w:pPr>
                    <w:spacing w:line="280" w:lineRule="exact"/>
                    <w:jc w:val="center"/>
                    <w:rPr>
                      <w:color w:val="auto"/>
                      <w:kern w:val="0"/>
                      <w:szCs w:val="21"/>
                    </w:rPr>
                  </w:pPr>
                  <w:r>
                    <w:rPr>
                      <w:color w:val="auto"/>
                      <w:kern w:val="0"/>
                      <w:szCs w:val="21"/>
                    </w:rPr>
                    <w:t>24小时平均第95百分位数浓度</w:t>
                  </w:r>
                </w:p>
              </w:tc>
              <w:tc>
                <w:tcPr>
                  <w:tcW w:w="679"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0.9mg/m</w:t>
                  </w:r>
                  <w:r>
                    <w:rPr>
                      <w:rFonts w:hint="eastAsia"/>
                      <w:color w:val="auto"/>
                      <w:kern w:val="0"/>
                      <w:szCs w:val="21"/>
                      <w:vertAlign w:val="superscript"/>
                      <w:lang w:val="en-US" w:eastAsia="zh-CN"/>
                    </w:rPr>
                    <w:t>3</w:t>
                  </w:r>
                </w:p>
              </w:tc>
              <w:tc>
                <w:tcPr>
                  <w:tcW w:w="646" w:type="pct"/>
                  <w:noWrap w:val="0"/>
                  <w:vAlign w:val="center"/>
                </w:tcPr>
                <w:p>
                  <w:pPr>
                    <w:jc w:val="center"/>
                    <w:rPr>
                      <w:color w:val="auto"/>
                      <w:kern w:val="0"/>
                      <w:szCs w:val="21"/>
                    </w:rPr>
                  </w:pPr>
                  <w:r>
                    <w:rPr>
                      <w:color w:val="auto"/>
                      <w:kern w:val="0"/>
                      <w:szCs w:val="21"/>
                    </w:rPr>
                    <w:t>4</w:t>
                  </w:r>
                  <w:r>
                    <w:rPr>
                      <w:rFonts w:hint="eastAsia"/>
                      <w:color w:val="auto"/>
                      <w:kern w:val="0"/>
                      <w:szCs w:val="21"/>
                      <w:lang w:val="en-US" w:eastAsia="zh-CN"/>
                    </w:rPr>
                    <w:t>mg/m</w:t>
                  </w:r>
                  <w:r>
                    <w:rPr>
                      <w:rFonts w:hint="eastAsia"/>
                      <w:color w:val="auto"/>
                      <w:kern w:val="0"/>
                      <w:szCs w:val="21"/>
                      <w:vertAlign w:val="superscript"/>
                      <w:lang w:val="en-US" w:eastAsia="zh-CN"/>
                    </w:rPr>
                    <w:t>3</w:t>
                  </w:r>
                </w:p>
              </w:tc>
              <w:tc>
                <w:tcPr>
                  <w:tcW w:w="907"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22.5</w:t>
                  </w:r>
                </w:p>
              </w:tc>
              <w:tc>
                <w:tcPr>
                  <w:tcW w:w="703" w:type="pct"/>
                  <w:noWrap w:val="0"/>
                  <w:vAlign w:val="center"/>
                </w:tcPr>
                <w:p>
                  <w:pPr>
                    <w:jc w:val="center"/>
                    <w:rPr>
                      <w:color w:val="auto"/>
                      <w:kern w:val="0"/>
                      <w:szCs w:val="21"/>
                    </w:rPr>
                  </w:pPr>
                  <w:r>
                    <w:rPr>
                      <w:color w:val="auto"/>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color w:val="auto"/>
                      <w:kern w:val="0"/>
                      <w:szCs w:val="21"/>
                    </w:rPr>
                  </w:pPr>
                  <w:r>
                    <w:rPr>
                      <w:color w:val="auto"/>
                      <w:kern w:val="0"/>
                      <w:szCs w:val="21"/>
                    </w:rPr>
                    <w:t>O</w:t>
                  </w:r>
                  <w:r>
                    <w:rPr>
                      <w:color w:val="auto"/>
                      <w:kern w:val="0"/>
                      <w:szCs w:val="21"/>
                      <w:vertAlign w:val="subscript"/>
                    </w:rPr>
                    <w:t>3</w:t>
                  </w:r>
                </w:p>
              </w:tc>
              <w:tc>
                <w:tcPr>
                  <w:tcW w:w="1432" w:type="pct"/>
                  <w:noWrap w:val="0"/>
                  <w:vAlign w:val="center"/>
                </w:tcPr>
                <w:p>
                  <w:pPr>
                    <w:spacing w:line="280" w:lineRule="exact"/>
                    <w:jc w:val="center"/>
                    <w:rPr>
                      <w:color w:val="auto"/>
                      <w:kern w:val="0"/>
                      <w:szCs w:val="21"/>
                    </w:rPr>
                  </w:pPr>
                  <w:r>
                    <w:rPr>
                      <w:color w:val="auto"/>
                      <w:szCs w:val="21"/>
                    </w:rPr>
                    <w:t>日最大8h滑动平均值的</w:t>
                  </w:r>
                  <w:r>
                    <w:rPr>
                      <w:color w:val="auto"/>
                      <w:kern w:val="0"/>
                      <w:szCs w:val="21"/>
                    </w:rPr>
                    <w:t>第90百分位数浓度</w:t>
                  </w:r>
                </w:p>
              </w:tc>
              <w:tc>
                <w:tcPr>
                  <w:tcW w:w="679"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124ug/m</w:t>
                  </w:r>
                  <w:r>
                    <w:rPr>
                      <w:rFonts w:hint="eastAsia"/>
                      <w:color w:val="auto"/>
                      <w:kern w:val="0"/>
                      <w:szCs w:val="21"/>
                      <w:vertAlign w:val="superscript"/>
                      <w:lang w:val="en-US" w:eastAsia="zh-CN"/>
                    </w:rPr>
                    <w:t>3</w:t>
                  </w:r>
                </w:p>
              </w:tc>
              <w:tc>
                <w:tcPr>
                  <w:tcW w:w="646" w:type="pct"/>
                  <w:noWrap w:val="0"/>
                  <w:vAlign w:val="center"/>
                </w:tcPr>
                <w:p>
                  <w:pPr>
                    <w:jc w:val="center"/>
                    <w:rPr>
                      <w:color w:val="auto"/>
                      <w:kern w:val="0"/>
                      <w:szCs w:val="21"/>
                    </w:rPr>
                  </w:pPr>
                  <w:r>
                    <w:rPr>
                      <w:color w:val="auto"/>
                      <w:kern w:val="0"/>
                      <w:szCs w:val="21"/>
                    </w:rPr>
                    <w:t>160</w:t>
                  </w:r>
                  <w:r>
                    <w:rPr>
                      <w:rFonts w:hint="eastAsia"/>
                      <w:color w:val="auto"/>
                      <w:kern w:val="0"/>
                      <w:szCs w:val="21"/>
                      <w:lang w:val="en-US" w:eastAsia="zh-CN"/>
                    </w:rPr>
                    <w:t>ug/m</w:t>
                  </w:r>
                  <w:r>
                    <w:rPr>
                      <w:rFonts w:hint="eastAsia"/>
                      <w:color w:val="auto"/>
                      <w:kern w:val="0"/>
                      <w:szCs w:val="21"/>
                      <w:vertAlign w:val="superscript"/>
                      <w:lang w:val="en-US" w:eastAsia="zh-CN"/>
                    </w:rPr>
                    <w:t>3</w:t>
                  </w:r>
                </w:p>
              </w:tc>
              <w:tc>
                <w:tcPr>
                  <w:tcW w:w="907"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77.5</w:t>
                  </w:r>
                </w:p>
              </w:tc>
              <w:tc>
                <w:tcPr>
                  <w:tcW w:w="703" w:type="pct"/>
                  <w:noWrap w:val="0"/>
                  <w:vAlign w:val="center"/>
                </w:tcPr>
                <w:p>
                  <w:pPr>
                    <w:jc w:val="center"/>
                    <w:rPr>
                      <w:color w:val="auto"/>
                      <w:kern w:val="0"/>
                      <w:szCs w:val="21"/>
                    </w:rPr>
                  </w:pPr>
                  <w:r>
                    <w:rPr>
                      <w:color w:val="auto"/>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color w:val="auto"/>
                      <w:kern w:val="0"/>
                      <w:szCs w:val="21"/>
                    </w:rPr>
                  </w:pPr>
                  <w:r>
                    <w:rPr>
                      <w:color w:val="auto"/>
                      <w:kern w:val="0"/>
                      <w:szCs w:val="21"/>
                    </w:rPr>
                    <w:t>SO</w:t>
                  </w:r>
                  <w:r>
                    <w:rPr>
                      <w:color w:val="auto"/>
                      <w:kern w:val="0"/>
                      <w:szCs w:val="21"/>
                      <w:vertAlign w:val="subscript"/>
                    </w:rPr>
                    <w:t>2</w:t>
                  </w:r>
                </w:p>
              </w:tc>
              <w:tc>
                <w:tcPr>
                  <w:tcW w:w="1432" w:type="pct"/>
                  <w:noWrap w:val="0"/>
                  <w:vAlign w:val="center"/>
                </w:tcPr>
                <w:p>
                  <w:pPr>
                    <w:jc w:val="center"/>
                    <w:rPr>
                      <w:color w:val="auto"/>
                      <w:kern w:val="0"/>
                      <w:szCs w:val="21"/>
                    </w:rPr>
                  </w:pPr>
                  <w:r>
                    <w:rPr>
                      <w:color w:val="auto"/>
                      <w:szCs w:val="21"/>
                    </w:rPr>
                    <w:t>年平均质量浓度</w:t>
                  </w:r>
                </w:p>
              </w:tc>
              <w:tc>
                <w:tcPr>
                  <w:tcW w:w="679" w:type="pct"/>
                  <w:noWrap w:val="0"/>
                  <w:vAlign w:val="center"/>
                </w:tcPr>
                <w:p>
                  <w:pPr>
                    <w:jc w:val="center"/>
                    <w:rPr>
                      <w:rFonts w:hint="eastAsia" w:eastAsia="宋体"/>
                      <w:color w:val="auto"/>
                      <w:kern w:val="0"/>
                      <w:szCs w:val="21"/>
                      <w:lang w:val="en-US" w:eastAsia="zh-CN"/>
                    </w:rPr>
                  </w:pPr>
                  <w:r>
                    <w:rPr>
                      <w:rFonts w:hint="eastAsia"/>
                      <w:color w:val="auto"/>
                      <w:kern w:val="0"/>
                      <w:szCs w:val="21"/>
                      <w:lang w:val="en-US" w:eastAsia="zh-CN"/>
                    </w:rPr>
                    <w:t>7ug/m</w:t>
                  </w:r>
                  <w:r>
                    <w:rPr>
                      <w:rFonts w:hint="eastAsia"/>
                      <w:color w:val="auto"/>
                      <w:kern w:val="0"/>
                      <w:szCs w:val="21"/>
                      <w:vertAlign w:val="superscript"/>
                      <w:lang w:val="en-US" w:eastAsia="zh-CN"/>
                    </w:rPr>
                    <w:t>3</w:t>
                  </w:r>
                </w:p>
              </w:tc>
              <w:tc>
                <w:tcPr>
                  <w:tcW w:w="646" w:type="pct"/>
                  <w:noWrap w:val="0"/>
                  <w:vAlign w:val="center"/>
                </w:tcPr>
                <w:p>
                  <w:pPr>
                    <w:jc w:val="center"/>
                    <w:rPr>
                      <w:color w:val="auto"/>
                      <w:kern w:val="0"/>
                      <w:szCs w:val="21"/>
                    </w:rPr>
                  </w:pPr>
                  <w:r>
                    <w:rPr>
                      <w:color w:val="auto"/>
                      <w:kern w:val="0"/>
                      <w:szCs w:val="21"/>
                    </w:rPr>
                    <w:t>60</w:t>
                  </w:r>
                  <w:r>
                    <w:rPr>
                      <w:rFonts w:hint="eastAsia"/>
                      <w:color w:val="auto"/>
                      <w:kern w:val="0"/>
                      <w:szCs w:val="21"/>
                      <w:lang w:val="en-US" w:eastAsia="zh-CN"/>
                    </w:rPr>
                    <w:t>ug/m</w:t>
                  </w:r>
                  <w:r>
                    <w:rPr>
                      <w:rFonts w:hint="eastAsia"/>
                      <w:color w:val="auto"/>
                      <w:kern w:val="0"/>
                      <w:szCs w:val="21"/>
                      <w:vertAlign w:val="superscript"/>
                      <w:lang w:val="en-US" w:eastAsia="zh-CN"/>
                    </w:rPr>
                    <w:t>3</w:t>
                  </w:r>
                </w:p>
              </w:tc>
              <w:tc>
                <w:tcPr>
                  <w:tcW w:w="907"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11.7</w:t>
                  </w:r>
                </w:p>
              </w:tc>
              <w:tc>
                <w:tcPr>
                  <w:tcW w:w="703" w:type="pct"/>
                  <w:noWrap w:val="0"/>
                  <w:vAlign w:val="center"/>
                </w:tcPr>
                <w:p>
                  <w:pPr>
                    <w:jc w:val="center"/>
                    <w:rPr>
                      <w:color w:val="auto"/>
                      <w:kern w:val="0"/>
                      <w:szCs w:val="21"/>
                    </w:rPr>
                  </w:pPr>
                  <w:r>
                    <w:rPr>
                      <w:color w:val="auto"/>
                      <w:kern w:val="0"/>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9" w:type="pct"/>
                  <w:noWrap w:val="0"/>
                  <w:vAlign w:val="center"/>
                </w:tcPr>
                <w:p>
                  <w:pPr>
                    <w:jc w:val="center"/>
                    <w:rPr>
                      <w:color w:val="auto"/>
                      <w:kern w:val="0"/>
                      <w:szCs w:val="21"/>
                    </w:rPr>
                  </w:pPr>
                  <w:r>
                    <w:rPr>
                      <w:color w:val="auto"/>
                      <w:kern w:val="0"/>
                      <w:szCs w:val="21"/>
                    </w:rPr>
                    <w:t>NO</w:t>
                  </w:r>
                  <w:r>
                    <w:rPr>
                      <w:color w:val="auto"/>
                      <w:kern w:val="0"/>
                      <w:szCs w:val="21"/>
                      <w:vertAlign w:val="subscript"/>
                    </w:rPr>
                    <w:t>2</w:t>
                  </w:r>
                </w:p>
              </w:tc>
              <w:tc>
                <w:tcPr>
                  <w:tcW w:w="1432" w:type="pct"/>
                  <w:noWrap w:val="0"/>
                  <w:vAlign w:val="center"/>
                </w:tcPr>
                <w:p>
                  <w:pPr>
                    <w:jc w:val="center"/>
                    <w:rPr>
                      <w:color w:val="auto"/>
                      <w:kern w:val="0"/>
                      <w:szCs w:val="21"/>
                    </w:rPr>
                  </w:pPr>
                  <w:r>
                    <w:rPr>
                      <w:color w:val="auto"/>
                      <w:szCs w:val="21"/>
                    </w:rPr>
                    <w:t>年平均质量浓度</w:t>
                  </w:r>
                </w:p>
              </w:tc>
              <w:tc>
                <w:tcPr>
                  <w:tcW w:w="679"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12ug/m</w:t>
                  </w:r>
                  <w:r>
                    <w:rPr>
                      <w:rFonts w:hint="eastAsia"/>
                      <w:color w:val="auto"/>
                      <w:kern w:val="0"/>
                      <w:szCs w:val="21"/>
                      <w:vertAlign w:val="superscript"/>
                      <w:lang w:val="en-US" w:eastAsia="zh-CN"/>
                    </w:rPr>
                    <w:t>3</w:t>
                  </w:r>
                </w:p>
              </w:tc>
              <w:tc>
                <w:tcPr>
                  <w:tcW w:w="646" w:type="pct"/>
                  <w:noWrap w:val="0"/>
                  <w:vAlign w:val="center"/>
                </w:tcPr>
                <w:p>
                  <w:pPr>
                    <w:jc w:val="center"/>
                    <w:rPr>
                      <w:color w:val="auto"/>
                      <w:kern w:val="0"/>
                      <w:szCs w:val="21"/>
                    </w:rPr>
                  </w:pPr>
                  <w:r>
                    <w:rPr>
                      <w:color w:val="auto"/>
                      <w:kern w:val="0"/>
                      <w:szCs w:val="21"/>
                    </w:rPr>
                    <w:t>40</w:t>
                  </w:r>
                  <w:r>
                    <w:rPr>
                      <w:rFonts w:hint="eastAsia"/>
                      <w:color w:val="auto"/>
                      <w:kern w:val="0"/>
                      <w:szCs w:val="21"/>
                      <w:lang w:val="en-US" w:eastAsia="zh-CN"/>
                    </w:rPr>
                    <w:t>ug/m</w:t>
                  </w:r>
                  <w:r>
                    <w:rPr>
                      <w:rFonts w:hint="eastAsia"/>
                      <w:color w:val="auto"/>
                      <w:kern w:val="0"/>
                      <w:szCs w:val="21"/>
                      <w:vertAlign w:val="superscript"/>
                      <w:lang w:val="en-US" w:eastAsia="zh-CN"/>
                    </w:rPr>
                    <w:t>3</w:t>
                  </w:r>
                </w:p>
              </w:tc>
              <w:tc>
                <w:tcPr>
                  <w:tcW w:w="907" w:type="pct"/>
                  <w:noWrap w:val="0"/>
                  <w:vAlign w:val="center"/>
                </w:tcPr>
                <w:p>
                  <w:pPr>
                    <w:jc w:val="center"/>
                    <w:rPr>
                      <w:rFonts w:hint="default" w:eastAsia="宋体"/>
                      <w:color w:val="auto"/>
                      <w:kern w:val="0"/>
                      <w:szCs w:val="21"/>
                      <w:lang w:val="en-US" w:eastAsia="zh-CN"/>
                    </w:rPr>
                  </w:pPr>
                  <w:r>
                    <w:rPr>
                      <w:rFonts w:hint="eastAsia"/>
                      <w:color w:val="auto"/>
                      <w:kern w:val="0"/>
                      <w:szCs w:val="21"/>
                      <w:lang w:val="en-US" w:eastAsia="zh-CN"/>
                    </w:rPr>
                    <w:t>30.0</w:t>
                  </w:r>
                </w:p>
              </w:tc>
              <w:tc>
                <w:tcPr>
                  <w:tcW w:w="703" w:type="pct"/>
                  <w:noWrap w:val="0"/>
                  <w:vAlign w:val="center"/>
                </w:tcPr>
                <w:p>
                  <w:pPr>
                    <w:jc w:val="center"/>
                    <w:rPr>
                      <w:color w:val="auto"/>
                      <w:kern w:val="0"/>
                      <w:szCs w:val="21"/>
                    </w:rPr>
                  </w:pPr>
                  <w:r>
                    <w:rPr>
                      <w:color w:val="auto"/>
                      <w:kern w:val="0"/>
                      <w:szCs w:val="21"/>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衡阳县二氧化硫、二氧化氮、可吸入颗粒物（PM</w:t>
            </w:r>
            <w:r>
              <w:rPr>
                <w:rFonts w:hint="default" w:ascii="Times New Roman" w:hAnsi="Times New Roman" w:eastAsia="宋体" w:cs="Times New Roman"/>
                <w:b w:val="0"/>
                <w:bCs w:val="0"/>
                <w:color w:val="auto"/>
                <w:kern w:val="0"/>
                <w:sz w:val="24"/>
                <w:szCs w:val="24"/>
                <w:u w:val="none"/>
                <w:vertAlign w:val="subscript"/>
                <w:lang w:val="en-US" w:eastAsia="zh-CN"/>
              </w:rPr>
              <w:t>10</w:t>
            </w:r>
            <w:r>
              <w:rPr>
                <w:rFonts w:hint="default" w:ascii="Times New Roman" w:hAnsi="Times New Roman" w:eastAsia="宋体" w:cs="Times New Roman"/>
                <w:b w:val="0"/>
                <w:bCs w:val="0"/>
                <w:color w:val="auto"/>
                <w:kern w:val="0"/>
                <w:sz w:val="24"/>
                <w:szCs w:val="24"/>
                <w:u w:val="none"/>
                <w:lang w:val="en-US" w:eastAsia="zh-CN"/>
              </w:rPr>
              <w:t>）、细颗粒物（P</w:t>
            </w:r>
            <w:r>
              <w:rPr>
                <w:rFonts w:hint="eastAsia" w:ascii="Times New Roman" w:hAnsi="Times New Roman" w:eastAsia="宋体" w:cs="Times New Roman"/>
                <w:b w:val="0"/>
                <w:bCs w:val="0"/>
                <w:color w:val="auto"/>
                <w:kern w:val="0"/>
                <w:sz w:val="24"/>
                <w:szCs w:val="24"/>
                <w:u w:val="none"/>
                <w:lang w:val="en-US" w:eastAsia="zh-CN"/>
              </w:rPr>
              <w:t>M</w:t>
            </w:r>
            <w:r>
              <w:rPr>
                <w:rFonts w:hint="default" w:ascii="Times New Roman" w:hAnsi="Times New Roman" w:eastAsia="宋体" w:cs="Times New Roman"/>
                <w:b w:val="0"/>
                <w:bCs w:val="0"/>
                <w:color w:val="auto"/>
                <w:kern w:val="0"/>
                <w:sz w:val="24"/>
                <w:szCs w:val="24"/>
                <w:u w:val="none"/>
                <w:vertAlign w:val="subscript"/>
                <w:lang w:val="en-US" w:eastAsia="zh-CN"/>
              </w:rPr>
              <w:t>2.5</w:t>
            </w:r>
            <w:r>
              <w:rPr>
                <w:rFonts w:hint="default" w:ascii="Times New Roman" w:hAnsi="Times New Roman" w:eastAsia="宋体" w:cs="Times New Roman"/>
                <w:b w:val="0"/>
                <w:bCs w:val="0"/>
                <w:color w:val="auto"/>
                <w:kern w:val="0"/>
                <w:sz w:val="24"/>
                <w:szCs w:val="24"/>
                <w:u w:val="none"/>
                <w:lang w:val="en-US" w:eastAsia="zh-CN"/>
              </w:rPr>
              <w:t>）和一氧化碳年评价浓度（第95百分位数）、臭氧年评价浓度（第90百分位数）</w:t>
            </w:r>
            <w:r>
              <w:rPr>
                <w:rFonts w:hint="default" w:ascii="Times New Roman" w:hAnsi="Times New Roman" w:eastAsia="宋体" w:cs="Times New Roman"/>
                <w:b w:val="0"/>
                <w:bCs w:val="0"/>
                <w:color w:val="auto"/>
                <w:kern w:val="0"/>
                <w:sz w:val="24"/>
                <w:szCs w:val="24"/>
                <w:u w:val="wave"/>
                <w:lang w:val="en-US" w:eastAsia="zh-CN"/>
              </w:rPr>
              <w:t>均达到《环境空气质量标准》（GB3095-2012）二级标准</w:t>
            </w:r>
            <w:r>
              <w:rPr>
                <w:rFonts w:hint="eastAsia" w:cs="Times New Roman"/>
                <w:b w:val="0"/>
                <w:bCs w:val="0"/>
                <w:color w:val="auto"/>
                <w:kern w:val="0"/>
                <w:sz w:val="24"/>
                <w:szCs w:val="24"/>
                <w:u w:val="wave"/>
                <w:lang w:val="en-US" w:eastAsia="zh-CN"/>
              </w:rPr>
              <w:t>，且同时满足</w:t>
            </w:r>
            <w:r>
              <w:rPr>
                <w:rFonts w:hint="default" w:ascii="Times New Roman" w:hAnsi="Times New Roman" w:eastAsia="宋体" w:cs="Times New Roman"/>
                <w:b w:val="0"/>
                <w:bCs w:val="0"/>
                <w:color w:val="auto"/>
                <w:kern w:val="0"/>
                <w:sz w:val="24"/>
                <w:szCs w:val="24"/>
                <w:u w:val="wave"/>
                <w:lang w:val="en-US" w:eastAsia="zh-CN"/>
              </w:rPr>
              <w:t>《环境空气质量标准》（GB3095-20</w:t>
            </w:r>
            <w:r>
              <w:rPr>
                <w:rFonts w:hint="eastAsia" w:ascii="Times New Roman" w:hAnsi="Times New Roman" w:cs="Times New Roman"/>
                <w:b w:val="0"/>
                <w:bCs w:val="0"/>
                <w:color w:val="auto"/>
                <w:kern w:val="0"/>
                <w:sz w:val="24"/>
                <w:szCs w:val="24"/>
                <w:u w:val="wave"/>
                <w:lang w:val="en-US" w:eastAsia="zh-CN"/>
              </w:rPr>
              <w:t>26</w:t>
            </w:r>
            <w:r>
              <w:rPr>
                <w:rFonts w:hint="default" w:ascii="Times New Roman" w:hAnsi="Times New Roman" w:eastAsia="宋体" w:cs="Times New Roman"/>
                <w:b w:val="0"/>
                <w:bCs w:val="0"/>
                <w:color w:val="auto"/>
                <w:kern w:val="0"/>
                <w:sz w:val="24"/>
                <w:szCs w:val="24"/>
                <w:u w:val="wave"/>
                <w:lang w:val="en-US" w:eastAsia="zh-CN"/>
              </w:rPr>
              <w:t>）</w:t>
            </w:r>
            <w:r>
              <w:rPr>
                <w:rFonts w:hint="eastAsia" w:ascii="Times New Roman" w:hAnsi="Times New Roman" w:cs="Times New Roman"/>
                <w:b w:val="0"/>
                <w:bCs w:val="0"/>
                <w:color w:val="auto"/>
                <w:kern w:val="0"/>
                <w:sz w:val="24"/>
                <w:szCs w:val="24"/>
                <w:u w:val="wave"/>
                <w:lang w:val="en-US" w:eastAsia="zh-CN"/>
              </w:rPr>
              <w:t>过渡阶段的</w:t>
            </w:r>
            <w:r>
              <w:rPr>
                <w:rFonts w:hint="default" w:ascii="Times New Roman" w:hAnsi="Times New Roman" w:eastAsia="宋体" w:cs="Times New Roman"/>
                <w:b w:val="0"/>
                <w:bCs w:val="0"/>
                <w:color w:val="auto"/>
                <w:kern w:val="0"/>
                <w:sz w:val="24"/>
                <w:szCs w:val="24"/>
                <w:u w:val="wave"/>
                <w:lang w:val="en-US" w:eastAsia="zh-CN"/>
              </w:rPr>
              <w:t>二级标准。</w:t>
            </w:r>
            <w:r>
              <w:rPr>
                <w:rFonts w:hint="default" w:ascii="Times New Roman" w:hAnsi="Times New Roman" w:eastAsia="宋体" w:cs="Times New Roman"/>
                <w:b/>
                <w:bCs/>
                <w:color w:val="auto"/>
                <w:kern w:val="0"/>
                <w:sz w:val="24"/>
                <w:szCs w:val="24"/>
                <w:u w:val="none"/>
                <w:lang w:val="en-US" w:eastAsia="zh-CN"/>
              </w:rPr>
              <w:t>故项目所在区域为达标区。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（2）其他污染物环境质量现状调查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本项目排放的其他污染物为颗粒物</w:t>
            </w:r>
            <w:r>
              <w:rPr>
                <w:rFonts w:hint="eastAsia" w:ascii="Times New Roman" w:hAnsi="Times New Roman" w:eastAsia="宋体" w:cs="Times New Roman"/>
                <w:b w:val="0"/>
                <w:bCs w:val="0"/>
                <w:color w:val="auto"/>
                <w:kern w:val="0"/>
                <w:sz w:val="24"/>
                <w:szCs w:val="24"/>
                <w:u w:val="none"/>
                <w:lang w:val="en-US" w:eastAsia="zh-CN"/>
              </w:rPr>
              <w:t>与</w:t>
            </w:r>
            <w:r>
              <w:rPr>
                <w:rFonts w:hint="eastAsia"/>
                <w:color w:val="auto"/>
                <w:kern w:val="0"/>
                <w:sz w:val="24"/>
              </w:rPr>
              <w:t>VOCs（以非甲烷总体表征）</w:t>
            </w:r>
            <w:r>
              <w:rPr>
                <w:rFonts w:hint="default" w:ascii="Times New Roman" w:hAnsi="Times New Roman" w:eastAsia="宋体" w:cs="Times New Roman"/>
                <w:b w:val="0"/>
                <w:bCs w:val="0"/>
                <w:color w:val="auto"/>
                <w:kern w:val="0"/>
                <w:sz w:val="24"/>
                <w:szCs w:val="24"/>
                <w:u w:val="none"/>
                <w:lang w:val="en-US" w:eastAsia="zh-CN"/>
              </w:rPr>
              <w:t>，为了解本项目所在区域的颗粒物环境质量现状，本项目</w:t>
            </w:r>
            <w:r>
              <w:rPr>
                <w:rFonts w:hint="eastAsia" w:ascii="Times New Roman" w:hAnsi="Times New Roman" w:eastAsia="宋体" w:cs="Times New Roman"/>
                <w:b w:val="0"/>
                <w:bCs w:val="0"/>
                <w:color w:val="auto"/>
                <w:kern w:val="0"/>
                <w:sz w:val="24"/>
                <w:szCs w:val="24"/>
                <w:u w:val="none"/>
                <w:lang w:val="en-US" w:eastAsia="zh-CN"/>
              </w:rPr>
              <w:t>引用</w:t>
            </w:r>
            <w:r>
              <w:rPr>
                <w:rFonts w:hint="eastAsia" w:ascii="Times New Roman" w:hAnsi="Times New Roman" w:eastAsia="宋体" w:cs="Times New Roman"/>
                <w:bCs/>
                <w:color w:val="auto"/>
                <w:sz w:val="24"/>
                <w:szCs w:val="24"/>
                <w:u w:val="none"/>
                <w:lang w:val="en-US" w:eastAsia="zh-CN"/>
              </w:rPr>
              <w:t>《衡阳西渡高新技术产业开发区扩区规划环境影响评价报告书》的</w:t>
            </w:r>
            <w:r>
              <w:rPr>
                <w:rFonts w:hint="eastAsia" w:ascii="Times New Roman" w:hAnsi="Times New Roman" w:eastAsia="宋体" w:cs="Times New Roman"/>
                <w:color w:val="auto"/>
                <w:sz w:val="24"/>
                <w:szCs w:val="24"/>
                <w:u w:val="none"/>
                <w:lang w:val="en-US" w:eastAsia="zh-CN"/>
              </w:rPr>
              <w:t>监测数据</w:t>
            </w:r>
            <w:r>
              <w:rPr>
                <w:rFonts w:hint="default" w:ascii="Times New Roman" w:hAnsi="Times New Roman" w:eastAsia="宋体" w:cs="Times New Roman"/>
                <w:b w:val="0"/>
                <w:bCs w:val="0"/>
                <w:color w:val="auto"/>
                <w:kern w:val="0"/>
                <w:sz w:val="24"/>
                <w:szCs w:val="24"/>
                <w:u w:val="none"/>
                <w:lang w:val="en-US" w:eastAsia="zh-CN"/>
              </w:rPr>
              <w:t>，监测时间为202</w:t>
            </w:r>
            <w:r>
              <w:rPr>
                <w:rFonts w:hint="eastAsia" w:ascii="Times New Roman" w:hAnsi="Times New Roman" w:eastAsia="宋体" w:cs="Times New Roman"/>
                <w:b w:val="0"/>
                <w:bCs w:val="0"/>
                <w:color w:val="auto"/>
                <w:kern w:val="0"/>
                <w:sz w:val="24"/>
                <w:szCs w:val="24"/>
                <w:u w:val="none"/>
                <w:lang w:val="en-US" w:eastAsia="zh-CN"/>
              </w:rPr>
              <w:t>5</w:t>
            </w:r>
            <w:r>
              <w:rPr>
                <w:rFonts w:hint="default" w:ascii="Times New Roman" w:hAnsi="Times New Roman" w:eastAsia="宋体" w:cs="Times New Roman"/>
                <w:b w:val="0"/>
                <w:bCs w:val="0"/>
                <w:color w:val="auto"/>
                <w:kern w:val="0"/>
                <w:sz w:val="24"/>
                <w:szCs w:val="24"/>
                <w:u w:val="none"/>
                <w:lang w:val="en-US" w:eastAsia="zh-CN"/>
              </w:rPr>
              <w:t>年</w:t>
            </w:r>
            <w:r>
              <w:rPr>
                <w:rFonts w:hint="eastAsia" w:ascii="Times New Roman" w:hAnsi="Times New Roman" w:eastAsia="宋体" w:cs="Times New Roman"/>
                <w:b w:val="0"/>
                <w:bCs w:val="0"/>
                <w:color w:val="auto"/>
                <w:kern w:val="0"/>
                <w:sz w:val="24"/>
                <w:szCs w:val="24"/>
                <w:u w:val="none"/>
                <w:lang w:val="en-US" w:eastAsia="zh-CN"/>
              </w:rPr>
              <w:t>10</w:t>
            </w:r>
            <w:r>
              <w:rPr>
                <w:rFonts w:hint="default" w:ascii="Times New Roman" w:hAnsi="Times New Roman" w:eastAsia="宋体" w:cs="Times New Roman"/>
                <w:b w:val="0"/>
                <w:bCs w:val="0"/>
                <w:color w:val="auto"/>
                <w:kern w:val="0"/>
                <w:sz w:val="24"/>
                <w:szCs w:val="24"/>
                <w:u w:val="none"/>
                <w:lang w:val="en-US" w:eastAsia="zh-CN"/>
              </w:rPr>
              <w:t>月</w:t>
            </w:r>
            <w:r>
              <w:rPr>
                <w:rFonts w:hint="eastAsia" w:ascii="Times New Roman" w:hAnsi="Times New Roman" w:eastAsia="宋体" w:cs="Times New Roman"/>
                <w:b w:val="0"/>
                <w:bCs w:val="0"/>
                <w:color w:val="auto"/>
                <w:kern w:val="0"/>
                <w:sz w:val="24"/>
                <w:szCs w:val="24"/>
                <w:u w:val="none"/>
                <w:lang w:val="en-US" w:eastAsia="zh-CN"/>
              </w:rPr>
              <w:t>10~16</w:t>
            </w:r>
            <w:r>
              <w:rPr>
                <w:rFonts w:hint="default" w:ascii="Times New Roman" w:hAnsi="Times New Roman" w:eastAsia="宋体" w:cs="Times New Roman"/>
                <w:b w:val="0"/>
                <w:bCs w:val="0"/>
                <w:color w:val="auto"/>
                <w:kern w:val="0"/>
                <w:sz w:val="24"/>
                <w:szCs w:val="24"/>
                <w:u w:val="none"/>
                <w:lang w:val="en-US" w:eastAsia="zh-CN"/>
              </w:rPr>
              <w:t>日</w:t>
            </w:r>
            <w:r>
              <w:rPr>
                <w:rFonts w:hint="eastAsia" w:ascii="Times New Roman" w:hAnsi="Times New Roman" w:eastAsia="宋体" w:cs="Times New Roman"/>
                <w:b w:val="0"/>
                <w:bCs w:val="0"/>
                <w:color w:val="auto"/>
                <w:kern w:val="0"/>
                <w:sz w:val="24"/>
                <w:szCs w:val="24"/>
                <w:u w:val="none"/>
                <w:lang w:val="en-US" w:eastAsia="zh-CN"/>
              </w:rPr>
              <w:t>，监测点位G</w:t>
            </w:r>
            <w:r>
              <w:rPr>
                <w:rFonts w:hint="eastAsia" w:ascii="Times New Roman" w:hAnsi="Times New Roman" w:eastAsia="宋体" w:cs="Times New Roman"/>
                <w:b w:val="0"/>
                <w:bCs w:val="0"/>
                <w:color w:val="auto"/>
                <w:kern w:val="0"/>
                <w:sz w:val="24"/>
                <w:szCs w:val="24"/>
                <w:u w:val="none"/>
                <w:vertAlign w:val="subscript"/>
                <w:lang w:val="en-US" w:eastAsia="zh-CN"/>
              </w:rPr>
              <w:t>7</w:t>
            </w:r>
            <w:r>
              <w:rPr>
                <w:rFonts w:hint="eastAsia" w:ascii="Times New Roman" w:hAnsi="Times New Roman" w:eastAsia="宋体" w:cs="Times New Roman"/>
                <w:b w:val="0"/>
                <w:bCs w:val="0"/>
                <w:color w:val="auto"/>
                <w:kern w:val="0"/>
                <w:sz w:val="24"/>
                <w:szCs w:val="24"/>
                <w:u w:val="none"/>
                <w:lang w:val="en-US" w:eastAsia="zh-CN"/>
              </w:rPr>
              <w:t>龙井村与本项目的距离为西侧2.9</w:t>
            </w:r>
            <w:r>
              <w:rPr>
                <w:rFonts w:hint="eastAsia" w:cs="Times New Roman"/>
                <w:b w:val="0"/>
                <w:bCs w:val="0"/>
                <w:color w:val="auto"/>
                <w:kern w:val="0"/>
                <w:sz w:val="24"/>
                <w:szCs w:val="24"/>
                <w:u w:val="none"/>
                <w:lang w:val="en-US" w:eastAsia="zh-CN"/>
              </w:rPr>
              <w:t>6</w:t>
            </w:r>
            <w:r>
              <w:rPr>
                <w:rFonts w:hint="eastAsia" w:ascii="Times New Roman" w:hAnsi="Times New Roman" w:eastAsia="宋体" w:cs="Times New Roman"/>
                <w:b w:val="0"/>
                <w:bCs w:val="0"/>
                <w:color w:val="auto"/>
                <w:kern w:val="0"/>
                <w:sz w:val="24"/>
                <w:szCs w:val="24"/>
                <w:u w:val="none"/>
                <w:lang w:val="en-US" w:eastAsia="zh-CN"/>
              </w:rPr>
              <w:t>km</w:t>
            </w:r>
            <w:r>
              <w:rPr>
                <w:rFonts w:hint="default" w:ascii="Times New Roman" w:hAnsi="Times New Roman" w:eastAsia="宋体" w:cs="Times New Roman"/>
                <w:b w:val="0"/>
                <w:bCs w:val="0"/>
                <w:color w:val="auto"/>
                <w:kern w:val="0"/>
                <w:sz w:val="24"/>
                <w:szCs w:val="24"/>
                <w:u w:val="none"/>
                <w:lang w:val="en-US" w:eastAsia="zh-CN"/>
              </w:rPr>
              <w:t>。监测内容如下：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①监测项目：</w:t>
            </w:r>
            <w:r>
              <w:rPr>
                <w:rFonts w:hint="eastAsia" w:ascii="Times New Roman" w:hAnsi="Times New Roman" w:eastAsia="宋体" w:cs="Times New Roman"/>
                <w:b w:val="0"/>
                <w:bCs w:val="0"/>
                <w:color w:val="auto"/>
                <w:kern w:val="0"/>
                <w:sz w:val="24"/>
                <w:szCs w:val="24"/>
                <w:u w:val="none"/>
                <w:lang w:val="en-US" w:eastAsia="zh-CN"/>
              </w:rPr>
              <w:t>总悬浮颗粒物、非甲烷总烃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②监测点位：</w:t>
            </w:r>
            <w:r>
              <w:rPr>
                <w:rFonts w:hint="eastAsia" w:ascii="Times New Roman" w:hAnsi="Times New Roman" w:eastAsia="宋体" w:cs="Times New Roman"/>
                <w:b w:val="0"/>
                <w:bCs w:val="0"/>
                <w:color w:val="auto"/>
                <w:kern w:val="0"/>
                <w:sz w:val="24"/>
                <w:szCs w:val="24"/>
                <w:u w:val="none"/>
                <w:lang w:val="en-US" w:eastAsia="zh-CN"/>
              </w:rPr>
              <w:t>G</w:t>
            </w:r>
            <w:r>
              <w:rPr>
                <w:rFonts w:hint="eastAsia" w:ascii="Times New Roman" w:hAnsi="Times New Roman" w:eastAsia="宋体" w:cs="Times New Roman"/>
                <w:b w:val="0"/>
                <w:bCs w:val="0"/>
                <w:color w:val="auto"/>
                <w:kern w:val="0"/>
                <w:sz w:val="24"/>
                <w:szCs w:val="24"/>
                <w:u w:val="none"/>
                <w:vertAlign w:val="subscript"/>
                <w:lang w:val="en-US" w:eastAsia="zh-CN"/>
              </w:rPr>
              <w:t>7</w:t>
            </w:r>
            <w:r>
              <w:rPr>
                <w:rFonts w:hint="eastAsia" w:ascii="Times New Roman" w:hAnsi="Times New Roman" w:eastAsia="宋体" w:cs="Times New Roman"/>
                <w:b w:val="0"/>
                <w:bCs w:val="0"/>
                <w:color w:val="auto"/>
                <w:kern w:val="0"/>
                <w:sz w:val="24"/>
                <w:szCs w:val="24"/>
                <w:u w:val="none"/>
                <w:lang w:val="en-US" w:eastAsia="zh-CN"/>
              </w:rPr>
              <w:t>龙井村。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③评价标准：颗粒物执行《环境空气质量标准》（GB 3095-2012）表2二级浓度限值，非甲烷总烃参考原国家环境保护局科技标准司编制的《大气污染物综合排放标准详解》（中国环境科学出版社）中的标准限值。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kern w:val="0"/>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监测及统计结果详见下表3-2，监测点位见附图8。</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kern w:val="0"/>
                <w:sz w:val="21"/>
                <w:szCs w:val="21"/>
                <w:u w:val="none"/>
                <w:lang w:val="en-US" w:eastAsia="zh-CN"/>
              </w:rPr>
            </w:pPr>
            <w:r>
              <w:rPr>
                <w:rFonts w:hint="default" w:ascii="Times New Roman" w:hAnsi="Times New Roman" w:eastAsia="宋体" w:cs="Times New Roman"/>
                <w:b/>
                <w:bCs/>
                <w:color w:val="auto"/>
                <w:kern w:val="0"/>
                <w:sz w:val="21"/>
                <w:szCs w:val="21"/>
                <w:u w:val="none"/>
                <w:lang w:val="en-US" w:eastAsia="zh-CN"/>
              </w:rPr>
              <w:t>表3-2  项目现状监测及评价结果</w:t>
            </w:r>
          </w:p>
          <w:tbl>
            <w:tblPr>
              <w:tblStyle w:val="25"/>
              <w:tblW w:w="491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28" w:type="dxa"/>
                <w:bottom w:w="0" w:type="dxa"/>
                <w:right w:w="28" w:type="dxa"/>
              </w:tblCellMar>
            </w:tblPr>
            <w:tblGrid>
              <w:gridCol w:w="429"/>
              <w:gridCol w:w="1588"/>
              <w:gridCol w:w="655"/>
              <w:gridCol w:w="615"/>
              <w:gridCol w:w="615"/>
              <w:gridCol w:w="694"/>
              <w:gridCol w:w="484"/>
              <w:gridCol w:w="1127"/>
              <w:gridCol w:w="793"/>
              <w:gridCol w:w="84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tblHeader/>
                <w:jc w:val="center"/>
              </w:trPr>
              <w:tc>
                <w:tcPr>
                  <w:tcW w:w="321"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u w:val="none" w:color="auto"/>
                      <w:lang w:eastAsia="zh-CN"/>
                    </w:rPr>
                  </w:pPr>
                  <w:r>
                    <w:rPr>
                      <w:rFonts w:hint="default" w:ascii="Times New Roman" w:hAnsi="Times New Roman" w:eastAsia="宋体" w:cs="Times New Roman"/>
                      <w:b/>
                      <w:bCs/>
                      <w:color w:val="auto"/>
                      <w:sz w:val="21"/>
                      <w:szCs w:val="21"/>
                      <w:highlight w:val="none"/>
                      <w:u w:val="none" w:color="auto"/>
                      <w:lang w:eastAsia="zh-CN"/>
                    </w:rPr>
                    <w:t>监测点位</w:t>
                  </w:r>
                </w:p>
              </w:tc>
              <w:tc>
                <w:tcPr>
                  <w:tcW w:w="576"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监测日期</w:t>
                  </w:r>
                </w:p>
              </w:tc>
              <w:tc>
                <w:tcPr>
                  <w:tcW w:w="465"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highlight w:val="none"/>
                      <w:u w:val="none" w:color="auto"/>
                      <w:lang w:val="en-US" w:eastAsia="zh-CN" w:bidi="ar-SA"/>
                    </w:rPr>
                  </w:pPr>
                  <w:r>
                    <w:rPr>
                      <w:rFonts w:hint="default" w:ascii="Times New Roman" w:hAnsi="Times New Roman" w:eastAsia="宋体" w:cs="Times New Roman"/>
                      <w:b/>
                      <w:bCs/>
                      <w:color w:val="auto"/>
                      <w:sz w:val="21"/>
                      <w:szCs w:val="21"/>
                      <w:highlight w:val="none"/>
                      <w:u w:val="none" w:color="auto"/>
                    </w:rPr>
                    <w:t>监测项目</w:t>
                  </w:r>
                </w:p>
              </w:tc>
              <w:tc>
                <w:tcPr>
                  <w:tcW w:w="393"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lang w:val="en-US" w:eastAsia="zh-CN"/>
                    </w:rPr>
                    <w:t>单位</w:t>
                  </w:r>
                </w:p>
              </w:tc>
              <w:tc>
                <w:tcPr>
                  <w:tcW w:w="976" w:type="pct"/>
                  <w:gridSpan w:val="2"/>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highlight w:val="none"/>
                      <w:u w:val="none" w:color="auto"/>
                    </w:rPr>
                  </w:pPr>
                  <w:r>
                    <w:rPr>
                      <w:rFonts w:hint="default" w:ascii="Times New Roman" w:hAnsi="Times New Roman" w:eastAsia="宋体" w:cs="Times New Roman"/>
                      <w:b/>
                      <w:bCs/>
                      <w:color w:val="auto"/>
                      <w:sz w:val="21"/>
                      <w:szCs w:val="21"/>
                      <w:highlight w:val="none"/>
                      <w:u w:val="none" w:color="auto"/>
                    </w:rPr>
                    <w:t>监测浓度</w:t>
                  </w:r>
                </w:p>
              </w:tc>
              <w:tc>
                <w:tcPr>
                  <w:tcW w:w="356"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评价标准</w:t>
                  </w:r>
                </w:p>
              </w:tc>
              <w:tc>
                <w:tcPr>
                  <w:tcW w:w="765"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最大浓度占标率（%）</w:t>
                  </w:r>
                </w:p>
              </w:tc>
              <w:tc>
                <w:tcPr>
                  <w:tcW w:w="553"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超标率（%）</w:t>
                  </w:r>
                </w:p>
              </w:tc>
              <w:tc>
                <w:tcPr>
                  <w:tcW w:w="588" w:type="pct"/>
                  <w:vMerge w:val="restar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达标情况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tblHeader/>
                <w:jc w:val="center"/>
              </w:trPr>
              <w:tc>
                <w:tcPr>
                  <w:tcW w:w="321"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u w:val="none" w:color="auto"/>
                    </w:rPr>
                  </w:pPr>
                </w:p>
              </w:tc>
              <w:tc>
                <w:tcPr>
                  <w:tcW w:w="576"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u w:val="none" w:color="auto"/>
                    </w:rPr>
                  </w:pPr>
                </w:p>
              </w:tc>
              <w:tc>
                <w:tcPr>
                  <w:tcW w:w="465"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color w:val="auto"/>
                      <w:sz w:val="21"/>
                      <w:szCs w:val="21"/>
                      <w:u w:val="none" w:color="auto"/>
                      <w:lang w:val="en-US" w:eastAsia="zh-CN" w:bidi="ar-SA"/>
                    </w:rPr>
                  </w:pPr>
                </w:p>
              </w:tc>
              <w:tc>
                <w:tcPr>
                  <w:tcW w:w="393"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p>
              </w:tc>
              <w:tc>
                <w:tcPr>
                  <w:tcW w:w="486" w:type="pc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最小值</w:t>
                  </w:r>
                </w:p>
              </w:tc>
              <w:tc>
                <w:tcPr>
                  <w:tcW w:w="489" w:type="pct"/>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最大值</w:t>
                  </w:r>
                </w:p>
              </w:tc>
              <w:tc>
                <w:tcPr>
                  <w:tcW w:w="356"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p>
              </w:tc>
              <w:tc>
                <w:tcPr>
                  <w:tcW w:w="765"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p>
              </w:tc>
              <w:tc>
                <w:tcPr>
                  <w:tcW w:w="553"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p>
              </w:tc>
              <w:tc>
                <w:tcPr>
                  <w:tcW w:w="588" w:type="pct"/>
                  <w:vMerge w:val="continue"/>
                  <w:tcBorders>
                    <w:tl2br w:val="nil"/>
                    <w:tr2bl w:val="nil"/>
                  </w:tcBorders>
                  <w:noWrap w:val="0"/>
                  <w:vAlign w:val="center"/>
                </w:tcPr>
                <w:p>
                  <w:pPr>
                    <w:keepNext w:val="0"/>
                    <w:keepLines w:val="0"/>
                    <w:pageBreakBefore w:val="0"/>
                    <w:widowControl w:val="0"/>
                    <w:tabs>
                      <w:tab w:val="left" w:pos="1021"/>
                    </w:tabs>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b/>
                      <w:bCs/>
                      <w:color w:val="auto"/>
                      <w:sz w:val="21"/>
                      <w:szCs w:val="21"/>
                      <w:u w:val="none" w:color="auto"/>
                      <w:lang w:val="en-US"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21" w:type="pct"/>
                  <w:vMerge w:val="restar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G</w:t>
                  </w:r>
                  <w:r>
                    <w:rPr>
                      <w:rFonts w:hint="default" w:ascii="Times New Roman" w:hAnsi="Times New Roman" w:eastAsia="宋体" w:cs="Times New Roman"/>
                      <w:b w:val="0"/>
                      <w:bCs w:val="0"/>
                      <w:i w:val="0"/>
                      <w:iCs w:val="0"/>
                      <w:color w:val="auto"/>
                      <w:kern w:val="0"/>
                      <w:sz w:val="21"/>
                      <w:szCs w:val="21"/>
                      <w:u w:val="none" w:color="auto"/>
                      <w:vertAlign w:val="subscript"/>
                      <w:lang w:val="en-US" w:eastAsia="zh-CN" w:bidi="ar"/>
                    </w:rPr>
                    <w:t>7</w:t>
                  </w:r>
                  <w:r>
                    <w:rPr>
                      <w:rFonts w:hint="default" w:ascii="Times New Roman" w:hAnsi="Times New Roman" w:eastAsia="宋体" w:cs="Times New Roman"/>
                      <w:b w:val="0"/>
                      <w:bCs w:val="0"/>
                      <w:i w:val="0"/>
                      <w:iCs w:val="0"/>
                      <w:color w:val="auto"/>
                      <w:kern w:val="0"/>
                      <w:sz w:val="21"/>
                      <w:szCs w:val="21"/>
                      <w:u w:val="none" w:color="auto"/>
                      <w:lang w:val="en-US" w:eastAsia="zh-CN" w:bidi="ar"/>
                    </w:rPr>
                    <w:t>龙井村</w:t>
                  </w:r>
                </w:p>
              </w:tc>
              <w:tc>
                <w:tcPr>
                  <w:tcW w:w="576" w:type="pct"/>
                  <w:vMerge w:val="restar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2025.10.10~10.16</w:t>
                  </w:r>
                </w:p>
              </w:tc>
              <w:tc>
                <w:tcPr>
                  <w:tcW w:w="465"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TSP</w:t>
                  </w:r>
                </w:p>
              </w:tc>
              <w:tc>
                <w:tcPr>
                  <w:tcW w:w="393"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highlight w:val="none"/>
                      <w:u w:val="none" w:color="auto"/>
                      <w:lang w:val="en-US" w:eastAsia="zh-CN" w:bidi="ar"/>
                    </w:rPr>
                    <w:t>mg/</w:t>
                  </w:r>
                  <w:r>
                    <w:rPr>
                      <w:rFonts w:hint="eastAsia" w:ascii="Times New Roman" w:hAnsi="Times New Roman" w:cs="Times New Roman"/>
                      <w:b w:val="0"/>
                      <w:bCs w:val="0"/>
                      <w:i w:val="0"/>
                      <w:iCs w:val="0"/>
                      <w:color w:val="auto"/>
                      <w:kern w:val="0"/>
                      <w:sz w:val="21"/>
                      <w:szCs w:val="21"/>
                      <w:highlight w:val="none"/>
                      <w:u w:val="none" w:color="auto"/>
                      <w:lang w:val="en-US" w:eastAsia="zh-CN" w:bidi="ar"/>
                    </w:rPr>
                    <w:t>m</w:t>
                  </w:r>
                  <w:r>
                    <w:rPr>
                      <w:rFonts w:hint="eastAsia" w:ascii="Times New Roman" w:hAnsi="Times New Roman" w:cs="Times New Roman"/>
                      <w:b w:val="0"/>
                      <w:bCs w:val="0"/>
                      <w:i w:val="0"/>
                      <w:iCs w:val="0"/>
                      <w:caps w:val="0"/>
                      <w:smallCaps w:val="0"/>
                      <w:strike w:val="0"/>
                      <w:dstrike w:val="0"/>
                      <w:vanish w:val="0"/>
                      <w:color w:val="auto"/>
                      <w:kern w:val="0"/>
                      <w:sz w:val="21"/>
                      <w:szCs w:val="21"/>
                      <w:highlight w:val="none"/>
                      <w:u w:val="none" w:color="auto"/>
                      <w:vertAlign w:val="superscript"/>
                      <w:lang w:val="en-US" w:eastAsia="zh-CN" w:bidi="ar"/>
                    </w:rPr>
                    <w:t>3</w:t>
                  </w:r>
                </w:p>
              </w:tc>
              <w:tc>
                <w:tcPr>
                  <w:tcW w:w="486"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0.1</w:t>
                  </w:r>
                </w:p>
              </w:tc>
              <w:tc>
                <w:tcPr>
                  <w:tcW w:w="489"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0.146</w:t>
                  </w:r>
                </w:p>
              </w:tc>
              <w:tc>
                <w:tcPr>
                  <w:tcW w:w="356"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0.3</w:t>
                  </w:r>
                </w:p>
              </w:tc>
              <w:tc>
                <w:tcPr>
                  <w:tcW w:w="765"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48.67%</w:t>
                  </w:r>
                </w:p>
              </w:tc>
              <w:tc>
                <w:tcPr>
                  <w:tcW w:w="553"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w:t>
                  </w:r>
                </w:p>
              </w:tc>
              <w:tc>
                <w:tcPr>
                  <w:tcW w:w="588"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321" w:type="pct"/>
                  <w:vMerge w:val="continue"/>
                  <w:tcBorders>
                    <w:tl2br w:val="nil"/>
                    <w:tr2bl w:val="nil"/>
                  </w:tcBorders>
                  <w:noWrap w:val="0"/>
                  <w:vAlign w:val="top"/>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top"/>
                    <w:rPr>
                      <w:rFonts w:hint="default" w:ascii="Times New Roman" w:hAnsi="Times New Roman" w:eastAsia="宋体" w:cs="Times New Roman"/>
                      <w:b w:val="0"/>
                      <w:bCs w:val="0"/>
                      <w:i w:val="0"/>
                      <w:iCs w:val="0"/>
                      <w:color w:val="auto"/>
                      <w:kern w:val="0"/>
                      <w:sz w:val="21"/>
                      <w:szCs w:val="21"/>
                      <w:u w:val="none" w:color="auto"/>
                      <w:lang w:val="en-US" w:eastAsia="zh-CN" w:bidi="ar"/>
                    </w:rPr>
                  </w:pPr>
                </w:p>
              </w:tc>
              <w:tc>
                <w:tcPr>
                  <w:tcW w:w="576" w:type="pct"/>
                  <w:vMerge w:val="continue"/>
                  <w:tcBorders>
                    <w:tl2br w:val="nil"/>
                    <w:tr2bl w:val="nil"/>
                  </w:tcBorders>
                  <w:noWrap w:val="0"/>
                  <w:vAlign w:val="top"/>
                </w:tcPr>
                <w:p>
                  <w:pPr>
                    <w:keepNext w:val="0"/>
                    <w:keepLines w:val="0"/>
                    <w:pageBreakBefore w:val="0"/>
                    <w:tabs>
                      <w:tab w:val="left" w:pos="1021"/>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highlight w:val="none"/>
                      <w:u w:val="none" w:color="auto"/>
                    </w:rPr>
                  </w:pPr>
                </w:p>
              </w:tc>
              <w:tc>
                <w:tcPr>
                  <w:tcW w:w="465"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非甲烷总烃</w:t>
                  </w:r>
                </w:p>
              </w:tc>
              <w:tc>
                <w:tcPr>
                  <w:tcW w:w="393"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highlight w:val="none"/>
                      <w:u w:val="none" w:color="auto"/>
                      <w:lang w:val="en-US" w:eastAsia="zh-CN" w:bidi="ar"/>
                    </w:rPr>
                    <w:t>mg/</w:t>
                  </w:r>
                  <w:r>
                    <w:rPr>
                      <w:rFonts w:hint="eastAsia" w:ascii="Times New Roman" w:hAnsi="Times New Roman" w:cs="Times New Roman"/>
                      <w:b w:val="0"/>
                      <w:bCs w:val="0"/>
                      <w:i w:val="0"/>
                      <w:iCs w:val="0"/>
                      <w:color w:val="auto"/>
                      <w:kern w:val="0"/>
                      <w:sz w:val="21"/>
                      <w:szCs w:val="21"/>
                      <w:highlight w:val="none"/>
                      <w:u w:val="none" w:color="auto"/>
                      <w:lang w:val="en-US" w:eastAsia="zh-CN" w:bidi="ar"/>
                    </w:rPr>
                    <w:t>m</w:t>
                  </w:r>
                  <w:r>
                    <w:rPr>
                      <w:rFonts w:hint="eastAsia" w:ascii="Times New Roman" w:hAnsi="Times New Roman" w:cs="Times New Roman"/>
                      <w:b w:val="0"/>
                      <w:bCs w:val="0"/>
                      <w:i w:val="0"/>
                      <w:iCs w:val="0"/>
                      <w:caps w:val="0"/>
                      <w:smallCaps w:val="0"/>
                      <w:strike w:val="0"/>
                      <w:dstrike w:val="0"/>
                      <w:vanish w:val="0"/>
                      <w:color w:val="auto"/>
                      <w:kern w:val="0"/>
                      <w:sz w:val="21"/>
                      <w:szCs w:val="21"/>
                      <w:highlight w:val="none"/>
                      <w:u w:val="none" w:color="auto"/>
                      <w:vertAlign w:val="superscript"/>
                      <w:lang w:val="en-US" w:eastAsia="zh-CN" w:bidi="ar"/>
                    </w:rPr>
                    <w:t>3</w:t>
                  </w:r>
                </w:p>
              </w:tc>
              <w:tc>
                <w:tcPr>
                  <w:tcW w:w="486"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0.30</w:t>
                  </w:r>
                </w:p>
              </w:tc>
              <w:tc>
                <w:tcPr>
                  <w:tcW w:w="489"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0.47</w:t>
                  </w:r>
                </w:p>
              </w:tc>
              <w:tc>
                <w:tcPr>
                  <w:tcW w:w="356"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2</w:t>
                  </w:r>
                </w:p>
              </w:tc>
              <w:tc>
                <w:tcPr>
                  <w:tcW w:w="765"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23.50%</w:t>
                  </w:r>
                </w:p>
              </w:tc>
              <w:tc>
                <w:tcPr>
                  <w:tcW w:w="553"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0</w:t>
                  </w:r>
                </w:p>
              </w:tc>
              <w:tc>
                <w:tcPr>
                  <w:tcW w:w="588" w:type="pct"/>
                  <w:tcBorders>
                    <w:tl2br w:val="nil"/>
                    <w:tr2bl w:val="nil"/>
                  </w:tcBorders>
                  <w:noWrap w:val="0"/>
                  <w:vAlign w:val="center"/>
                </w:tcPr>
                <w:p>
                  <w:pPr>
                    <w:keepNext w:val="0"/>
                    <w:keepLines w:val="0"/>
                    <w:pageBreakBefore w:val="0"/>
                    <w:widowControl/>
                    <w:suppressLineNumbers w:val="0"/>
                    <w:tabs>
                      <w:tab w:val="left" w:pos="1021"/>
                    </w:tabs>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i w:val="0"/>
                      <w:iCs w:val="0"/>
                      <w:color w:val="auto"/>
                      <w:kern w:val="0"/>
                      <w:sz w:val="21"/>
                      <w:szCs w:val="21"/>
                      <w:u w:val="none" w:color="auto"/>
                      <w:lang w:val="en-US" w:eastAsia="zh-CN" w:bidi="ar"/>
                    </w:rPr>
                  </w:pPr>
                  <w:r>
                    <w:rPr>
                      <w:rFonts w:hint="default" w:ascii="Times New Roman" w:hAnsi="Times New Roman" w:eastAsia="宋体" w:cs="Times New Roman"/>
                      <w:b w:val="0"/>
                      <w:bCs w:val="0"/>
                      <w:i w:val="0"/>
                      <w:iCs w:val="0"/>
                      <w:color w:val="auto"/>
                      <w:kern w:val="0"/>
                      <w:sz w:val="21"/>
                      <w:szCs w:val="21"/>
                      <w:u w:val="none" w:color="auto"/>
                      <w:lang w:val="en-US" w:eastAsia="zh-CN" w:bidi="ar"/>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b w:val="0"/>
                <w:bCs w:val="0"/>
                <w:color w:val="auto"/>
                <w:kern w:val="0"/>
                <w:sz w:val="24"/>
                <w:szCs w:val="24"/>
                <w:u w:val="none"/>
                <w:lang w:val="en-US" w:eastAsia="zh-CN"/>
              </w:rPr>
              <w:t>上表监测数据统计结果显示，评价范围内项目所在地块</w:t>
            </w:r>
            <w:r>
              <w:rPr>
                <w:rFonts w:hint="eastAsia" w:ascii="Times New Roman" w:hAnsi="Times New Roman" w:eastAsia="宋体" w:cs="Times New Roman"/>
                <w:b w:val="0"/>
                <w:bCs w:val="0"/>
                <w:color w:val="auto"/>
                <w:kern w:val="0"/>
                <w:sz w:val="24"/>
                <w:szCs w:val="24"/>
                <w:u w:val="none"/>
                <w:lang w:val="en-US" w:eastAsia="zh-CN"/>
              </w:rPr>
              <w:t>总悬浮颗粒物</w:t>
            </w:r>
            <w:r>
              <w:rPr>
                <w:rFonts w:hint="default" w:ascii="Times New Roman" w:hAnsi="Times New Roman" w:eastAsia="宋体" w:cs="Times New Roman"/>
                <w:b w:val="0"/>
                <w:bCs w:val="0"/>
                <w:color w:val="auto"/>
                <w:kern w:val="0"/>
                <w:sz w:val="24"/>
                <w:szCs w:val="24"/>
                <w:u w:val="none"/>
                <w:lang w:val="en-US" w:eastAsia="zh-CN"/>
              </w:rPr>
              <w:t>的1小时平均浓度范围为</w:t>
            </w:r>
            <w:r>
              <w:rPr>
                <w:rFonts w:hint="eastAsia" w:ascii="Times New Roman" w:hAnsi="Times New Roman" w:eastAsia="宋体" w:cs="Times New Roman"/>
                <w:b w:val="0"/>
                <w:bCs w:val="0"/>
                <w:color w:val="auto"/>
                <w:kern w:val="0"/>
                <w:sz w:val="24"/>
                <w:szCs w:val="24"/>
                <w:u w:val="none"/>
                <w:lang w:val="en-US" w:eastAsia="zh-CN"/>
              </w:rPr>
              <w:t>0.1-0.146m</w:t>
            </w:r>
            <w:r>
              <w:rPr>
                <w:rFonts w:hint="default" w:ascii="Times New Roman" w:hAnsi="Times New Roman" w:eastAsia="宋体" w:cs="Times New Roman"/>
                <w:b w:val="0"/>
                <w:bCs w:val="0"/>
                <w:color w:val="auto"/>
                <w:kern w:val="0"/>
                <w:sz w:val="24"/>
                <w:szCs w:val="24"/>
                <w:u w:val="none"/>
                <w:lang w:val="en-US" w:eastAsia="zh-CN"/>
              </w:rPr>
              <w:t>g/m</w:t>
            </w:r>
            <w:r>
              <w:rPr>
                <w:rFonts w:hint="default" w:ascii="Times New Roman" w:hAnsi="Times New Roman" w:eastAsia="宋体" w:cs="Times New Roman"/>
                <w:b w:val="0"/>
                <w:bCs w:val="0"/>
                <w:color w:val="auto"/>
                <w:kern w:val="0"/>
                <w:sz w:val="24"/>
                <w:szCs w:val="24"/>
                <w:u w:val="none"/>
                <w:vertAlign w:val="superscript"/>
                <w:lang w:val="en-US" w:eastAsia="zh-CN"/>
              </w:rPr>
              <w:t>3</w:t>
            </w:r>
            <w:r>
              <w:rPr>
                <w:rFonts w:hint="default" w:ascii="Times New Roman" w:hAnsi="Times New Roman" w:eastAsia="宋体" w:cs="Times New Roman"/>
                <w:color w:val="auto"/>
                <w:sz w:val="24"/>
                <w:szCs w:val="24"/>
                <w:u w:val="none"/>
                <w:lang w:eastAsia="zh-CN"/>
              </w:rPr>
              <w:t>，最大浓度占标率为</w:t>
            </w:r>
            <w:r>
              <w:rPr>
                <w:rFonts w:hint="eastAsia" w:ascii="Times New Roman" w:hAnsi="Times New Roman" w:eastAsia="宋体" w:cs="Times New Roman"/>
                <w:color w:val="auto"/>
                <w:sz w:val="24"/>
                <w:szCs w:val="24"/>
                <w:u w:val="none"/>
                <w:lang w:val="en-US" w:eastAsia="zh-CN"/>
              </w:rPr>
              <w:t>48.67</w:t>
            </w:r>
            <w:r>
              <w:rPr>
                <w:rFonts w:hint="default" w:ascii="Times New Roman" w:hAnsi="Times New Roman" w:eastAsia="宋体" w:cs="Times New Roman"/>
                <w:color w:val="auto"/>
                <w:sz w:val="24"/>
                <w:szCs w:val="24"/>
                <w:u w:val="none"/>
                <w:lang w:val="en-US" w:eastAsia="zh-CN"/>
              </w:rPr>
              <w:t>%</w:t>
            </w:r>
            <w:r>
              <w:rPr>
                <w:rFonts w:hint="eastAsia" w:ascii="Times New Roman" w:hAnsi="Times New Roman" w:eastAsia="宋体" w:cs="Times New Roman"/>
                <w:color w:val="auto"/>
                <w:sz w:val="24"/>
                <w:szCs w:val="24"/>
                <w:u w:val="none"/>
                <w:lang w:val="en-US" w:eastAsia="zh-CN"/>
              </w:rPr>
              <w:t>；</w:t>
            </w:r>
            <w:r>
              <w:rPr>
                <w:rFonts w:hint="eastAsia" w:ascii="Times New Roman" w:hAnsi="Times New Roman" w:eastAsia="宋体" w:cs="Times New Roman"/>
                <w:b w:val="0"/>
                <w:bCs w:val="0"/>
                <w:color w:val="auto"/>
                <w:kern w:val="0"/>
                <w:sz w:val="24"/>
                <w:szCs w:val="24"/>
                <w:u w:val="none"/>
                <w:lang w:val="en-US" w:eastAsia="zh-CN"/>
              </w:rPr>
              <w:t>非甲烷总烃</w:t>
            </w:r>
            <w:r>
              <w:rPr>
                <w:rFonts w:hint="default" w:ascii="Times New Roman" w:hAnsi="Times New Roman" w:eastAsia="宋体" w:cs="Times New Roman"/>
                <w:b w:val="0"/>
                <w:bCs w:val="0"/>
                <w:color w:val="auto"/>
                <w:kern w:val="0"/>
                <w:sz w:val="24"/>
                <w:szCs w:val="24"/>
                <w:u w:val="none"/>
                <w:lang w:val="en-US" w:eastAsia="zh-CN"/>
              </w:rPr>
              <w:t>的1小时平均浓度范围为</w:t>
            </w:r>
            <w:r>
              <w:rPr>
                <w:rFonts w:hint="eastAsia" w:ascii="Times New Roman" w:hAnsi="Times New Roman" w:eastAsia="宋体" w:cs="Times New Roman"/>
                <w:b w:val="0"/>
                <w:bCs w:val="0"/>
                <w:color w:val="auto"/>
                <w:kern w:val="0"/>
                <w:sz w:val="24"/>
                <w:szCs w:val="24"/>
                <w:u w:val="none"/>
                <w:lang w:val="en-US" w:eastAsia="zh-CN"/>
              </w:rPr>
              <w:t>0.30~0.47m</w:t>
            </w:r>
            <w:r>
              <w:rPr>
                <w:rFonts w:hint="default" w:ascii="Times New Roman" w:hAnsi="Times New Roman" w:eastAsia="宋体" w:cs="Times New Roman"/>
                <w:b w:val="0"/>
                <w:bCs w:val="0"/>
                <w:color w:val="auto"/>
                <w:kern w:val="0"/>
                <w:sz w:val="24"/>
                <w:szCs w:val="24"/>
                <w:u w:val="none"/>
                <w:lang w:val="en-US" w:eastAsia="zh-CN"/>
              </w:rPr>
              <w:t>g/m</w:t>
            </w:r>
            <w:r>
              <w:rPr>
                <w:rFonts w:hint="default" w:ascii="Times New Roman" w:hAnsi="Times New Roman" w:eastAsia="宋体" w:cs="Times New Roman"/>
                <w:b w:val="0"/>
                <w:bCs w:val="0"/>
                <w:color w:val="auto"/>
                <w:kern w:val="0"/>
                <w:sz w:val="24"/>
                <w:szCs w:val="24"/>
                <w:u w:val="none"/>
                <w:vertAlign w:val="superscript"/>
                <w:lang w:val="en-US" w:eastAsia="zh-CN"/>
              </w:rPr>
              <w:t>3</w:t>
            </w:r>
            <w:r>
              <w:rPr>
                <w:rFonts w:hint="default" w:ascii="Times New Roman" w:hAnsi="Times New Roman" w:eastAsia="宋体" w:cs="Times New Roman"/>
                <w:color w:val="auto"/>
                <w:sz w:val="24"/>
                <w:szCs w:val="24"/>
                <w:u w:val="none"/>
                <w:lang w:eastAsia="zh-CN"/>
              </w:rPr>
              <w:t>，最大浓度占标率为</w:t>
            </w:r>
            <w:r>
              <w:rPr>
                <w:rFonts w:hint="eastAsia" w:ascii="Times New Roman" w:hAnsi="Times New Roman" w:eastAsia="宋体" w:cs="Times New Roman"/>
                <w:color w:val="auto"/>
                <w:sz w:val="24"/>
                <w:szCs w:val="24"/>
                <w:u w:val="none"/>
                <w:lang w:val="en-US" w:eastAsia="zh-CN"/>
              </w:rPr>
              <w:t>23.50</w:t>
            </w:r>
            <w:r>
              <w:rPr>
                <w:rFonts w:hint="default" w:ascii="Times New Roman" w:hAnsi="Times New Roman" w:eastAsia="宋体" w:cs="Times New Roman"/>
                <w:color w:val="auto"/>
                <w:sz w:val="24"/>
                <w:szCs w:val="24"/>
                <w:u w:val="none"/>
                <w:lang w:val="en-US" w:eastAsia="zh-CN"/>
              </w:rPr>
              <w:t>%</w:t>
            </w:r>
            <w:r>
              <w:rPr>
                <w:rFonts w:hint="eastAsia" w:ascii="Times New Roman" w:hAnsi="Times New Roman" w:eastAsia="宋体" w:cs="Times New Roman"/>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szCs w:val="24"/>
                <w:u w:val="wave" w:color="auto"/>
                <w:lang w:val="en-US" w:eastAsia="zh-CN"/>
              </w:rPr>
            </w:pPr>
            <w:r>
              <w:rPr>
                <w:rFonts w:hint="eastAsia" w:ascii="Times New Roman" w:hAnsi="Times New Roman" w:eastAsia="宋体" w:cs="Times New Roman"/>
                <w:color w:val="auto"/>
                <w:sz w:val="24"/>
                <w:szCs w:val="24"/>
                <w:u w:val="wave" w:color="auto"/>
                <w:lang w:val="en-US" w:eastAsia="zh-CN"/>
              </w:rPr>
              <w:t>故项目所在地块</w:t>
            </w:r>
            <w:r>
              <w:rPr>
                <w:rFonts w:hint="default" w:ascii="Times New Roman" w:hAnsi="Times New Roman" w:eastAsia="宋体" w:cs="Times New Roman"/>
                <w:bCs/>
                <w:color w:val="auto"/>
                <w:sz w:val="24"/>
                <w:szCs w:val="20"/>
                <w:u w:val="wave" w:color="auto"/>
                <w:lang w:val="zh-CN"/>
              </w:rPr>
              <w:t>符合</w:t>
            </w:r>
            <w:r>
              <w:rPr>
                <w:rFonts w:hint="default" w:ascii="Times New Roman" w:hAnsi="Times New Roman" w:eastAsia="宋体" w:cs="Times New Roman"/>
                <w:bCs/>
                <w:color w:val="auto"/>
                <w:sz w:val="24"/>
                <w:szCs w:val="20"/>
                <w:u w:val="wave" w:color="auto"/>
              </w:rPr>
              <w:t>《</w:t>
            </w:r>
            <w:bookmarkStart w:id="17" w:name="OLE_LINK20"/>
            <w:r>
              <w:rPr>
                <w:rFonts w:hint="default" w:ascii="Times New Roman" w:hAnsi="Times New Roman" w:eastAsia="宋体" w:cs="Times New Roman"/>
                <w:bCs/>
                <w:color w:val="auto"/>
                <w:sz w:val="24"/>
                <w:szCs w:val="20"/>
                <w:u w:val="wave" w:color="auto"/>
              </w:rPr>
              <w:t>环境空气质量标准</w:t>
            </w:r>
            <w:bookmarkEnd w:id="17"/>
            <w:r>
              <w:rPr>
                <w:rFonts w:hint="default" w:ascii="Times New Roman" w:hAnsi="Times New Roman" w:eastAsia="宋体" w:cs="Times New Roman"/>
                <w:bCs/>
                <w:color w:val="auto"/>
                <w:sz w:val="24"/>
                <w:szCs w:val="20"/>
                <w:u w:val="wave" w:color="auto"/>
              </w:rPr>
              <w:t>》（GB3095-2012）</w:t>
            </w:r>
            <w:r>
              <w:rPr>
                <w:rFonts w:hint="eastAsia" w:ascii="Times New Roman" w:hAnsi="Times New Roman" w:eastAsia="宋体" w:cs="Times New Roman"/>
                <w:bCs/>
                <w:color w:val="auto"/>
                <w:sz w:val="24"/>
                <w:szCs w:val="20"/>
                <w:u w:val="wave" w:color="auto"/>
                <w:lang w:val="en-US" w:eastAsia="zh-CN"/>
              </w:rPr>
              <w:t>及</w:t>
            </w:r>
            <w:r>
              <w:rPr>
                <w:rFonts w:hint="default" w:ascii="Times New Roman" w:hAnsi="Times New Roman" w:eastAsia="宋体" w:cs="Times New Roman"/>
                <w:color w:val="auto"/>
                <w:sz w:val="24"/>
                <w:highlight w:val="none"/>
                <w:u w:val="wave" w:color="auto"/>
                <w:lang w:val="zh-CN"/>
              </w:rPr>
              <w:t>原国家环境保护局科技标准司编制的《大气污染物综合排放标准详解》（中国环境科学出版社）中的标准限值</w:t>
            </w:r>
            <w:r>
              <w:rPr>
                <w:rFonts w:hint="eastAsia" w:cs="Times New Roman"/>
                <w:bCs/>
                <w:color w:val="auto"/>
                <w:sz w:val="24"/>
                <w:szCs w:val="20"/>
                <w:u w:val="wave" w:color="auto"/>
                <w:lang w:eastAsia="zh-CN"/>
              </w:rPr>
              <w:t>，</w:t>
            </w:r>
            <w:r>
              <w:rPr>
                <w:rFonts w:hint="eastAsia" w:cs="Times New Roman"/>
                <w:b w:val="0"/>
                <w:bCs w:val="0"/>
                <w:color w:val="auto"/>
                <w:kern w:val="0"/>
                <w:sz w:val="24"/>
                <w:szCs w:val="24"/>
                <w:u w:val="wave"/>
                <w:lang w:val="en-US" w:eastAsia="zh-CN"/>
              </w:rPr>
              <w:t>且同时满足</w:t>
            </w:r>
            <w:r>
              <w:rPr>
                <w:rFonts w:hint="default" w:ascii="Times New Roman" w:hAnsi="Times New Roman" w:eastAsia="宋体" w:cs="Times New Roman"/>
                <w:b w:val="0"/>
                <w:bCs w:val="0"/>
                <w:color w:val="auto"/>
                <w:kern w:val="0"/>
                <w:sz w:val="24"/>
                <w:szCs w:val="24"/>
                <w:u w:val="wave"/>
                <w:lang w:val="en-US" w:eastAsia="zh-CN"/>
              </w:rPr>
              <w:t>《环境空气质量标准》（GB3095-20</w:t>
            </w:r>
            <w:r>
              <w:rPr>
                <w:rFonts w:hint="eastAsia" w:ascii="Times New Roman" w:hAnsi="Times New Roman" w:cs="Times New Roman"/>
                <w:b w:val="0"/>
                <w:bCs w:val="0"/>
                <w:color w:val="auto"/>
                <w:kern w:val="0"/>
                <w:sz w:val="24"/>
                <w:szCs w:val="24"/>
                <w:u w:val="wave"/>
                <w:lang w:val="en-US" w:eastAsia="zh-CN"/>
              </w:rPr>
              <w:t>26</w:t>
            </w:r>
            <w:r>
              <w:rPr>
                <w:rFonts w:hint="default" w:ascii="Times New Roman" w:hAnsi="Times New Roman" w:eastAsia="宋体" w:cs="Times New Roman"/>
                <w:b w:val="0"/>
                <w:bCs w:val="0"/>
                <w:color w:val="auto"/>
                <w:kern w:val="0"/>
                <w:sz w:val="24"/>
                <w:szCs w:val="24"/>
                <w:u w:val="wave"/>
                <w:lang w:val="en-US" w:eastAsia="zh-CN"/>
              </w:rPr>
              <w:t>）</w:t>
            </w:r>
            <w:r>
              <w:rPr>
                <w:rFonts w:hint="eastAsia" w:ascii="Times New Roman" w:hAnsi="Times New Roman" w:cs="Times New Roman"/>
                <w:b w:val="0"/>
                <w:bCs w:val="0"/>
                <w:color w:val="auto"/>
                <w:kern w:val="0"/>
                <w:sz w:val="24"/>
                <w:szCs w:val="24"/>
                <w:u w:val="wave"/>
                <w:lang w:val="en-US" w:eastAsia="zh-CN"/>
              </w:rPr>
              <w:t>过渡阶段的</w:t>
            </w:r>
            <w:r>
              <w:rPr>
                <w:rFonts w:hint="default" w:ascii="Times New Roman" w:hAnsi="Times New Roman" w:eastAsia="宋体" w:cs="Times New Roman"/>
                <w:b w:val="0"/>
                <w:bCs w:val="0"/>
                <w:color w:val="auto"/>
                <w:kern w:val="0"/>
                <w:sz w:val="24"/>
                <w:szCs w:val="24"/>
                <w:u w:val="wave"/>
                <w:lang w:val="en-US" w:eastAsia="zh-CN"/>
              </w:rPr>
              <w:t>二级标准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2、地表水环境质量现状</w:t>
            </w:r>
          </w:p>
          <w:p>
            <w:pPr>
              <w:spacing w:line="360" w:lineRule="auto"/>
              <w:ind w:firstLine="480" w:firstLineChars="200"/>
              <w:rPr>
                <w:color w:val="auto"/>
                <w:sz w:val="24"/>
              </w:rPr>
            </w:pPr>
            <w:r>
              <w:rPr>
                <w:color w:val="auto"/>
                <w:sz w:val="24"/>
              </w:rPr>
              <w:t>本次地表水环境质量现状评价引用衡阳市《关于202</w:t>
            </w:r>
            <w:r>
              <w:rPr>
                <w:rFonts w:hint="eastAsia"/>
                <w:color w:val="auto"/>
                <w:sz w:val="24"/>
                <w:lang w:val="en-US" w:eastAsia="zh-CN"/>
              </w:rPr>
              <w:t>5</w:t>
            </w:r>
            <w:r>
              <w:rPr>
                <w:color w:val="auto"/>
                <w:sz w:val="24"/>
              </w:rPr>
              <w:t>年12月及1~12月全市环境质量状况的通报》中结论：公报中衡阳县考核断面共设置3个检测断面，分别为洪市镇</w:t>
            </w:r>
            <w:r>
              <w:rPr>
                <w:rFonts w:hint="eastAsia"/>
                <w:color w:val="auto"/>
                <w:sz w:val="24"/>
                <w:lang w:eastAsia="zh-CN"/>
              </w:rPr>
              <w:t>断面</w:t>
            </w:r>
            <w:r>
              <w:rPr>
                <w:color w:val="auto"/>
                <w:sz w:val="24"/>
              </w:rPr>
              <w:t>、西渡水厂断面、新化村断面。3个断面水质分别满足《地表水环境质量标准》（GB3838-2002）中Ⅱ、Ⅱ、Ⅲ类水质标准，水质状况为良好。具体见下图。</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u w:val="none"/>
                <w:lang w:val="en-US" w:eastAsia="zh-CN"/>
              </w:rPr>
            </w:pPr>
            <w:r>
              <w:drawing>
                <wp:inline distT="0" distB="0" distL="114300" distR="114300">
                  <wp:extent cx="5063490" cy="3426460"/>
                  <wp:effectExtent l="0" t="0" r="3810" b="2540"/>
                  <wp:docPr id="6"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2"/>
                          <pic:cNvPicPr>
                            <a:picLocks noChangeAspect="1"/>
                          </pic:cNvPicPr>
                        </pic:nvPicPr>
                        <pic:blipFill>
                          <a:blip r:embed="rId15"/>
                          <a:stretch>
                            <a:fillRect/>
                          </a:stretch>
                        </pic:blipFill>
                        <pic:spPr>
                          <a:xfrm>
                            <a:off x="0" y="0"/>
                            <a:ext cx="5063490" cy="3426460"/>
                          </a:xfrm>
                          <a:prstGeom prst="rect">
                            <a:avLst/>
                          </a:prstGeom>
                          <a:noFill/>
                          <a:ln>
                            <a:noFill/>
                          </a:ln>
                        </pic:spPr>
                      </pic:pic>
                    </a:graphicData>
                  </a:graphic>
                </wp:inline>
              </w:drawing>
            </w:r>
          </w:p>
          <w:p>
            <w:pPr>
              <w:pStyle w:val="10"/>
              <w:keepNext w:val="0"/>
              <w:keepLines w:val="0"/>
              <w:pageBreakBefore w:val="0"/>
              <w:widowControl/>
              <w:kinsoku/>
              <w:wordWrap/>
              <w:overflowPunct/>
              <w:topLinePunct w:val="0"/>
              <w:autoSpaceDE/>
              <w:autoSpaceDN/>
              <w:bidi w:val="0"/>
              <w:adjustRightInd/>
              <w:snapToGrid/>
              <w:spacing w:before="0" w:after="0" w:line="360" w:lineRule="auto"/>
              <w:ind w:right="0"/>
              <w:jc w:val="center"/>
              <w:textAlignment w:val="auto"/>
              <w:rPr>
                <w:rFonts w:hint="default" w:ascii="Times New Roman" w:hAnsi="Times New Roman" w:cs="Times New Roman"/>
                <w:b/>
                <w:bCs/>
                <w:color w:val="auto"/>
                <w:sz w:val="21"/>
                <w:szCs w:val="21"/>
                <w:u w:val="none"/>
                <w:lang w:val="en-US" w:eastAsia="zh-CN"/>
              </w:rPr>
            </w:pPr>
            <w:r>
              <w:rPr>
                <w:rFonts w:hint="default" w:ascii="Times New Roman" w:hAnsi="Times New Roman" w:cs="Times New Roman"/>
                <w:b/>
                <w:bCs/>
                <w:color w:val="auto"/>
                <w:sz w:val="21"/>
                <w:szCs w:val="21"/>
                <w:u w:val="none"/>
                <w:lang w:val="en-US" w:eastAsia="zh-CN"/>
              </w:rPr>
              <w:t>图3-1  202</w:t>
            </w:r>
            <w:r>
              <w:rPr>
                <w:rFonts w:hint="eastAsia" w:ascii="Times New Roman" w:hAnsi="Times New Roman" w:cs="Times New Roman"/>
                <w:b/>
                <w:bCs/>
                <w:color w:val="auto"/>
                <w:sz w:val="21"/>
                <w:szCs w:val="21"/>
                <w:u w:val="none"/>
                <w:lang w:val="en-US" w:eastAsia="zh-CN"/>
              </w:rPr>
              <w:t>5</w:t>
            </w:r>
            <w:r>
              <w:rPr>
                <w:rFonts w:hint="default" w:ascii="Times New Roman" w:hAnsi="Times New Roman" w:cs="Times New Roman"/>
                <w:b/>
                <w:bCs/>
                <w:color w:val="auto"/>
                <w:sz w:val="21"/>
                <w:szCs w:val="21"/>
                <w:u w:val="none"/>
                <w:lang w:val="en-US" w:eastAsia="zh-CN"/>
              </w:rPr>
              <w:t>年1-12月衡阳</w:t>
            </w:r>
            <w:r>
              <w:rPr>
                <w:rFonts w:hint="eastAsia" w:ascii="Times New Roman" w:hAnsi="Times New Roman" w:cs="Times New Roman"/>
                <w:b/>
                <w:bCs/>
                <w:color w:val="auto"/>
                <w:sz w:val="21"/>
                <w:szCs w:val="21"/>
                <w:u w:val="none"/>
                <w:lang w:val="en-US" w:eastAsia="zh-CN"/>
              </w:rPr>
              <w:t>县</w:t>
            </w:r>
            <w:r>
              <w:rPr>
                <w:rFonts w:hint="default" w:ascii="Times New Roman" w:hAnsi="Times New Roman" w:cs="Times New Roman"/>
                <w:b/>
                <w:bCs/>
                <w:color w:val="auto"/>
                <w:sz w:val="21"/>
                <w:szCs w:val="21"/>
                <w:u w:val="none"/>
                <w:lang w:val="en-US" w:eastAsia="zh-CN"/>
              </w:rPr>
              <w:t>地表水水质情况（节选）</w:t>
            </w:r>
          </w:p>
          <w:p>
            <w:pPr>
              <w:spacing w:line="360" w:lineRule="auto"/>
              <w:ind w:firstLine="482" w:firstLineChars="200"/>
              <w:rPr>
                <w:b/>
                <w:bCs/>
                <w:color w:val="auto"/>
                <w:sz w:val="24"/>
              </w:rPr>
            </w:pPr>
            <w:r>
              <w:rPr>
                <w:b/>
                <w:bCs/>
                <w:color w:val="auto"/>
                <w:sz w:val="24"/>
              </w:rPr>
              <w:t>3、声环境质量现状</w:t>
            </w:r>
          </w:p>
          <w:p>
            <w:pPr>
              <w:spacing w:line="360" w:lineRule="auto"/>
              <w:ind w:firstLine="480" w:firstLineChars="200"/>
              <w:rPr>
                <w:rFonts w:hint="eastAsia"/>
                <w:color w:val="auto"/>
                <w:sz w:val="24"/>
              </w:rPr>
            </w:pPr>
            <w:r>
              <w:rPr>
                <w:rFonts w:hint="eastAsia"/>
                <w:color w:val="auto"/>
                <w:sz w:val="24"/>
              </w:rPr>
              <w:t>厂界外周边50米范围内无声环境保护目标，因此不进行厂界及声环境保护目标声环境监测。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auto"/>
                <w:sz w:val="24"/>
                <w:szCs w:val="24"/>
                <w:u w:val="wave"/>
                <w:lang w:val="en-US" w:eastAsia="zh-CN"/>
              </w:rPr>
            </w:pPr>
            <w:r>
              <w:rPr>
                <w:rFonts w:hint="default" w:ascii="Times New Roman" w:hAnsi="Times New Roman" w:eastAsia="宋体" w:cs="Times New Roman"/>
                <w:b/>
                <w:bCs/>
                <w:color w:val="auto"/>
                <w:sz w:val="24"/>
                <w:szCs w:val="24"/>
                <w:u w:val="wave"/>
                <w:lang w:val="en-US" w:eastAsia="zh-CN"/>
              </w:rPr>
              <w:t>4、生态环境现状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u w:val="wave"/>
              </w:rPr>
            </w:pPr>
            <w:r>
              <w:rPr>
                <w:rFonts w:hint="default" w:ascii="Times New Roman" w:hAnsi="Times New Roman" w:eastAsia="宋体" w:cs="Times New Roman"/>
                <w:color w:val="auto"/>
                <w:sz w:val="24"/>
                <w:u w:val="wave"/>
              </w:rPr>
              <w:t>本项目租用湖南衡利丰陶瓷有限公司闲置厂房进行生产，故本项目用地不属于园区外建设项目新增用地。本项目区域内无自然保护区、世界文化和自然遗产地等特殊敏感生态区，也没有风景名胜区、森林公园、地质公园、重要湿地、原始天然林、珍稀濒危野生动植物天然集中分布区、重要水生生物的自然产卵场及索饵场、越冬场和洄游通道、天然渔场等重要生态敏感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u w:val="wave"/>
                <w:lang w:eastAsia="zh-CN"/>
              </w:rPr>
            </w:pPr>
            <w:r>
              <w:rPr>
                <w:rFonts w:hint="default" w:ascii="Times New Roman" w:hAnsi="Times New Roman" w:eastAsia="宋体" w:cs="Times New Roman"/>
                <w:color w:val="auto"/>
                <w:sz w:val="24"/>
                <w:u w:val="wave"/>
              </w:rPr>
              <w:t>项目用地范围内不存在生态环境保护目标，因此，不进行生态现状调查</w:t>
            </w:r>
            <w:r>
              <w:rPr>
                <w:rFonts w:hint="eastAsia" w:cs="Times New Roman"/>
                <w:color w:val="auto"/>
                <w:sz w:val="24"/>
                <w:u w:val="wav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auto"/>
                <w:sz w:val="24"/>
                <w:u w:val="wave"/>
                <w:lang w:eastAsia="zh-CN"/>
              </w:rPr>
            </w:pPr>
            <w:r>
              <w:rPr>
                <w:rFonts w:hint="eastAsia" w:ascii="Times New Roman" w:hAnsi="Times New Roman" w:eastAsia="宋体" w:cs="Times New Roman"/>
                <w:b/>
                <w:bCs/>
                <w:color w:val="auto"/>
                <w:sz w:val="24"/>
                <w:u w:val="wave"/>
                <w:lang w:eastAsia="zh-CN"/>
              </w:rPr>
              <w:t>5、地下水、土壤环境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color w:val="auto"/>
                <w:sz w:val="24"/>
                <w:u w:val="wave"/>
                <w:lang w:eastAsia="zh-CN"/>
              </w:rPr>
            </w:pPr>
            <w:r>
              <w:rPr>
                <w:rFonts w:hint="eastAsia" w:ascii="Times New Roman" w:hAnsi="Times New Roman" w:eastAsia="宋体" w:cs="Times New Roman"/>
                <w:color w:val="auto"/>
                <w:sz w:val="24"/>
                <w:u w:val="wave"/>
                <w:lang w:eastAsia="zh-CN"/>
              </w:rPr>
              <w:t>本项目属于报废车辆回收拆解项目，拆解车间内均进行水泥地面硬底化，废水处理区、一般工业固废暂存间和危废暂存间等基础均进行防渗处理，则本项目不存在土壤、地下水污染途径。因此，不进行土壤、地下水环境质量现状调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auto"/>
                <w:sz w:val="24"/>
                <w:u w:val="none"/>
                <w:lang w:eastAsia="zh-CN"/>
              </w:rPr>
            </w:pPr>
            <w:r>
              <w:rPr>
                <w:rFonts w:hint="eastAsia" w:ascii="Times New Roman" w:hAnsi="Times New Roman" w:eastAsia="宋体" w:cs="Times New Roman"/>
                <w:b/>
                <w:bCs/>
                <w:color w:val="auto"/>
                <w:sz w:val="24"/>
                <w:u w:val="none"/>
                <w:lang w:eastAsia="zh-CN"/>
              </w:rPr>
              <w:t>6、电磁辐射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bCs/>
                <w:color w:val="auto"/>
                <w:kern w:val="0"/>
                <w:sz w:val="24"/>
                <w:szCs w:val="24"/>
                <w:u w:val="none"/>
                <w:lang w:val="en-US" w:eastAsia="zh-CN"/>
              </w:rPr>
            </w:pPr>
            <w:r>
              <w:rPr>
                <w:rFonts w:hint="eastAsia" w:ascii="Times New Roman" w:hAnsi="Times New Roman" w:eastAsia="宋体" w:cs="Times New Roman"/>
                <w:color w:val="auto"/>
                <w:sz w:val="24"/>
                <w:u w:val="none"/>
                <w:lang w:eastAsia="zh-CN"/>
              </w:rPr>
              <w:t>本项目不涉及电磁辐射设备，不进行电磁辐射影响评价，因此无需进行电磁辐射环境现状调查。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环境</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保护</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目标</w:t>
            </w:r>
          </w:p>
        </w:tc>
        <w:tc>
          <w:tcPr>
            <w:tcW w:w="81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u w:val="none"/>
              </w:rPr>
            </w:pPr>
            <w:r>
              <w:rPr>
                <w:rFonts w:hint="default" w:ascii="Times New Roman" w:hAnsi="Times New Roman" w:eastAsia="宋体" w:cs="Times New Roman"/>
                <w:b/>
                <w:bCs/>
                <w:color w:val="auto"/>
                <w:sz w:val="24"/>
                <w:u w:val="none"/>
              </w:rPr>
              <w:t>1、环境空气保护目标：</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本项目所在区域环境空气质量执行《环境空气质量标准》（GB3095-2012） 及2018年修改单的二级标准。项目厂界500m</w:t>
            </w:r>
            <w:r>
              <w:rPr>
                <w:rFonts w:hint="default" w:ascii="Times New Roman" w:hAnsi="Times New Roman" w:eastAsia="宋体" w:cs="Times New Roman"/>
                <w:color w:val="auto"/>
                <w:sz w:val="24"/>
                <w:u w:val="none"/>
                <w:lang w:val="en-US" w:eastAsia="zh-CN"/>
              </w:rPr>
              <w:t>范</w:t>
            </w:r>
            <w:r>
              <w:rPr>
                <w:rFonts w:hint="default" w:ascii="Times New Roman" w:hAnsi="Times New Roman" w:eastAsia="宋体" w:cs="Times New Roman"/>
                <w:color w:val="auto"/>
                <w:sz w:val="24"/>
                <w:u w:val="none"/>
              </w:rPr>
              <w:t>围内无自然保护区、风景名 胜区和</w:t>
            </w:r>
            <w:r>
              <w:rPr>
                <w:rFonts w:hint="default" w:ascii="Times New Roman" w:hAnsi="Times New Roman" w:eastAsia="宋体" w:cs="Times New Roman"/>
                <w:color w:val="auto"/>
                <w:sz w:val="24"/>
                <w:u w:val="none"/>
                <w:lang w:val="en-US" w:eastAsia="zh-CN"/>
              </w:rPr>
              <w:t>其他需要特殊保护的区域</w:t>
            </w:r>
            <w:r>
              <w:rPr>
                <w:rFonts w:hint="default" w:ascii="Times New Roman" w:hAnsi="Times New Roman" w:eastAsia="宋体" w:cs="Times New Roman"/>
                <w:color w:val="auto"/>
                <w:sz w:val="24"/>
                <w:u w:val="none"/>
              </w:rPr>
              <w:t>，居住区和城镇中人群较集中的区域见下表。</w:t>
            </w:r>
          </w:p>
          <w:p>
            <w:pPr>
              <w:pStyle w:val="10"/>
              <w:keepNext w:val="0"/>
              <w:keepLines w:val="0"/>
              <w:pageBreakBefore w:val="0"/>
              <w:kinsoku/>
              <w:wordWrap/>
              <w:overflowPunct/>
              <w:topLinePunct w:val="0"/>
              <w:autoSpaceDE/>
              <w:autoSpaceDN/>
              <w:bidi w:val="0"/>
              <w:adjustRightInd/>
              <w:snapToGrid/>
              <w:spacing w:before="0" w:after="0" w:line="360" w:lineRule="auto"/>
              <w:ind w:right="0"/>
              <w:jc w:val="center"/>
              <w:textAlignment w:val="auto"/>
              <w:rPr>
                <w:rFonts w:hint="default" w:ascii="Times New Roman" w:hAnsi="Times New Roman" w:eastAsia="宋体" w:cs="Times New Roman"/>
                <w:b/>
                <w:bCs/>
                <w:color w:val="auto"/>
                <w:u w:val="none"/>
              </w:rPr>
            </w:pPr>
            <w:r>
              <w:rPr>
                <w:rFonts w:hint="default" w:ascii="Times New Roman" w:hAnsi="Times New Roman" w:eastAsia="宋体" w:cs="Times New Roman"/>
                <w:b/>
                <w:bCs/>
                <w:color w:val="auto"/>
                <w:sz w:val="21"/>
                <w:szCs w:val="21"/>
                <w:u w:val="none"/>
              </w:rPr>
              <w:t>表3-</w:t>
            </w:r>
            <w:r>
              <w:rPr>
                <w:rFonts w:hint="default" w:ascii="Times New Roman" w:hAnsi="Times New Roman" w:eastAsia="宋体" w:cs="Times New Roman"/>
                <w:b/>
                <w:bCs/>
                <w:color w:val="auto"/>
                <w:sz w:val="21"/>
                <w:szCs w:val="21"/>
                <w:u w:val="none"/>
                <w:lang w:val="en-US" w:eastAsia="zh-CN"/>
              </w:rPr>
              <w:t>3</w:t>
            </w:r>
            <w:r>
              <w:rPr>
                <w:rFonts w:hint="default" w:ascii="Times New Roman" w:hAnsi="Times New Roman" w:eastAsia="宋体" w:cs="Times New Roman"/>
                <w:b/>
                <w:bCs/>
                <w:color w:val="auto"/>
                <w:sz w:val="21"/>
                <w:szCs w:val="21"/>
                <w:u w:val="none"/>
              </w:rPr>
              <w:t xml:space="preserve"> 大气环境保护目标一览表</w:t>
            </w:r>
          </w:p>
          <w:tbl>
            <w:tblPr>
              <w:tblStyle w:val="25"/>
              <w:tblW w:w="4996"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768"/>
              <w:gridCol w:w="693"/>
              <w:gridCol w:w="1247"/>
              <w:gridCol w:w="1183"/>
              <w:gridCol w:w="720"/>
              <w:gridCol w:w="811"/>
              <w:gridCol w:w="790"/>
              <w:gridCol w:w="604"/>
              <w:gridCol w:w="73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6"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序号</w:t>
                  </w:r>
                </w:p>
              </w:tc>
              <w:tc>
                <w:tcPr>
                  <w:tcW w:w="517"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名称</w:t>
                  </w:r>
                </w:p>
              </w:tc>
              <w:tc>
                <w:tcPr>
                  <w:tcW w:w="470"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保护</w:t>
                  </w:r>
                </w:p>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对象</w:t>
                  </w:r>
                </w:p>
              </w:tc>
              <w:tc>
                <w:tcPr>
                  <w:tcW w:w="1275" w:type="pct"/>
                  <w:gridSpan w:val="2"/>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lang w:eastAsia="zh-CN"/>
                    </w:rPr>
                  </w:pPr>
                  <w:r>
                    <w:rPr>
                      <w:rFonts w:hint="default" w:ascii="Times New Roman" w:hAnsi="Times New Roman" w:eastAsia="宋体" w:cs="Times New Roman"/>
                      <w:b/>
                      <w:color w:val="auto"/>
                      <w:sz w:val="21"/>
                      <w:szCs w:val="21"/>
                      <w:u w:val="none"/>
                      <w:lang w:eastAsia="zh-CN"/>
                    </w:rPr>
                    <w:t>中心坐标</w:t>
                  </w:r>
                </w:p>
              </w:tc>
              <w:tc>
                <w:tcPr>
                  <w:tcW w:w="487"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保护内容</w:t>
                  </w:r>
                </w:p>
              </w:tc>
              <w:tc>
                <w:tcPr>
                  <w:tcW w:w="544"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环境功能区</w:t>
                  </w:r>
                </w:p>
              </w:tc>
              <w:tc>
                <w:tcPr>
                  <w:tcW w:w="531"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规模</w:t>
                  </w:r>
                </w:p>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户数/人数</w:t>
                  </w:r>
                </w:p>
              </w:tc>
              <w:tc>
                <w:tcPr>
                  <w:tcW w:w="414"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rPr>
                    <w:t>相对厂址方位</w:t>
                  </w:r>
                </w:p>
              </w:tc>
              <w:tc>
                <w:tcPr>
                  <w:tcW w:w="493" w:type="pct"/>
                  <w:vMerge w:val="restar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sz w:val="21"/>
                      <w:szCs w:val="21"/>
                      <w:u w:val="none"/>
                    </w:rPr>
                  </w:pPr>
                  <w:r>
                    <w:rPr>
                      <w:rFonts w:hint="default" w:ascii="Times New Roman" w:hAnsi="Times New Roman" w:eastAsia="宋体" w:cs="Times New Roman"/>
                      <w:b/>
                      <w:color w:val="auto"/>
                      <w:sz w:val="21"/>
                      <w:szCs w:val="21"/>
                      <w:u w:val="none"/>
                      <w:lang w:val="en-US" w:eastAsia="zh-CN"/>
                    </w:rPr>
                    <w:t>最近</w:t>
                  </w:r>
                  <w:r>
                    <w:rPr>
                      <w:rFonts w:hint="default" w:ascii="Times New Roman" w:hAnsi="Times New Roman" w:eastAsia="宋体" w:cs="Times New Roman"/>
                      <w:b/>
                      <w:color w:val="auto"/>
                      <w:sz w:val="21"/>
                      <w:szCs w:val="21"/>
                      <w:u w:val="none"/>
                    </w:rPr>
                    <w:t>距离/m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6"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517"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470"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625"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u w:val="none"/>
                      <w:lang w:eastAsia="zh-CN"/>
                    </w:rPr>
                  </w:pPr>
                  <w:r>
                    <w:rPr>
                      <w:rFonts w:hint="default" w:ascii="Times New Roman" w:hAnsi="Times New Roman" w:eastAsia="宋体" w:cs="Times New Roman"/>
                      <w:b/>
                      <w:bCs w:val="0"/>
                      <w:color w:val="auto"/>
                      <w:sz w:val="21"/>
                      <w:szCs w:val="21"/>
                      <w:u w:val="none"/>
                      <w:lang w:eastAsia="zh-CN"/>
                    </w:rPr>
                    <w:t>纬度</w:t>
                  </w:r>
                </w:p>
              </w:tc>
              <w:tc>
                <w:tcPr>
                  <w:tcW w:w="650"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val="0"/>
                      <w:color w:val="auto"/>
                      <w:sz w:val="21"/>
                      <w:szCs w:val="21"/>
                      <w:u w:val="none"/>
                      <w:lang w:eastAsia="zh-CN"/>
                    </w:rPr>
                  </w:pPr>
                  <w:r>
                    <w:rPr>
                      <w:rFonts w:hint="default" w:ascii="Times New Roman" w:hAnsi="Times New Roman" w:eastAsia="宋体" w:cs="Times New Roman"/>
                      <w:b/>
                      <w:bCs w:val="0"/>
                      <w:color w:val="auto"/>
                      <w:sz w:val="21"/>
                      <w:szCs w:val="21"/>
                      <w:u w:val="none"/>
                      <w:lang w:eastAsia="zh-CN"/>
                    </w:rPr>
                    <w:t>经度</w:t>
                  </w:r>
                </w:p>
              </w:tc>
              <w:tc>
                <w:tcPr>
                  <w:tcW w:w="487"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544"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531"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414"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c>
                <w:tcPr>
                  <w:tcW w:w="493" w:type="pct"/>
                  <w:vMerge w:val="continue"/>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u w:val="none"/>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6"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1</w:t>
                  </w:r>
                </w:p>
              </w:tc>
              <w:tc>
                <w:tcPr>
                  <w:tcW w:w="517"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大勇村居民点1#</w:t>
                  </w:r>
                </w:p>
              </w:tc>
              <w:tc>
                <w:tcPr>
                  <w:tcW w:w="470"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kern w:val="2"/>
                      <w:sz w:val="18"/>
                      <w:szCs w:val="18"/>
                      <w:u w:val="none"/>
                    </w:rPr>
                    <w:t>居住区</w:t>
                  </w:r>
                </w:p>
              </w:tc>
              <w:tc>
                <w:tcPr>
                  <w:tcW w:w="625"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val="en-US" w:eastAsia="zh-CN"/>
                    </w:rPr>
                  </w:pPr>
                  <w:r>
                    <w:rPr>
                      <w:rFonts w:hint="default" w:ascii="Times New Roman" w:hAnsi="Times New Roman" w:eastAsia="宋体" w:cs="Times New Roman"/>
                      <w:bCs/>
                      <w:color w:val="auto"/>
                      <w:sz w:val="18"/>
                      <w:szCs w:val="18"/>
                      <w:u w:val="none"/>
                      <w:lang w:val="en-US" w:eastAsia="zh-CN"/>
                    </w:rPr>
                    <w:t>112</w:t>
                  </w:r>
                  <w:r>
                    <w:rPr>
                      <w:rFonts w:hint="eastAsia" w:ascii="Times New Roman" w:hAnsi="Times New Roman" w:eastAsia="宋体" w:cs="Times New Roman"/>
                      <w:bCs/>
                      <w:color w:val="auto"/>
                      <w:sz w:val="18"/>
                      <w:szCs w:val="18"/>
                      <w:u w:val="none"/>
                      <w:lang w:val="en-US" w:eastAsia="zh-CN"/>
                    </w:rPr>
                    <w:t>.455434</w:t>
                  </w:r>
                  <w:r>
                    <w:rPr>
                      <w:rFonts w:hint="default" w:ascii="Times New Roman" w:hAnsi="Times New Roman" w:eastAsia="宋体" w:cs="Times New Roman"/>
                      <w:bCs/>
                      <w:color w:val="auto"/>
                      <w:sz w:val="18"/>
                      <w:szCs w:val="18"/>
                      <w:u w:val="none"/>
                      <w:lang w:val="en-US" w:eastAsia="zh-CN"/>
                    </w:rPr>
                    <w:t>°</w:t>
                  </w:r>
                  <w:r>
                    <w:rPr>
                      <w:rFonts w:hint="eastAsia" w:ascii="Times New Roman" w:hAnsi="Times New Roman" w:eastAsia="宋体" w:cs="Times New Roman"/>
                      <w:bCs/>
                      <w:color w:val="auto"/>
                      <w:sz w:val="18"/>
                      <w:szCs w:val="18"/>
                      <w:u w:val="none"/>
                      <w:lang w:val="en-US" w:eastAsia="zh-CN"/>
                    </w:rPr>
                    <w:t>E</w:t>
                  </w:r>
                </w:p>
              </w:tc>
              <w:tc>
                <w:tcPr>
                  <w:tcW w:w="650"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val="en-US" w:eastAsia="zh-CN"/>
                    </w:rPr>
                  </w:pPr>
                  <w:r>
                    <w:rPr>
                      <w:rFonts w:hint="default" w:ascii="Times New Roman" w:hAnsi="Times New Roman" w:eastAsia="宋体" w:cs="Times New Roman"/>
                      <w:bCs/>
                      <w:color w:val="auto"/>
                      <w:sz w:val="18"/>
                      <w:szCs w:val="18"/>
                      <w:u w:val="none"/>
                      <w:lang w:val="en-US" w:eastAsia="zh-CN"/>
                    </w:rPr>
                    <w:t>2</w:t>
                  </w:r>
                  <w:r>
                    <w:rPr>
                      <w:rFonts w:hint="eastAsia" w:ascii="Times New Roman" w:hAnsi="Times New Roman" w:eastAsia="宋体" w:cs="Times New Roman"/>
                      <w:bCs/>
                      <w:color w:val="auto"/>
                      <w:sz w:val="18"/>
                      <w:szCs w:val="18"/>
                      <w:u w:val="none"/>
                      <w:lang w:val="en-US" w:eastAsia="zh-CN"/>
                    </w:rPr>
                    <w:t>6.946552</w:t>
                  </w:r>
                  <w:r>
                    <w:rPr>
                      <w:rFonts w:hint="default" w:ascii="Times New Roman" w:hAnsi="Times New Roman" w:eastAsia="宋体" w:cs="Times New Roman"/>
                      <w:bCs/>
                      <w:color w:val="auto"/>
                      <w:sz w:val="18"/>
                      <w:szCs w:val="18"/>
                      <w:u w:val="none"/>
                      <w:lang w:val="en-US" w:eastAsia="zh-CN"/>
                    </w:rPr>
                    <w:t>°</w:t>
                  </w:r>
                  <w:r>
                    <w:rPr>
                      <w:rFonts w:hint="eastAsia" w:ascii="Times New Roman" w:hAnsi="Times New Roman" w:eastAsia="宋体" w:cs="Times New Roman"/>
                      <w:bCs/>
                      <w:color w:val="auto"/>
                      <w:sz w:val="18"/>
                      <w:szCs w:val="18"/>
                      <w:u w:val="none"/>
                      <w:lang w:val="en-US" w:eastAsia="zh-CN"/>
                    </w:rPr>
                    <w:t>N</w:t>
                  </w:r>
                </w:p>
              </w:tc>
              <w:tc>
                <w:tcPr>
                  <w:tcW w:w="487"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人群</w:t>
                  </w:r>
                </w:p>
              </w:tc>
              <w:tc>
                <w:tcPr>
                  <w:tcW w:w="544"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二类区</w:t>
                  </w:r>
                </w:p>
              </w:tc>
              <w:tc>
                <w:tcPr>
                  <w:tcW w:w="531"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default" w:ascii="Times New Roman" w:hAnsi="Times New Roman" w:eastAsia="宋体" w:cs="Times New Roman"/>
                      <w:color w:val="auto"/>
                      <w:kern w:val="0"/>
                      <w:sz w:val="18"/>
                      <w:szCs w:val="18"/>
                      <w:u w:val="none"/>
                      <w:lang w:val="en-US" w:eastAsia="zh-CN" w:bidi="ar-SA"/>
                    </w:rPr>
                    <w:t>约</w:t>
                  </w:r>
                  <w:r>
                    <w:rPr>
                      <w:rFonts w:hint="eastAsia" w:ascii="Times New Roman" w:hAnsi="Times New Roman" w:eastAsia="宋体" w:cs="Times New Roman"/>
                      <w:color w:val="auto"/>
                      <w:kern w:val="0"/>
                      <w:sz w:val="18"/>
                      <w:szCs w:val="18"/>
                      <w:u w:val="none"/>
                      <w:lang w:val="en-US" w:eastAsia="zh-CN" w:bidi="ar-SA"/>
                    </w:rPr>
                    <w:t>7</w:t>
                  </w:r>
                  <w:r>
                    <w:rPr>
                      <w:rFonts w:hint="default" w:ascii="Times New Roman" w:hAnsi="Times New Roman" w:eastAsia="宋体" w:cs="Times New Roman"/>
                      <w:color w:val="auto"/>
                      <w:kern w:val="0"/>
                      <w:sz w:val="18"/>
                      <w:szCs w:val="18"/>
                      <w:u w:val="none"/>
                      <w:lang w:val="en-US" w:eastAsia="zh-CN" w:bidi="ar-SA"/>
                    </w:rPr>
                    <w:t>户</w:t>
                  </w:r>
                  <w:r>
                    <w:rPr>
                      <w:rFonts w:hint="eastAsia" w:ascii="Times New Roman" w:hAnsi="Times New Roman" w:eastAsia="宋体" w:cs="Times New Roman"/>
                      <w:color w:val="auto"/>
                      <w:kern w:val="0"/>
                      <w:sz w:val="18"/>
                      <w:szCs w:val="18"/>
                      <w:u w:val="none"/>
                      <w:lang w:val="en-US" w:eastAsia="zh-CN" w:bidi="ar-SA"/>
                    </w:rPr>
                    <w:t>25</w:t>
                  </w:r>
                  <w:r>
                    <w:rPr>
                      <w:rFonts w:hint="default" w:ascii="Times New Roman" w:hAnsi="Times New Roman" w:eastAsia="宋体" w:cs="Times New Roman"/>
                      <w:color w:val="auto"/>
                      <w:kern w:val="0"/>
                      <w:sz w:val="18"/>
                      <w:szCs w:val="18"/>
                      <w:u w:val="none"/>
                      <w:lang w:val="en-US" w:eastAsia="zh-CN" w:bidi="ar-SA"/>
                    </w:rPr>
                    <w:t>人</w:t>
                  </w:r>
                </w:p>
              </w:tc>
              <w:tc>
                <w:tcPr>
                  <w:tcW w:w="414"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东</w:t>
                  </w:r>
                </w:p>
              </w:tc>
              <w:tc>
                <w:tcPr>
                  <w:tcW w:w="493"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75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6"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2</w:t>
                  </w:r>
                </w:p>
              </w:tc>
              <w:tc>
                <w:tcPr>
                  <w:tcW w:w="517"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大勇村居民点2#</w:t>
                  </w:r>
                </w:p>
              </w:tc>
              <w:tc>
                <w:tcPr>
                  <w:tcW w:w="470"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kern w:val="2"/>
                      <w:sz w:val="18"/>
                      <w:szCs w:val="18"/>
                      <w:u w:val="none"/>
                    </w:rPr>
                    <w:t>居住区</w:t>
                  </w:r>
                </w:p>
              </w:tc>
              <w:tc>
                <w:tcPr>
                  <w:tcW w:w="625"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val="en-US" w:eastAsia="zh-CN"/>
                    </w:rPr>
                  </w:pPr>
                  <w:r>
                    <w:rPr>
                      <w:rFonts w:hint="default" w:ascii="Times New Roman" w:hAnsi="Times New Roman" w:eastAsia="宋体" w:cs="Times New Roman"/>
                      <w:bCs/>
                      <w:color w:val="auto"/>
                      <w:sz w:val="18"/>
                      <w:szCs w:val="18"/>
                      <w:u w:val="none"/>
                      <w:lang w:val="en-US" w:eastAsia="zh-CN"/>
                    </w:rPr>
                    <w:t>112</w:t>
                  </w:r>
                  <w:r>
                    <w:rPr>
                      <w:rFonts w:hint="eastAsia" w:ascii="Times New Roman" w:hAnsi="Times New Roman" w:eastAsia="宋体" w:cs="Times New Roman"/>
                      <w:bCs/>
                      <w:color w:val="auto"/>
                      <w:sz w:val="18"/>
                      <w:szCs w:val="18"/>
                      <w:u w:val="none"/>
                      <w:lang w:val="en-US" w:eastAsia="zh-CN"/>
                    </w:rPr>
                    <w:t>.457858</w:t>
                  </w:r>
                  <w:r>
                    <w:rPr>
                      <w:rFonts w:hint="default" w:ascii="Times New Roman" w:hAnsi="Times New Roman" w:eastAsia="宋体" w:cs="Times New Roman"/>
                      <w:bCs/>
                      <w:color w:val="auto"/>
                      <w:sz w:val="18"/>
                      <w:szCs w:val="18"/>
                      <w:u w:val="none"/>
                      <w:lang w:val="en-US" w:eastAsia="zh-CN"/>
                    </w:rPr>
                    <w:t>°</w:t>
                  </w:r>
                  <w:r>
                    <w:rPr>
                      <w:rFonts w:hint="eastAsia" w:ascii="Times New Roman" w:hAnsi="Times New Roman" w:eastAsia="宋体" w:cs="Times New Roman"/>
                      <w:bCs/>
                      <w:color w:val="auto"/>
                      <w:sz w:val="18"/>
                      <w:szCs w:val="18"/>
                      <w:u w:val="none"/>
                      <w:lang w:val="en-US" w:eastAsia="zh-CN"/>
                    </w:rPr>
                    <w:t>E</w:t>
                  </w:r>
                </w:p>
              </w:tc>
              <w:tc>
                <w:tcPr>
                  <w:tcW w:w="650"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val="en-US" w:eastAsia="zh-CN"/>
                    </w:rPr>
                  </w:pPr>
                  <w:r>
                    <w:rPr>
                      <w:rFonts w:hint="default" w:ascii="Times New Roman" w:hAnsi="Times New Roman" w:eastAsia="宋体" w:cs="Times New Roman"/>
                      <w:bCs/>
                      <w:color w:val="auto"/>
                      <w:sz w:val="18"/>
                      <w:szCs w:val="18"/>
                      <w:u w:val="none"/>
                      <w:lang w:val="en-US" w:eastAsia="zh-CN"/>
                    </w:rPr>
                    <w:t>2</w:t>
                  </w:r>
                  <w:r>
                    <w:rPr>
                      <w:rFonts w:hint="eastAsia" w:ascii="Times New Roman" w:hAnsi="Times New Roman" w:eastAsia="宋体" w:cs="Times New Roman"/>
                      <w:bCs/>
                      <w:color w:val="auto"/>
                      <w:sz w:val="18"/>
                      <w:szCs w:val="18"/>
                      <w:u w:val="none"/>
                      <w:lang w:val="en-US" w:eastAsia="zh-CN"/>
                    </w:rPr>
                    <w:t>6.945688</w:t>
                  </w:r>
                  <w:r>
                    <w:rPr>
                      <w:rFonts w:hint="default" w:ascii="Times New Roman" w:hAnsi="Times New Roman" w:eastAsia="宋体" w:cs="Times New Roman"/>
                      <w:bCs/>
                      <w:color w:val="auto"/>
                      <w:sz w:val="18"/>
                      <w:szCs w:val="18"/>
                      <w:u w:val="none"/>
                      <w:lang w:val="en-US" w:eastAsia="zh-CN"/>
                    </w:rPr>
                    <w:t>°</w:t>
                  </w:r>
                  <w:r>
                    <w:rPr>
                      <w:rFonts w:hint="eastAsia" w:ascii="Times New Roman" w:hAnsi="Times New Roman" w:eastAsia="宋体" w:cs="Times New Roman"/>
                      <w:bCs/>
                      <w:color w:val="auto"/>
                      <w:sz w:val="18"/>
                      <w:szCs w:val="18"/>
                      <w:u w:val="none"/>
                      <w:lang w:val="en-US" w:eastAsia="zh-CN"/>
                    </w:rPr>
                    <w:t>N</w:t>
                  </w:r>
                </w:p>
              </w:tc>
              <w:tc>
                <w:tcPr>
                  <w:tcW w:w="487"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人群</w:t>
                  </w:r>
                </w:p>
              </w:tc>
              <w:tc>
                <w:tcPr>
                  <w:tcW w:w="544"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二类区</w:t>
                  </w:r>
                </w:p>
              </w:tc>
              <w:tc>
                <w:tcPr>
                  <w:tcW w:w="531"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default" w:ascii="Times New Roman" w:hAnsi="Times New Roman" w:eastAsia="宋体" w:cs="Times New Roman"/>
                      <w:color w:val="auto"/>
                      <w:kern w:val="0"/>
                      <w:sz w:val="18"/>
                      <w:szCs w:val="18"/>
                      <w:u w:val="none"/>
                      <w:lang w:val="en-US" w:eastAsia="zh-CN" w:bidi="ar-SA"/>
                    </w:rPr>
                    <w:t>约</w:t>
                  </w:r>
                  <w:r>
                    <w:rPr>
                      <w:rFonts w:hint="eastAsia" w:ascii="Times New Roman" w:hAnsi="Times New Roman" w:eastAsia="宋体" w:cs="Times New Roman"/>
                      <w:color w:val="auto"/>
                      <w:kern w:val="0"/>
                      <w:sz w:val="18"/>
                      <w:szCs w:val="18"/>
                      <w:u w:val="none"/>
                      <w:lang w:val="en-US" w:eastAsia="zh-CN" w:bidi="ar-SA"/>
                    </w:rPr>
                    <w:t>14</w:t>
                  </w:r>
                  <w:r>
                    <w:rPr>
                      <w:rFonts w:hint="default" w:ascii="Times New Roman" w:hAnsi="Times New Roman" w:eastAsia="宋体" w:cs="Times New Roman"/>
                      <w:color w:val="auto"/>
                      <w:kern w:val="0"/>
                      <w:sz w:val="18"/>
                      <w:szCs w:val="18"/>
                      <w:u w:val="none"/>
                      <w:lang w:val="en-US" w:eastAsia="zh-CN" w:bidi="ar-SA"/>
                    </w:rPr>
                    <w:t>户</w:t>
                  </w:r>
                  <w:r>
                    <w:rPr>
                      <w:rFonts w:hint="eastAsia" w:ascii="Times New Roman" w:hAnsi="Times New Roman" w:eastAsia="宋体" w:cs="Times New Roman"/>
                      <w:color w:val="auto"/>
                      <w:kern w:val="0"/>
                      <w:sz w:val="18"/>
                      <w:szCs w:val="18"/>
                      <w:u w:val="none"/>
                      <w:lang w:val="en-US" w:eastAsia="zh-CN" w:bidi="ar-SA"/>
                    </w:rPr>
                    <w:t>49</w:t>
                  </w:r>
                  <w:r>
                    <w:rPr>
                      <w:rFonts w:hint="default" w:ascii="Times New Roman" w:hAnsi="Times New Roman" w:eastAsia="宋体" w:cs="Times New Roman"/>
                      <w:color w:val="auto"/>
                      <w:kern w:val="0"/>
                      <w:sz w:val="18"/>
                      <w:szCs w:val="18"/>
                      <w:u w:val="none"/>
                      <w:lang w:val="en-US" w:eastAsia="zh-CN" w:bidi="ar-SA"/>
                    </w:rPr>
                    <w:t>人</w:t>
                  </w:r>
                </w:p>
              </w:tc>
              <w:tc>
                <w:tcPr>
                  <w:tcW w:w="414" w:type="pct"/>
                  <w:noWrap w:val="0"/>
                  <w:vAlign w:val="center"/>
                </w:tcPr>
                <w:p>
                  <w:pPr>
                    <w:pStyle w:val="14"/>
                    <w:adjustRightInd w:val="0"/>
                    <w:snapToGrid w:val="0"/>
                    <w:jc w:val="center"/>
                    <w:rPr>
                      <w:rFonts w:hint="eastAsia"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sz w:val="18"/>
                      <w:szCs w:val="18"/>
                      <w:u w:val="none"/>
                      <w:lang w:val="en-US" w:eastAsia="zh-CN"/>
                    </w:rPr>
                    <w:t>东</w:t>
                  </w:r>
                </w:p>
              </w:tc>
              <w:tc>
                <w:tcPr>
                  <w:tcW w:w="493"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240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66"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eastAsia="zh-CN"/>
                    </w:rPr>
                  </w:pPr>
                  <w:r>
                    <w:rPr>
                      <w:rFonts w:hint="default" w:ascii="Times New Roman" w:hAnsi="Times New Roman" w:eastAsia="宋体" w:cs="Times New Roman"/>
                      <w:bCs/>
                      <w:color w:val="auto"/>
                      <w:sz w:val="18"/>
                      <w:szCs w:val="18"/>
                      <w:u w:val="none"/>
                      <w:lang w:val="en-US" w:eastAsia="zh-CN"/>
                    </w:rPr>
                    <w:t>3</w:t>
                  </w:r>
                </w:p>
              </w:tc>
              <w:tc>
                <w:tcPr>
                  <w:tcW w:w="517" w:type="pct"/>
                  <w:noWrap w:val="0"/>
                  <w:vAlign w:val="center"/>
                </w:tcPr>
                <w:p>
                  <w:pPr>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default" w:ascii="Times New Roman" w:hAnsi="Times New Roman" w:eastAsia="宋体" w:cs="Times New Roman"/>
                      <w:color w:val="auto"/>
                      <w:kern w:val="0"/>
                      <w:sz w:val="18"/>
                      <w:szCs w:val="18"/>
                      <w:u w:val="none"/>
                      <w:lang w:val="en-US" w:eastAsia="zh-CN" w:bidi="ar-SA"/>
                    </w:rPr>
                    <w:t>常角皂</w:t>
                  </w:r>
                  <w:r>
                    <w:rPr>
                      <w:rFonts w:hint="eastAsia" w:ascii="Times New Roman" w:hAnsi="Times New Roman" w:eastAsia="宋体" w:cs="Times New Roman"/>
                      <w:color w:val="auto"/>
                      <w:kern w:val="0"/>
                      <w:sz w:val="18"/>
                      <w:szCs w:val="18"/>
                      <w:u w:val="none"/>
                      <w:lang w:val="en-US" w:eastAsia="zh-CN" w:bidi="ar-SA"/>
                    </w:rPr>
                    <w:t>组</w:t>
                  </w:r>
                  <w:r>
                    <w:rPr>
                      <w:rFonts w:hint="default" w:ascii="Times New Roman" w:hAnsi="Times New Roman" w:eastAsia="宋体" w:cs="Times New Roman"/>
                      <w:color w:val="auto"/>
                      <w:kern w:val="0"/>
                      <w:sz w:val="18"/>
                      <w:szCs w:val="18"/>
                      <w:u w:val="none"/>
                      <w:lang w:val="en-US" w:eastAsia="zh-CN" w:bidi="ar-SA"/>
                    </w:rPr>
                    <w:t>居民</w:t>
                  </w:r>
                  <w:r>
                    <w:rPr>
                      <w:rFonts w:hint="eastAsia" w:ascii="Times New Roman" w:hAnsi="Times New Roman" w:eastAsia="宋体" w:cs="Times New Roman"/>
                      <w:color w:val="auto"/>
                      <w:kern w:val="0"/>
                      <w:sz w:val="18"/>
                      <w:szCs w:val="18"/>
                      <w:u w:val="none"/>
                      <w:lang w:val="en-US" w:eastAsia="zh-CN" w:bidi="ar-SA"/>
                    </w:rPr>
                    <w:t>点</w:t>
                  </w:r>
                </w:p>
              </w:tc>
              <w:tc>
                <w:tcPr>
                  <w:tcW w:w="470" w:type="pct"/>
                  <w:noWrap w:val="0"/>
                  <w:vAlign w:val="center"/>
                </w:tcPr>
                <w:p>
                  <w:pPr>
                    <w:pStyle w:val="14"/>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eastAsia="zh-CN"/>
                    </w:rPr>
                  </w:pPr>
                  <w:r>
                    <w:rPr>
                      <w:rFonts w:hint="default" w:ascii="Times New Roman" w:hAnsi="Times New Roman" w:eastAsia="宋体" w:cs="Times New Roman"/>
                      <w:bCs/>
                      <w:color w:val="auto"/>
                      <w:kern w:val="2"/>
                      <w:sz w:val="18"/>
                      <w:szCs w:val="18"/>
                      <w:u w:val="none"/>
                      <w:lang w:val="en-US" w:eastAsia="zh-CN"/>
                    </w:rPr>
                    <w:t>居住区</w:t>
                  </w:r>
                </w:p>
              </w:tc>
              <w:tc>
                <w:tcPr>
                  <w:tcW w:w="625"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val="en-US" w:eastAsia="zh-CN"/>
                    </w:rPr>
                  </w:pPr>
                  <w:r>
                    <w:rPr>
                      <w:rFonts w:hint="default" w:ascii="Times New Roman" w:hAnsi="Times New Roman" w:eastAsia="宋体" w:cs="Times New Roman"/>
                      <w:bCs/>
                      <w:color w:val="auto"/>
                      <w:sz w:val="18"/>
                      <w:szCs w:val="18"/>
                      <w:u w:val="none"/>
                      <w:lang w:val="en-US" w:eastAsia="zh-CN"/>
                    </w:rPr>
                    <w:t>112</w:t>
                  </w:r>
                  <w:r>
                    <w:rPr>
                      <w:rFonts w:hint="eastAsia" w:ascii="Times New Roman" w:hAnsi="Times New Roman" w:eastAsia="宋体" w:cs="Times New Roman"/>
                      <w:bCs/>
                      <w:color w:val="auto"/>
                      <w:sz w:val="18"/>
                      <w:szCs w:val="18"/>
                      <w:u w:val="none"/>
                      <w:lang w:val="en-US" w:eastAsia="zh-CN"/>
                    </w:rPr>
                    <w:t>.454838</w:t>
                  </w:r>
                  <w:r>
                    <w:rPr>
                      <w:rFonts w:hint="default" w:ascii="Times New Roman" w:hAnsi="Times New Roman" w:eastAsia="宋体" w:cs="Times New Roman"/>
                      <w:bCs/>
                      <w:color w:val="auto"/>
                      <w:sz w:val="18"/>
                      <w:szCs w:val="18"/>
                      <w:u w:val="none"/>
                      <w:lang w:val="en-US" w:eastAsia="zh-CN"/>
                    </w:rPr>
                    <w:t>°</w:t>
                  </w:r>
                  <w:r>
                    <w:rPr>
                      <w:rFonts w:hint="eastAsia" w:ascii="Times New Roman" w:hAnsi="Times New Roman" w:eastAsia="宋体" w:cs="Times New Roman"/>
                      <w:bCs/>
                      <w:color w:val="auto"/>
                      <w:sz w:val="18"/>
                      <w:szCs w:val="18"/>
                      <w:u w:val="none"/>
                      <w:lang w:val="en-US" w:eastAsia="zh-CN"/>
                    </w:rPr>
                    <w:t>E</w:t>
                  </w:r>
                </w:p>
              </w:tc>
              <w:tc>
                <w:tcPr>
                  <w:tcW w:w="650"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lang w:val="en-US" w:eastAsia="zh-CN"/>
                    </w:rPr>
                  </w:pPr>
                  <w:r>
                    <w:rPr>
                      <w:rFonts w:hint="default" w:ascii="Times New Roman" w:hAnsi="Times New Roman" w:eastAsia="宋体" w:cs="Times New Roman"/>
                      <w:bCs/>
                      <w:color w:val="auto"/>
                      <w:sz w:val="18"/>
                      <w:szCs w:val="18"/>
                      <w:u w:val="none"/>
                      <w:lang w:val="en-US" w:eastAsia="zh-CN"/>
                    </w:rPr>
                    <w:t>2</w:t>
                  </w:r>
                  <w:r>
                    <w:rPr>
                      <w:rFonts w:hint="eastAsia" w:ascii="Times New Roman" w:hAnsi="Times New Roman" w:eastAsia="宋体" w:cs="Times New Roman"/>
                      <w:bCs/>
                      <w:color w:val="auto"/>
                      <w:sz w:val="18"/>
                      <w:szCs w:val="18"/>
                      <w:u w:val="none"/>
                      <w:lang w:val="en-US" w:eastAsia="zh-CN"/>
                    </w:rPr>
                    <w:t>6.948524</w:t>
                  </w:r>
                  <w:r>
                    <w:rPr>
                      <w:rFonts w:hint="default" w:ascii="Times New Roman" w:hAnsi="Times New Roman" w:eastAsia="宋体" w:cs="Times New Roman"/>
                      <w:bCs/>
                      <w:color w:val="auto"/>
                      <w:sz w:val="18"/>
                      <w:szCs w:val="18"/>
                      <w:u w:val="none"/>
                      <w:lang w:val="en-US" w:eastAsia="zh-CN"/>
                    </w:rPr>
                    <w:t>°</w:t>
                  </w:r>
                  <w:r>
                    <w:rPr>
                      <w:rFonts w:hint="eastAsia" w:ascii="Times New Roman" w:hAnsi="Times New Roman" w:eastAsia="宋体" w:cs="Times New Roman"/>
                      <w:bCs/>
                      <w:color w:val="auto"/>
                      <w:sz w:val="18"/>
                      <w:szCs w:val="18"/>
                      <w:u w:val="none"/>
                      <w:lang w:val="en-US" w:eastAsia="zh-CN"/>
                    </w:rPr>
                    <w:t>N</w:t>
                  </w:r>
                </w:p>
              </w:tc>
              <w:tc>
                <w:tcPr>
                  <w:tcW w:w="487"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人群</w:t>
                  </w:r>
                </w:p>
              </w:tc>
              <w:tc>
                <w:tcPr>
                  <w:tcW w:w="544"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18"/>
                      <w:szCs w:val="18"/>
                      <w:u w:val="none"/>
                    </w:rPr>
                  </w:pPr>
                  <w:r>
                    <w:rPr>
                      <w:rFonts w:hint="default" w:ascii="Times New Roman" w:hAnsi="Times New Roman" w:eastAsia="宋体" w:cs="Times New Roman"/>
                      <w:bCs/>
                      <w:color w:val="auto"/>
                      <w:sz w:val="18"/>
                      <w:szCs w:val="18"/>
                      <w:u w:val="none"/>
                    </w:rPr>
                    <w:t>二类区</w:t>
                  </w:r>
                </w:p>
              </w:tc>
              <w:tc>
                <w:tcPr>
                  <w:tcW w:w="531"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default" w:ascii="Times New Roman" w:hAnsi="Times New Roman" w:eastAsia="宋体" w:cs="Times New Roman"/>
                      <w:color w:val="auto"/>
                      <w:kern w:val="0"/>
                      <w:sz w:val="18"/>
                      <w:szCs w:val="18"/>
                      <w:u w:val="none"/>
                      <w:lang w:val="en-US" w:eastAsia="zh-CN" w:bidi="ar-SA"/>
                    </w:rPr>
                    <w:t>约</w:t>
                  </w:r>
                  <w:r>
                    <w:rPr>
                      <w:rFonts w:hint="eastAsia" w:ascii="Times New Roman" w:hAnsi="Times New Roman" w:eastAsia="宋体" w:cs="Times New Roman"/>
                      <w:color w:val="auto"/>
                      <w:kern w:val="0"/>
                      <w:sz w:val="18"/>
                      <w:szCs w:val="18"/>
                      <w:u w:val="none"/>
                      <w:lang w:val="en-US" w:eastAsia="zh-CN" w:bidi="ar-SA"/>
                    </w:rPr>
                    <w:t>22</w:t>
                  </w:r>
                  <w:r>
                    <w:rPr>
                      <w:rFonts w:hint="default" w:ascii="Times New Roman" w:hAnsi="Times New Roman" w:eastAsia="宋体" w:cs="Times New Roman"/>
                      <w:color w:val="auto"/>
                      <w:kern w:val="0"/>
                      <w:sz w:val="18"/>
                      <w:szCs w:val="18"/>
                      <w:u w:val="none"/>
                      <w:lang w:val="en-US" w:eastAsia="zh-CN" w:bidi="ar-SA"/>
                    </w:rPr>
                    <w:t>户</w:t>
                  </w:r>
                  <w:r>
                    <w:rPr>
                      <w:rFonts w:hint="eastAsia" w:ascii="Times New Roman" w:hAnsi="Times New Roman" w:eastAsia="宋体" w:cs="Times New Roman"/>
                      <w:color w:val="auto"/>
                      <w:kern w:val="0"/>
                      <w:sz w:val="18"/>
                      <w:szCs w:val="18"/>
                      <w:u w:val="none"/>
                      <w:lang w:val="en-US" w:eastAsia="zh-CN" w:bidi="ar-SA"/>
                    </w:rPr>
                    <w:t>77</w:t>
                  </w:r>
                  <w:r>
                    <w:rPr>
                      <w:rFonts w:hint="default" w:ascii="Times New Roman" w:hAnsi="Times New Roman" w:eastAsia="宋体" w:cs="Times New Roman"/>
                      <w:color w:val="auto"/>
                      <w:kern w:val="0"/>
                      <w:sz w:val="18"/>
                      <w:szCs w:val="18"/>
                      <w:u w:val="none"/>
                      <w:lang w:val="en-US" w:eastAsia="zh-CN" w:bidi="ar-SA"/>
                    </w:rPr>
                    <w:t>人</w:t>
                  </w:r>
                </w:p>
              </w:tc>
              <w:tc>
                <w:tcPr>
                  <w:tcW w:w="414" w:type="pct"/>
                  <w:noWrap w:val="0"/>
                  <w:vAlign w:val="center"/>
                </w:tcPr>
                <w:p>
                  <w:pPr>
                    <w:pStyle w:val="14"/>
                    <w:adjustRightInd w:val="0"/>
                    <w:snapToGrid w:val="0"/>
                    <w:jc w:val="center"/>
                    <w:rPr>
                      <w:rFonts w:hint="eastAsia"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北</w:t>
                  </w:r>
                </w:p>
              </w:tc>
              <w:tc>
                <w:tcPr>
                  <w:tcW w:w="493" w:type="pct"/>
                  <w:noWrap w:val="0"/>
                  <w:vAlign w:val="center"/>
                </w:tcPr>
                <w:p>
                  <w:pPr>
                    <w:pStyle w:val="14"/>
                    <w:adjustRightInd w:val="0"/>
                    <w:snapToGrid w:val="0"/>
                    <w:jc w:val="center"/>
                    <w:rPr>
                      <w:rFonts w:hint="default" w:ascii="Times New Roman" w:hAnsi="Times New Roman" w:eastAsia="宋体" w:cs="Times New Roman"/>
                      <w:color w:val="auto"/>
                      <w:kern w:val="0"/>
                      <w:sz w:val="18"/>
                      <w:szCs w:val="18"/>
                      <w:u w:val="none"/>
                      <w:lang w:val="en-US" w:eastAsia="zh-CN" w:bidi="ar-SA"/>
                    </w:rPr>
                  </w:pPr>
                  <w:r>
                    <w:rPr>
                      <w:rFonts w:hint="eastAsia" w:ascii="Times New Roman" w:hAnsi="Times New Roman" w:eastAsia="宋体" w:cs="Times New Roman"/>
                      <w:color w:val="auto"/>
                      <w:kern w:val="0"/>
                      <w:sz w:val="18"/>
                      <w:szCs w:val="18"/>
                      <w:u w:val="none"/>
                      <w:lang w:val="en-US" w:eastAsia="zh-CN" w:bidi="ar-SA"/>
                    </w:rPr>
                    <w:t>235</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u w:val="none"/>
              </w:rPr>
            </w:pPr>
            <w:r>
              <w:rPr>
                <w:rFonts w:hint="default" w:ascii="Times New Roman" w:hAnsi="Times New Roman" w:eastAsia="宋体" w:cs="Times New Roman"/>
                <w:b/>
                <w:bCs/>
                <w:color w:val="auto"/>
                <w:sz w:val="24"/>
                <w:u w:val="none"/>
                <w:lang w:val="en-US" w:eastAsia="zh-CN"/>
              </w:rPr>
              <w:t>2、声环境</w:t>
            </w:r>
            <w:r>
              <w:rPr>
                <w:rFonts w:hint="default" w:ascii="Times New Roman" w:hAnsi="Times New Roman" w:eastAsia="宋体" w:cs="Times New Roman"/>
                <w:b/>
                <w:bCs/>
                <w:color w:val="auto"/>
                <w:sz w:val="24"/>
                <w:u w:val="none"/>
              </w:rPr>
              <w:t>保护目标：</w:t>
            </w:r>
          </w:p>
          <w:p>
            <w:pPr>
              <w:pStyle w:val="10"/>
              <w:keepNext w:val="0"/>
              <w:keepLines w:val="0"/>
              <w:pageBreakBefore w:val="0"/>
              <w:widowControl/>
              <w:kinsoku/>
              <w:wordWrap/>
              <w:overflowPunct/>
              <w:topLinePunct w:val="0"/>
              <w:autoSpaceDE/>
              <w:autoSpaceDN/>
              <w:bidi w:val="0"/>
              <w:adjustRightInd/>
              <w:snapToGrid/>
              <w:spacing w:before="0" w:after="0" w:line="360" w:lineRule="auto"/>
              <w:ind w:right="0" w:firstLine="480" w:firstLineChars="200"/>
              <w:jc w:val="both"/>
              <w:textAlignment w:val="auto"/>
              <w:rPr>
                <w:rFonts w:hint="default" w:ascii="Times New Roman" w:hAnsi="Times New Roman" w:eastAsia="宋体" w:cs="Times New Roman"/>
                <w:b/>
                <w:bCs/>
                <w:color w:val="auto"/>
                <w:sz w:val="21"/>
                <w:szCs w:val="21"/>
                <w:u w:val="none"/>
              </w:rPr>
            </w:pPr>
            <w:r>
              <w:rPr>
                <w:rFonts w:hint="eastAsia" w:ascii="Times New Roman" w:hAnsi="Times New Roman" w:eastAsia="宋体" w:cs="Times New Roman"/>
                <w:color w:val="auto"/>
                <w:sz w:val="24"/>
                <w:u w:val="none"/>
                <w:lang w:eastAsia="zh-CN"/>
              </w:rPr>
              <w:t>本项目厂界50m范围内不存在声环境保护目标。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u w:val="none"/>
              </w:rPr>
            </w:pPr>
            <w:r>
              <w:rPr>
                <w:rFonts w:hint="default" w:ascii="Times New Roman" w:hAnsi="Times New Roman" w:eastAsia="宋体" w:cs="Times New Roman"/>
                <w:b/>
                <w:bCs/>
                <w:color w:val="auto"/>
                <w:sz w:val="24"/>
                <w:u w:val="none"/>
                <w:lang w:val="en-US" w:eastAsia="zh-CN"/>
              </w:rPr>
              <w:t>3、地下水环境</w:t>
            </w:r>
            <w:r>
              <w:rPr>
                <w:rFonts w:hint="default" w:ascii="Times New Roman" w:hAnsi="Times New Roman" w:eastAsia="宋体" w:cs="Times New Roman"/>
                <w:b/>
                <w:bCs/>
                <w:color w:val="auto"/>
                <w:sz w:val="24"/>
                <w:u w:val="none"/>
              </w:rPr>
              <w:t>保护目标：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项目厂界外500米范围内无地下水集中式饮用水水源和热水、矿泉水、温泉等特殊地下水资源。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u w:val="none"/>
                <w:lang w:val="en-US" w:eastAsia="zh-CN"/>
              </w:rPr>
              <w:t>4、生态环境保护目标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Cs w:val="21"/>
                <w:u w:val="none"/>
              </w:rPr>
            </w:pPr>
            <w:r>
              <w:rPr>
                <w:rFonts w:hint="default" w:ascii="Times New Roman" w:hAnsi="Times New Roman" w:eastAsia="宋体" w:cs="Times New Roman"/>
                <w:bCs/>
                <w:color w:val="auto"/>
                <w:sz w:val="24"/>
                <w:szCs w:val="24"/>
                <w:u w:val="wave"/>
              </w:rPr>
              <w:t>本项目所在地块属于工业用地，用地范围内无国家公园、自然保护区、风景名胜区、世界文化和自然遗产地、饮用水水源保护区等，占地范围内无占用生态红线用地，无生态环境保护目标。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noWrap w:val="0"/>
            <w:tcMar>
              <w:left w:w="28" w:type="dxa"/>
              <w:right w:w="28"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污染</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物排</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放控</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制标</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准</w:t>
            </w:r>
          </w:p>
        </w:tc>
        <w:tc>
          <w:tcPr>
            <w:tcW w:w="8190" w:type="dxa"/>
            <w:noWrap w:val="0"/>
            <w:vAlign w:val="center"/>
          </w:tcPr>
          <w:p>
            <w:pPr>
              <w:pStyle w:val="71"/>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lang w:val="en-US" w:eastAsia="zh-CN"/>
              </w:rPr>
              <w:t>1</w:t>
            </w:r>
            <w:r>
              <w:rPr>
                <w:rFonts w:hint="default" w:ascii="Times New Roman" w:hAnsi="Times New Roman" w:eastAsia="宋体" w:cs="Times New Roman"/>
                <w:b/>
                <w:color w:val="auto"/>
                <w:sz w:val="24"/>
                <w:szCs w:val="24"/>
                <w:u w:val="none"/>
              </w:rPr>
              <w:t>、大气污染物排放标准</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bCs/>
                <w:color w:val="auto"/>
                <w:sz w:val="24"/>
                <w:szCs w:val="24"/>
                <w:u w:val="none"/>
                <w:lang w:eastAsia="zh-CN"/>
              </w:rPr>
            </w:pPr>
            <w:r>
              <w:rPr>
                <w:rFonts w:hint="eastAsia" w:cs="Times New Roman"/>
                <w:color w:val="auto"/>
                <w:kern w:val="0"/>
                <w:sz w:val="24"/>
                <w:u w:val="none"/>
                <w:lang w:val="en-US" w:eastAsia="zh-CN"/>
              </w:rPr>
              <w:t>本</w:t>
            </w:r>
            <w:r>
              <w:rPr>
                <w:rFonts w:hint="default" w:ascii="Times New Roman" w:hAnsi="Times New Roman" w:eastAsia="宋体" w:cs="Times New Roman"/>
                <w:color w:val="auto"/>
                <w:kern w:val="0"/>
                <w:sz w:val="24"/>
                <w:u w:val="none"/>
              </w:rPr>
              <w:t>项目运营期</w:t>
            </w:r>
            <w:r>
              <w:rPr>
                <w:rFonts w:hint="default" w:ascii="Times New Roman" w:hAnsi="Times New Roman" w:eastAsia="宋体" w:cs="Times New Roman"/>
                <w:color w:val="auto"/>
                <w:sz w:val="24"/>
                <w:u w:val="none"/>
                <w:lang w:val="en-US" w:eastAsia="zh-CN"/>
              </w:rPr>
              <w:t>厂界</w:t>
            </w:r>
            <w:r>
              <w:rPr>
                <w:rFonts w:hint="eastAsia" w:ascii="Times New Roman" w:hAnsi="Times New Roman" w:eastAsia="宋体" w:cs="Times New Roman"/>
                <w:color w:val="auto"/>
                <w:kern w:val="0"/>
                <w:sz w:val="24"/>
                <w:u w:val="none"/>
                <w:lang w:eastAsia="zh-CN"/>
              </w:rPr>
              <w:t>颗粒物、</w:t>
            </w:r>
            <w:r>
              <w:rPr>
                <w:rFonts w:hint="eastAsia" w:ascii="Times New Roman" w:hAnsi="Times New Roman" w:eastAsia="宋体" w:cs="Times New Roman"/>
                <w:color w:val="auto"/>
                <w:kern w:val="0"/>
                <w:sz w:val="24"/>
                <w:u w:val="none"/>
                <w:lang w:val="en-US" w:eastAsia="zh-CN"/>
              </w:rPr>
              <w:t>非甲烷总烃</w:t>
            </w:r>
            <w:r>
              <w:rPr>
                <w:rFonts w:hint="default" w:ascii="Times New Roman" w:hAnsi="Times New Roman" w:eastAsia="宋体" w:cs="Times New Roman"/>
                <w:color w:val="auto"/>
                <w:kern w:val="0"/>
                <w:sz w:val="24"/>
                <w:u w:val="none"/>
                <w:lang w:val="en-US" w:eastAsia="zh-CN"/>
              </w:rPr>
              <w:t>执行</w:t>
            </w:r>
            <w:r>
              <w:rPr>
                <w:rFonts w:hint="default" w:ascii="Times New Roman" w:hAnsi="Times New Roman" w:eastAsia="宋体" w:cs="Times New Roman"/>
                <w:color w:val="auto"/>
                <w:kern w:val="0"/>
                <w:sz w:val="24"/>
                <w:u w:val="none"/>
              </w:rPr>
              <w:t>《大气污染物综合排放标准》（GB16297-1996）表2中的二级标准</w:t>
            </w:r>
            <w:r>
              <w:rPr>
                <w:rFonts w:hint="eastAsia" w:ascii="Times New Roman" w:hAnsi="Times New Roman" w:eastAsia="宋体" w:cs="Times New Roman"/>
                <w:color w:val="auto"/>
                <w:kern w:val="0"/>
                <w:sz w:val="24"/>
                <w:u w:val="none"/>
                <w:lang w:eastAsia="zh-CN"/>
              </w:rPr>
              <w:t>；</w:t>
            </w:r>
            <w:r>
              <w:rPr>
                <w:rFonts w:hint="eastAsia" w:ascii="Times New Roman" w:hAnsi="Times New Roman" w:eastAsia="宋体" w:cs="Times New Roman"/>
                <w:color w:val="auto"/>
                <w:kern w:val="0"/>
                <w:sz w:val="24"/>
                <w:u w:val="none"/>
                <w:lang w:val="en-US" w:eastAsia="zh-CN"/>
              </w:rPr>
              <w:t>车间外非甲烷总烃执行</w:t>
            </w:r>
            <w:r>
              <w:rPr>
                <w:rFonts w:hint="default" w:ascii="Times New Roman" w:hAnsi="Times New Roman" w:cs="Times New Roman"/>
                <w:color w:val="auto"/>
                <w:sz w:val="24"/>
                <w:szCs w:val="24"/>
                <w:u w:val="none"/>
              </w:rPr>
              <w:t>《挥发性</w:t>
            </w:r>
            <w:r>
              <w:rPr>
                <w:rFonts w:hint="eastAsia" w:ascii="Times New Roman" w:hAnsi="Times New Roman" w:cs="Times New Roman"/>
                <w:color w:val="auto"/>
                <w:sz w:val="24"/>
                <w:szCs w:val="24"/>
                <w:u w:val="none"/>
                <w:lang w:val="en-US" w:eastAsia="zh-CN"/>
              </w:rPr>
              <w:t>有机物</w:t>
            </w:r>
            <w:r>
              <w:rPr>
                <w:rFonts w:hint="default" w:ascii="Times New Roman" w:hAnsi="Times New Roman" w:cs="Times New Roman"/>
                <w:color w:val="auto"/>
                <w:sz w:val="24"/>
                <w:szCs w:val="24"/>
                <w:u w:val="none"/>
              </w:rPr>
              <w:t>无组织排放控制标准》（GB37822-2019）表A.1标准限值</w:t>
            </w:r>
            <w:r>
              <w:rPr>
                <w:rFonts w:hint="default" w:ascii="Times New Roman" w:hAnsi="Times New Roman" w:eastAsia="宋体" w:cs="Times New Roman"/>
                <w:color w:val="auto"/>
                <w:kern w:val="0"/>
                <w:sz w:val="24"/>
                <w:u w:val="none"/>
                <w:lang w:eastAsia="zh-CN"/>
              </w:rPr>
              <w:t>。</w:t>
            </w:r>
            <w:r>
              <w:rPr>
                <w:rFonts w:hint="default" w:ascii="Times New Roman" w:hAnsi="Times New Roman" w:eastAsia="宋体" w:cs="Times New Roman"/>
                <w:bCs/>
                <w:color w:val="auto"/>
                <w:sz w:val="24"/>
                <w:szCs w:val="24"/>
                <w:u w:val="none"/>
              </w:rPr>
              <w:t>具体要求见下表</w:t>
            </w:r>
            <w:r>
              <w:rPr>
                <w:rFonts w:hint="default" w:ascii="Times New Roman" w:hAnsi="Times New Roman" w:eastAsia="宋体" w:cs="Times New Roman"/>
                <w:bCs/>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kern w:val="0"/>
                <w:sz w:val="21"/>
                <w:szCs w:val="21"/>
                <w:u w:val="wave"/>
              </w:rPr>
            </w:pPr>
            <w:r>
              <w:rPr>
                <w:rFonts w:hint="default" w:ascii="Times New Roman" w:hAnsi="Times New Roman" w:eastAsia="宋体" w:cs="Times New Roman"/>
                <w:b/>
                <w:color w:val="auto"/>
                <w:kern w:val="0"/>
                <w:sz w:val="21"/>
                <w:szCs w:val="21"/>
                <w:u w:val="wave"/>
              </w:rPr>
              <w:t>表</w:t>
            </w:r>
            <w:r>
              <w:rPr>
                <w:rFonts w:hint="default" w:ascii="Times New Roman" w:hAnsi="Times New Roman" w:eastAsia="宋体" w:cs="Times New Roman"/>
                <w:b/>
                <w:color w:val="auto"/>
                <w:kern w:val="0"/>
                <w:sz w:val="21"/>
                <w:szCs w:val="21"/>
                <w:u w:val="wave"/>
                <w:lang w:val="en-US" w:eastAsia="zh-CN"/>
              </w:rPr>
              <w:t>3-</w:t>
            </w:r>
            <w:r>
              <w:rPr>
                <w:rFonts w:hint="eastAsia" w:ascii="Times New Roman" w:hAnsi="Times New Roman" w:eastAsia="宋体" w:cs="Times New Roman"/>
                <w:b/>
                <w:color w:val="auto"/>
                <w:kern w:val="0"/>
                <w:sz w:val="21"/>
                <w:szCs w:val="21"/>
                <w:u w:val="wave"/>
                <w:lang w:val="en-US" w:eastAsia="zh-CN"/>
              </w:rPr>
              <w:t>4</w:t>
            </w:r>
            <w:r>
              <w:rPr>
                <w:rFonts w:hint="default" w:ascii="Times New Roman" w:hAnsi="Times New Roman" w:eastAsia="宋体" w:cs="Times New Roman"/>
                <w:b/>
                <w:color w:val="auto"/>
                <w:kern w:val="0"/>
                <w:sz w:val="21"/>
                <w:szCs w:val="21"/>
                <w:u w:val="wave"/>
                <w:lang w:val="en-US" w:eastAsia="zh-CN"/>
              </w:rPr>
              <w:t xml:space="preserve">  大气污染物排放标准</w:t>
            </w:r>
          </w:p>
          <w:tbl>
            <w:tblPr>
              <w:tblStyle w:val="25"/>
              <w:tblW w:w="4998" w:type="pct"/>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427"/>
              <w:gridCol w:w="985"/>
              <w:gridCol w:w="1135"/>
              <w:gridCol w:w="1079"/>
              <w:gridCol w:w="1213"/>
              <w:gridCol w:w="1189"/>
              <w:gridCol w:w="1949"/>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454" w:hRule="atLeast"/>
                <w:jc w:val="center"/>
              </w:trPr>
              <w:tc>
                <w:tcPr>
                  <w:tcW w:w="267" w:type="pct"/>
                  <w:vMerge w:val="restar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caps/>
                      <w:color w:val="auto"/>
                      <w:sz w:val="21"/>
                      <w:szCs w:val="21"/>
                      <w:u w:val="wave"/>
                    </w:rPr>
                  </w:pPr>
                  <w:r>
                    <w:rPr>
                      <w:rFonts w:hint="default" w:ascii="Times New Roman" w:hAnsi="Times New Roman" w:eastAsia="宋体" w:cs="Times New Roman"/>
                      <w:b/>
                      <w:caps/>
                      <w:color w:val="auto"/>
                      <w:sz w:val="21"/>
                      <w:szCs w:val="21"/>
                      <w:u w:val="wave"/>
                    </w:rPr>
                    <w:t>序号</w:t>
                  </w:r>
                </w:p>
              </w:tc>
              <w:tc>
                <w:tcPr>
                  <w:tcW w:w="617" w:type="pct"/>
                  <w:vMerge w:val="restar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aps/>
                      <w:color w:val="auto"/>
                      <w:sz w:val="21"/>
                      <w:szCs w:val="21"/>
                      <w:u w:val="wave"/>
                    </w:rPr>
                  </w:pPr>
                  <w:r>
                    <w:rPr>
                      <w:rFonts w:hint="default" w:ascii="Times New Roman" w:hAnsi="Times New Roman" w:eastAsia="宋体" w:cs="Times New Roman"/>
                      <w:b/>
                      <w:bCs w:val="0"/>
                      <w:caps/>
                      <w:color w:val="auto"/>
                      <w:sz w:val="21"/>
                      <w:szCs w:val="21"/>
                      <w:u w:val="wave"/>
                    </w:rPr>
                    <w:t>污染物</w:t>
                  </w:r>
                </w:p>
              </w:tc>
              <w:tc>
                <w:tcPr>
                  <w:tcW w:w="1387" w:type="pct"/>
                  <w:gridSpan w:val="2"/>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u w:val="wave"/>
                    </w:rPr>
                  </w:pPr>
                  <w:r>
                    <w:rPr>
                      <w:rFonts w:hint="eastAsia" w:cs="Times New Roman"/>
                      <w:b/>
                      <w:bCs w:val="0"/>
                      <w:color w:val="auto"/>
                      <w:sz w:val="21"/>
                      <w:szCs w:val="21"/>
                      <w:u w:val="wave"/>
                      <w:lang w:eastAsia="zh-CN"/>
                    </w:rPr>
                    <w:t>有组织排放监测浓度限值</w:t>
                  </w:r>
                </w:p>
              </w:tc>
              <w:tc>
                <w:tcPr>
                  <w:tcW w:w="1505" w:type="pct"/>
                  <w:gridSpan w:val="2"/>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aps/>
                      <w:color w:val="auto"/>
                      <w:sz w:val="21"/>
                      <w:szCs w:val="21"/>
                      <w:u w:val="wave"/>
                    </w:rPr>
                  </w:pPr>
                  <w:r>
                    <w:rPr>
                      <w:rFonts w:hint="default" w:ascii="Times New Roman" w:hAnsi="Times New Roman" w:eastAsia="宋体" w:cs="Times New Roman"/>
                      <w:b/>
                      <w:bCs w:val="0"/>
                      <w:color w:val="auto"/>
                      <w:sz w:val="21"/>
                      <w:szCs w:val="21"/>
                      <w:u w:val="wave"/>
                    </w:rPr>
                    <w:t>无组织排放监控浓度限值（mg/m</w:t>
                  </w:r>
                  <w:r>
                    <w:rPr>
                      <w:rFonts w:hint="default" w:ascii="Times New Roman" w:hAnsi="Times New Roman" w:eastAsia="宋体" w:cs="Times New Roman"/>
                      <w:b/>
                      <w:bCs w:val="0"/>
                      <w:color w:val="auto"/>
                      <w:sz w:val="21"/>
                      <w:szCs w:val="21"/>
                      <w:u w:val="wave"/>
                      <w:vertAlign w:val="superscript"/>
                    </w:rPr>
                    <w:t>3</w:t>
                  </w:r>
                  <w:r>
                    <w:rPr>
                      <w:rFonts w:hint="default" w:ascii="Times New Roman" w:hAnsi="Times New Roman" w:eastAsia="宋体" w:cs="Times New Roman"/>
                      <w:b/>
                      <w:bCs w:val="0"/>
                      <w:color w:val="auto"/>
                      <w:sz w:val="21"/>
                      <w:szCs w:val="21"/>
                      <w:u w:val="wave"/>
                    </w:rPr>
                    <w:t>）</w:t>
                  </w:r>
                </w:p>
              </w:tc>
              <w:tc>
                <w:tcPr>
                  <w:tcW w:w="1221" w:type="pct"/>
                  <w:vMerge w:val="restar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aps/>
                      <w:color w:val="auto"/>
                      <w:sz w:val="21"/>
                      <w:szCs w:val="21"/>
                      <w:u w:val="wave"/>
                    </w:rPr>
                  </w:pPr>
                  <w:r>
                    <w:rPr>
                      <w:rFonts w:hint="default" w:ascii="Times New Roman" w:hAnsi="Times New Roman" w:eastAsia="宋体" w:cs="Times New Roman"/>
                      <w:b/>
                      <w:bCs w:val="0"/>
                      <w:caps/>
                      <w:color w:val="auto"/>
                      <w:sz w:val="21"/>
                      <w:szCs w:val="21"/>
                      <w:u w:val="wave"/>
                    </w:rPr>
                    <w:t>执行标准</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454" w:hRule="atLeast"/>
                <w:jc w:val="center"/>
              </w:trPr>
              <w:tc>
                <w:tcPr>
                  <w:tcW w:w="267" w:type="pct"/>
                  <w:vMerge w:val="continue"/>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caps/>
                      <w:color w:val="auto"/>
                      <w:sz w:val="21"/>
                      <w:szCs w:val="21"/>
                      <w:u w:val="wave"/>
                    </w:rPr>
                  </w:pPr>
                </w:p>
              </w:tc>
              <w:tc>
                <w:tcPr>
                  <w:tcW w:w="617" w:type="pct"/>
                  <w:vMerge w:val="continue"/>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aps/>
                      <w:color w:val="auto"/>
                      <w:sz w:val="21"/>
                      <w:szCs w:val="21"/>
                      <w:u w:val="wave"/>
                    </w:rPr>
                  </w:pPr>
                </w:p>
              </w:tc>
              <w:tc>
                <w:tcPr>
                  <w:tcW w:w="711" w:type="pct"/>
                  <w:noWrap w:val="0"/>
                  <w:vAlign w:val="center"/>
                </w:tcPr>
                <w:p>
                  <w:pPr>
                    <w:keepNext w:val="0"/>
                    <w:keepLines w:val="0"/>
                    <w:pageBreakBefore w:val="0"/>
                    <w:kinsoku/>
                    <w:wordWrap/>
                    <w:overflowPunct/>
                    <w:topLinePunct w:val="0"/>
                    <w:bidi w:val="0"/>
                    <w:adjustRightInd/>
                    <w:snapToGrid/>
                    <w:jc w:val="center"/>
                    <w:textAlignment w:val="auto"/>
                    <w:rPr>
                      <w:rFonts w:hint="default" w:cs="Times New Roman"/>
                      <w:b/>
                      <w:bCs w:val="0"/>
                      <w:color w:val="auto"/>
                      <w:sz w:val="21"/>
                      <w:szCs w:val="21"/>
                      <w:u w:val="wave"/>
                      <w:lang w:val="en-US" w:eastAsia="zh-CN"/>
                    </w:rPr>
                  </w:pPr>
                  <w:r>
                    <w:rPr>
                      <w:rFonts w:hint="eastAsia" w:cs="Times New Roman"/>
                      <w:b/>
                      <w:bCs w:val="0"/>
                      <w:color w:val="auto"/>
                      <w:sz w:val="21"/>
                      <w:szCs w:val="21"/>
                      <w:u w:val="wave"/>
                      <w:lang w:eastAsia="zh-CN"/>
                    </w:rPr>
                    <w:t>排放浓度</w:t>
                  </w:r>
                  <w:r>
                    <w:rPr>
                      <w:rFonts w:hint="eastAsia" w:cs="Times New Roman"/>
                      <w:b/>
                      <w:bCs w:val="0"/>
                      <w:color w:val="auto"/>
                      <w:sz w:val="21"/>
                      <w:szCs w:val="21"/>
                      <w:u w:val="wave"/>
                      <w:lang w:val="en-US" w:eastAsia="zh-CN"/>
                    </w:rPr>
                    <w:t>mg/m</w:t>
                  </w:r>
                  <w:r>
                    <w:rPr>
                      <w:rFonts w:hint="eastAsia" w:cs="Times New Roman"/>
                      <w:b/>
                      <w:bCs w:val="0"/>
                      <w:color w:val="auto"/>
                      <w:sz w:val="21"/>
                      <w:szCs w:val="21"/>
                      <w:u w:val="wave"/>
                      <w:vertAlign w:val="superscript"/>
                      <w:lang w:val="en-US" w:eastAsia="zh-CN"/>
                    </w:rPr>
                    <w:t>3</w:t>
                  </w:r>
                </w:p>
              </w:tc>
              <w:tc>
                <w:tcPr>
                  <w:tcW w:w="676"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olor w:val="auto"/>
                      <w:sz w:val="21"/>
                      <w:szCs w:val="21"/>
                      <w:u w:val="wave"/>
                      <w:lang w:val="en-US" w:eastAsia="zh-CN"/>
                    </w:rPr>
                  </w:pPr>
                  <w:r>
                    <w:rPr>
                      <w:rFonts w:hint="eastAsia" w:cs="Times New Roman"/>
                      <w:b/>
                      <w:bCs w:val="0"/>
                      <w:color w:val="auto"/>
                      <w:sz w:val="21"/>
                      <w:szCs w:val="21"/>
                      <w:u w:val="wave"/>
                      <w:lang w:eastAsia="zh-CN"/>
                    </w:rPr>
                    <w:t>排放速率</w:t>
                  </w:r>
                  <w:r>
                    <w:rPr>
                      <w:rFonts w:hint="eastAsia" w:cs="Times New Roman"/>
                      <w:b/>
                      <w:bCs w:val="0"/>
                      <w:color w:val="auto"/>
                      <w:sz w:val="21"/>
                      <w:szCs w:val="21"/>
                      <w:u w:val="wave"/>
                      <w:lang w:val="en-US" w:eastAsia="zh-CN"/>
                    </w:rPr>
                    <w:t>kg/h</w:t>
                  </w:r>
                </w:p>
              </w:tc>
              <w:tc>
                <w:tcPr>
                  <w:tcW w:w="760" w:type="pct"/>
                  <w:noWrap w:val="0"/>
                  <w:vAlign w:val="center"/>
                </w:tcPr>
                <w:p>
                  <w:pPr>
                    <w:keepNext w:val="0"/>
                    <w:keepLines w:val="0"/>
                    <w:pageBreakBefore w:val="0"/>
                    <w:kinsoku/>
                    <w:wordWrap/>
                    <w:overflowPunct/>
                    <w:topLinePunct w:val="0"/>
                    <w:bidi w:val="0"/>
                    <w:adjustRightInd/>
                    <w:snapToGrid/>
                    <w:jc w:val="center"/>
                    <w:textAlignment w:val="auto"/>
                    <w:rPr>
                      <w:rFonts w:hint="eastAsia" w:ascii="Times New Roman" w:hAnsi="Times New Roman" w:eastAsia="宋体" w:cs="Times New Roman"/>
                      <w:b/>
                      <w:bCs w:val="0"/>
                      <w:color w:val="auto"/>
                      <w:sz w:val="21"/>
                      <w:szCs w:val="21"/>
                      <w:u w:val="wave"/>
                      <w:lang w:eastAsia="zh-CN"/>
                    </w:rPr>
                  </w:pPr>
                  <w:r>
                    <w:rPr>
                      <w:rFonts w:hint="eastAsia" w:cs="Times New Roman"/>
                      <w:b/>
                      <w:bCs w:val="0"/>
                      <w:color w:val="auto"/>
                      <w:sz w:val="21"/>
                      <w:szCs w:val="21"/>
                      <w:u w:val="wave"/>
                      <w:lang w:eastAsia="zh-CN"/>
                    </w:rPr>
                    <w:t>监控点</w:t>
                  </w:r>
                </w:p>
              </w:tc>
              <w:tc>
                <w:tcPr>
                  <w:tcW w:w="744" w:type="pct"/>
                  <w:noWrap w:val="0"/>
                  <w:vAlign w:val="center"/>
                </w:tcPr>
                <w:p>
                  <w:pPr>
                    <w:keepNext w:val="0"/>
                    <w:keepLines w:val="0"/>
                    <w:pageBreakBefore w:val="0"/>
                    <w:kinsoku/>
                    <w:wordWrap/>
                    <w:overflowPunct/>
                    <w:topLinePunct w:val="0"/>
                    <w:bidi w:val="0"/>
                    <w:adjustRightInd/>
                    <w:snapToGrid/>
                    <w:jc w:val="center"/>
                    <w:textAlignment w:val="auto"/>
                    <w:rPr>
                      <w:rFonts w:hint="eastAsia" w:ascii="Times New Roman" w:hAnsi="Times New Roman" w:eastAsia="宋体" w:cs="Times New Roman"/>
                      <w:b/>
                      <w:bCs w:val="0"/>
                      <w:caps/>
                      <w:color w:val="auto"/>
                      <w:sz w:val="21"/>
                      <w:szCs w:val="21"/>
                      <w:u w:val="wave"/>
                      <w:lang w:eastAsia="zh-CN"/>
                    </w:rPr>
                  </w:pPr>
                  <w:r>
                    <w:rPr>
                      <w:rFonts w:hint="eastAsia" w:cs="Times New Roman"/>
                      <w:b/>
                      <w:bCs w:val="0"/>
                      <w:caps/>
                      <w:color w:val="auto"/>
                      <w:sz w:val="21"/>
                      <w:szCs w:val="21"/>
                      <w:u w:val="wave"/>
                      <w:lang w:eastAsia="zh-CN"/>
                    </w:rPr>
                    <w:t>排放浓度</w:t>
                  </w:r>
                  <w:r>
                    <w:rPr>
                      <w:rFonts w:hint="eastAsia" w:cs="Times New Roman"/>
                      <w:b/>
                      <w:bCs w:val="0"/>
                      <w:color w:val="auto"/>
                      <w:sz w:val="21"/>
                      <w:szCs w:val="21"/>
                      <w:u w:val="wave"/>
                      <w:lang w:val="en-US" w:eastAsia="zh-CN"/>
                    </w:rPr>
                    <w:t>mg/m</w:t>
                  </w:r>
                  <w:r>
                    <w:rPr>
                      <w:rFonts w:hint="eastAsia" w:cs="Times New Roman"/>
                      <w:b/>
                      <w:bCs w:val="0"/>
                      <w:color w:val="auto"/>
                      <w:sz w:val="21"/>
                      <w:szCs w:val="21"/>
                      <w:u w:val="wave"/>
                      <w:vertAlign w:val="superscript"/>
                      <w:lang w:val="en-US" w:eastAsia="zh-CN"/>
                    </w:rPr>
                    <w:t>3</w:t>
                  </w:r>
                </w:p>
              </w:tc>
              <w:tc>
                <w:tcPr>
                  <w:tcW w:w="1221" w:type="pct"/>
                  <w:vMerge w:val="continue"/>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b/>
                      <w:bCs w:val="0"/>
                      <w:caps/>
                      <w:color w:val="auto"/>
                      <w:sz w:val="21"/>
                      <w:szCs w:val="21"/>
                      <w:u w:val="wave"/>
                    </w:rPr>
                  </w:pP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454" w:hRule="atLeast"/>
                <w:jc w:val="center"/>
              </w:trPr>
              <w:tc>
                <w:tcPr>
                  <w:tcW w:w="267"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u w:val="wave"/>
                    </w:rPr>
                  </w:pPr>
                  <w:r>
                    <w:rPr>
                      <w:rFonts w:hint="default" w:ascii="Times New Roman" w:hAnsi="Times New Roman" w:eastAsia="宋体" w:cs="Times New Roman"/>
                      <w:color w:val="auto"/>
                      <w:sz w:val="21"/>
                      <w:szCs w:val="21"/>
                      <w:u w:val="wave"/>
                    </w:rPr>
                    <w:t>1</w:t>
                  </w:r>
                </w:p>
              </w:tc>
              <w:tc>
                <w:tcPr>
                  <w:tcW w:w="617"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u w:val="wave"/>
                      <w:lang w:val="en-US" w:eastAsia="zh-CN"/>
                    </w:rPr>
                  </w:pPr>
                  <w:r>
                    <w:rPr>
                      <w:rFonts w:hint="default" w:ascii="Times New Roman" w:hAnsi="Times New Roman" w:eastAsia="宋体" w:cs="Times New Roman"/>
                      <w:color w:val="auto"/>
                      <w:sz w:val="21"/>
                      <w:szCs w:val="21"/>
                      <w:u w:val="wave"/>
                      <w:lang w:val="en-US" w:eastAsia="zh-CN"/>
                    </w:rPr>
                    <w:t>颗粒物</w:t>
                  </w:r>
                </w:p>
              </w:tc>
              <w:tc>
                <w:tcPr>
                  <w:tcW w:w="711"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120</w:t>
                  </w:r>
                </w:p>
              </w:tc>
              <w:tc>
                <w:tcPr>
                  <w:tcW w:w="676"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3.5</w:t>
                  </w:r>
                </w:p>
              </w:tc>
              <w:tc>
                <w:tcPr>
                  <w:tcW w:w="760"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周界外浓度最高点</w:t>
                  </w:r>
                </w:p>
              </w:tc>
              <w:tc>
                <w:tcPr>
                  <w:tcW w:w="744"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kern w:val="2"/>
                      <w:sz w:val="21"/>
                      <w:szCs w:val="21"/>
                      <w:u w:val="wave"/>
                      <w:lang w:val="en-US" w:eastAsia="zh-CN" w:bidi="ar-SA"/>
                    </w:rPr>
                    <w:t>1.0</w:t>
                  </w:r>
                </w:p>
              </w:tc>
              <w:tc>
                <w:tcPr>
                  <w:tcW w:w="1221" w:type="pct"/>
                  <w:noWrap w:val="0"/>
                  <w:vAlign w:val="center"/>
                </w:tcPr>
                <w:p>
                  <w:pPr>
                    <w:pStyle w:val="68"/>
                    <w:jc w:val="center"/>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sz w:val="21"/>
                      <w:szCs w:val="21"/>
                      <w:u w:val="wave"/>
                    </w:rPr>
                    <w:t>《大气污染物综合排放标准》（GB16297-1996）</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454" w:hRule="atLeast"/>
                <w:jc w:val="center"/>
              </w:trPr>
              <w:tc>
                <w:tcPr>
                  <w:tcW w:w="267" w:type="pct"/>
                  <w:noWrap w:val="0"/>
                  <w:vAlign w:val="center"/>
                </w:tcPr>
                <w:p>
                  <w:pPr>
                    <w:keepNext w:val="0"/>
                    <w:keepLines w:val="0"/>
                    <w:pageBreakBefore w:val="0"/>
                    <w:kinsoku/>
                    <w:wordWrap/>
                    <w:overflowPunct/>
                    <w:topLinePunct w:val="0"/>
                    <w:bidi w:val="0"/>
                    <w:adjustRightInd/>
                    <w:snapToGrid/>
                    <w:jc w:val="center"/>
                    <w:textAlignment w:val="auto"/>
                    <w:rPr>
                      <w:rFonts w:hint="eastAsia" w:ascii="Times New Roman" w:hAnsi="Times New Roman" w:eastAsia="宋体" w:cs="Times New Roman"/>
                      <w:color w:val="auto"/>
                      <w:sz w:val="21"/>
                      <w:szCs w:val="21"/>
                      <w:u w:val="wave"/>
                      <w:lang w:val="en-US" w:eastAsia="zh-CN"/>
                    </w:rPr>
                  </w:pPr>
                  <w:r>
                    <w:rPr>
                      <w:rFonts w:hint="eastAsia" w:ascii="Times New Roman" w:hAnsi="Times New Roman" w:eastAsia="宋体" w:cs="Times New Roman"/>
                      <w:color w:val="auto"/>
                      <w:sz w:val="21"/>
                      <w:szCs w:val="21"/>
                      <w:u w:val="wave"/>
                      <w:lang w:val="en-US" w:eastAsia="zh-CN"/>
                    </w:rPr>
                    <w:t>2</w:t>
                  </w:r>
                </w:p>
              </w:tc>
              <w:tc>
                <w:tcPr>
                  <w:tcW w:w="617"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u w:val="wave"/>
                      <w:lang w:val="en-US" w:eastAsia="zh-CN"/>
                    </w:rPr>
                  </w:pPr>
                  <w:r>
                    <w:rPr>
                      <w:rFonts w:hint="eastAsia" w:ascii="Times New Roman" w:hAnsi="Times New Roman" w:eastAsia="宋体" w:cs="Times New Roman"/>
                      <w:color w:val="auto"/>
                      <w:sz w:val="21"/>
                      <w:szCs w:val="21"/>
                      <w:u w:val="wave"/>
                      <w:lang w:val="en-US" w:eastAsia="zh-CN"/>
                    </w:rPr>
                    <w:t>非甲烷总烃</w:t>
                  </w:r>
                </w:p>
              </w:tc>
              <w:tc>
                <w:tcPr>
                  <w:tcW w:w="711"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120</w:t>
                  </w:r>
                </w:p>
              </w:tc>
              <w:tc>
                <w:tcPr>
                  <w:tcW w:w="676"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10</w:t>
                  </w:r>
                </w:p>
              </w:tc>
              <w:tc>
                <w:tcPr>
                  <w:tcW w:w="760"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周界外浓度最高点</w:t>
                  </w:r>
                </w:p>
              </w:tc>
              <w:tc>
                <w:tcPr>
                  <w:tcW w:w="744"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kern w:val="2"/>
                      <w:sz w:val="21"/>
                      <w:szCs w:val="21"/>
                      <w:u w:val="wave"/>
                      <w:lang w:val="en-US" w:eastAsia="zh-CN" w:bidi="ar-SA"/>
                    </w:rPr>
                    <w:t>4.0</w:t>
                  </w:r>
                </w:p>
              </w:tc>
              <w:tc>
                <w:tcPr>
                  <w:tcW w:w="1221" w:type="pct"/>
                  <w:noWrap w:val="0"/>
                  <w:vAlign w:val="center"/>
                </w:tcPr>
                <w:p>
                  <w:pPr>
                    <w:pStyle w:val="68"/>
                    <w:jc w:val="center"/>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sz w:val="21"/>
                      <w:szCs w:val="21"/>
                      <w:u w:val="wave"/>
                    </w:rPr>
                    <w:t>《大气污染物综合排放标准》（GB16297-1996）</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454" w:hRule="atLeast"/>
                <w:jc w:val="center"/>
              </w:trPr>
              <w:tc>
                <w:tcPr>
                  <w:tcW w:w="267"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u w:val="wave"/>
                      <w:lang w:val="en-US" w:eastAsia="zh-CN"/>
                    </w:rPr>
                  </w:pPr>
                  <w:r>
                    <w:rPr>
                      <w:rFonts w:hint="eastAsia" w:ascii="Times New Roman" w:hAnsi="Times New Roman" w:eastAsia="宋体" w:cs="Times New Roman"/>
                      <w:color w:val="auto"/>
                      <w:sz w:val="21"/>
                      <w:szCs w:val="21"/>
                      <w:u w:val="wave"/>
                      <w:lang w:val="en-US" w:eastAsia="zh-CN"/>
                    </w:rPr>
                    <w:t>3</w:t>
                  </w:r>
                </w:p>
              </w:tc>
              <w:tc>
                <w:tcPr>
                  <w:tcW w:w="617"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sz w:val="21"/>
                      <w:szCs w:val="21"/>
                      <w:u w:val="wave"/>
                      <w:lang w:val="en-US" w:eastAsia="zh-CN"/>
                    </w:rPr>
                  </w:pPr>
                  <w:r>
                    <w:rPr>
                      <w:rFonts w:hint="eastAsia" w:ascii="Times New Roman" w:hAnsi="Times New Roman" w:eastAsia="宋体" w:cs="Times New Roman"/>
                      <w:color w:val="auto"/>
                      <w:sz w:val="21"/>
                      <w:szCs w:val="21"/>
                      <w:u w:val="wave"/>
                      <w:lang w:val="en-US" w:eastAsia="zh-CN"/>
                    </w:rPr>
                    <w:t>非甲烷总烃</w:t>
                  </w:r>
                </w:p>
              </w:tc>
              <w:tc>
                <w:tcPr>
                  <w:tcW w:w="711"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w:t>
                  </w:r>
                </w:p>
              </w:tc>
              <w:tc>
                <w:tcPr>
                  <w:tcW w:w="676"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w:t>
                  </w:r>
                </w:p>
              </w:tc>
              <w:tc>
                <w:tcPr>
                  <w:tcW w:w="760"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kern w:val="2"/>
                      <w:sz w:val="21"/>
                      <w:szCs w:val="21"/>
                      <w:u w:val="wave"/>
                      <w:lang w:val="en-US" w:eastAsia="zh-CN" w:bidi="ar-SA"/>
                    </w:rPr>
                    <w:t>在厂房外设置监控点</w:t>
                  </w:r>
                </w:p>
              </w:tc>
              <w:tc>
                <w:tcPr>
                  <w:tcW w:w="744" w:type="pct"/>
                  <w:noWrap w:val="0"/>
                  <w:vAlign w:val="center"/>
                </w:tcPr>
                <w:p>
                  <w:pPr>
                    <w:keepNext w:val="0"/>
                    <w:keepLines w:val="0"/>
                    <w:pageBreakBefore w:val="0"/>
                    <w:kinsoku/>
                    <w:wordWrap/>
                    <w:overflowPunct/>
                    <w:topLinePunct w:val="0"/>
                    <w:bidi w:val="0"/>
                    <w:adjustRightInd/>
                    <w:snapToGrid/>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kern w:val="2"/>
                      <w:sz w:val="21"/>
                      <w:szCs w:val="21"/>
                      <w:u w:val="wave"/>
                      <w:lang w:val="en-US" w:eastAsia="zh-CN" w:bidi="ar-SA"/>
                    </w:rPr>
                    <w:t>10</w:t>
                  </w:r>
                </w:p>
              </w:tc>
              <w:tc>
                <w:tcPr>
                  <w:tcW w:w="1221" w:type="pct"/>
                  <w:noWrap w:val="0"/>
                  <w:vAlign w:val="center"/>
                </w:tcPr>
                <w:p>
                  <w:pPr>
                    <w:pStyle w:val="68"/>
                    <w:jc w:val="center"/>
                    <w:rPr>
                      <w:rFonts w:hint="default" w:ascii="Times New Roman" w:hAnsi="Times New Roman" w:eastAsia="宋体" w:cs="Times New Roman"/>
                      <w:color w:val="auto"/>
                      <w:sz w:val="21"/>
                      <w:szCs w:val="21"/>
                      <w:u w:val="wave"/>
                    </w:rPr>
                  </w:pPr>
                  <w:r>
                    <w:rPr>
                      <w:rFonts w:hint="default" w:ascii="Times New Roman" w:hAnsi="Times New Roman" w:eastAsia="宋体" w:cs="Times New Roman"/>
                      <w:color w:val="auto"/>
                      <w:sz w:val="21"/>
                      <w:szCs w:val="21"/>
                      <w:u w:val="wave"/>
                    </w:rPr>
                    <w:t>《挥发性</w:t>
                  </w:r>
                  <w:r>
                    <w:rPr>
                      <w:rFonts w:hint="eastAsia" w:ascii="Times New Roman" w:hAnsi="Times New Roman" w:eastAsia="宋体" w:cs="Times New Roman"/>
                      <w:color w:val="auto"/>
                      <w:sz w:val="21"/>
                      <w:szCs w:val="21"/>
                      <w:u w:val="wave"/>
                      <w:lang w:val="en-US" w:eastAsia="zh-CN"/>
                    </w:rPr>
                    <w:t>有机物</w:t>
                  </w:r>
                  <w:r>
                    <w:rPr>
                      <w:rFonts w:hint="default" w:ascii="Times New Roman" w:hAnsi="Times New Roman" w:eastAsia="宋体" w:cs="Times New Roman"/>
                      <w:color w:val="auto"/>
                      <w:sz w:val="21"/>
                      <w:szCs w:val="21"/>
                      <w:u w:val="wave"/>
                    </w:rPr>
                    <w:t>无组织排放控制标准》（GB37822-2019）</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lang w:val="en-US" w:eastAsia="zh-CN"/>
              </w:rPr>
              <w:t>2</w:t>
            </w:r>
            <w:r>
              <w:rPr>
                <w:rFonts w:hint="default" w:ascii="Times New Roman" w:hAnsi="Times New Roman" w:eastAsia="宋体" w:cs="Times New Roman"/>
                <w:b/>
                <w:color w:val="auto"/>
                <w:sz w:val="24"/>
                <w:szCs w:val="24"/>
                <w:u w:val="none"/>
              </w:rPr>
              <w:t>、水污染物排放标准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u w:val="wave"/>
                <w:vertAlign w:val="baseline"/>
                <w:lang w:val="en-US" w:eastAsia="zh-CN"/>
              </w:rPr>
            </w:pPr>
            <w:r>
              <w:rPr>
                <w:rFonts w:hint="default" w:ascii="Times New Roman" w:hAnsi="Times New Roman" w:eastAsia="宋体" w:cs="Times New Roman"/>
                <w:color w:val="auto"/>
                <w:sz w:val="24"/>
                <w:szCs w:val="24"/>
                <w:u w:val="wave"/>
                <w:vertAlign w:val="baseline"/>
                <w:lang w:val="en-US" w:eastAsia="zh-CN"/>
              </w:rPr>
              <w:t>生活污水经处理后达到《污水综合排放标准》（GB8978-1996）表4中三级标准</w:t>
            </w:r>
            <w:r>
              <w:rPr>
                <w:rFonts w:hint="eastAsia" w:ascii="Times New Roman" w:hAnsi="Times New Roman" w:eastAsia="宋体" w:cs="Times New Roman"/>
                <w:color w:val="auto"/>
                <w:sz w:val="24"/>
                <w:szCs w:val="24"/>
                <w:u w:val="wave"/>
                <w:vertAlign w:val="baseline"/>
                <w:lang w:val="en-US" w:eastAsia="zh-CN"/>
              </w:rPr>
              <w:t>及衡阳县西渡高新区污水处理厂进水水质要求中较严者</w:t>
            </w:r>
            <w:r>
              <w:rPr>
                <w:rFonts w:hint="default" w:ascii="Times New Roman" w:hAnsi="Times New Roman" w:eastAsia="宋体" w:cs="Times New Roman"/>
                <w:color w:val="auto"/>
                <w:sz w:val="24"/>
                <w:szCs w:val="24"/>
                <w:u w:val="wave"/>
                <w:vertAlign w:val="baseline"/>
                <w:lang w:val="en-US" w:eastAsia="zh-CN"/>
              </w:rPr>
              <w:t>，排入市政污水管网，纳入衡阳县西渡高新区污水处理厂处理达到《城镇污水处理厂污染物排放标准》（GB18918-2002）中一级A标准后外排</w:t>
            </w:r>
            <w:r>
              <w:rPr>
                <w:rFonts w:hint="eastAsia" w:ascii="Times New Roman" w:hAnsi="Times New Roman" w:eastAsia="宋体" w:cs="Times New Roman"/>
                <w:color w:val="auto"/>
                <w:sz w:val="24"/>
                <w:szCs w:val="24"/>
                <w:u w:val="wave"/>
                <w:vertAlign w:val="baseline"/>
                <w:lang w:val="en-US" w:eastAsia="zh-CN"/>
              </w:rPr>
              <w:t>蒸水</w:t>
            </w:r>
            <w:r>
              <w:rPr>
                <w:rFonts w:hint="default" w:ascii="Times New Roman" w:hAnsi="Times New Roman" w:eastAsia="宋体" w:cs="Times New Roman"/>
                <w:color w:val="auto"/>
                <w:sz w:val="24"/>
                <w:szCs w:val="24"/>
                <w:u w:val="wave"/>
                <w:vertAlign w:val="baseline"/>
                <w:lang w:val="en-US" w:eastAsia="zh-CN"/>
              </w:rPr>
              <w:t>，最终排入湘江。废水排放标准限值</w:t>
            </w:r>
            <w:r>
              <w:rPr>
                <w:rFonts w:hint="eastAsia" w:ascii="Times New Roman" w:hAnsi="Times New Roman" w:eastAsia="宋体" w:cs="Times New Roman"/>
                <w:color w:val="auto"/>
                <w:sz w:val="24"/>
                <w:szCs w:val="24"/>
                <w:u w:val="wave"/>
                <w:vertAlign w:val="baseline"/>
                <w:lang w:val="en-US" w:eastAsia="zh-CN"/>
              </w:rPr>
              <w:t>执行</w:t>
            </w:r>
            <w:r>
              <w:rPr>
                <w:rFonts w:hint="default" w:ascii="Times New Roman" w:hAnsi="Times New Roman" w:eastAsia="宋体" w:cs="Times New Roman"/>
                <w:color w:val="auto"/>
                <w:sz w:val="24"/>
                <w:szCs w:val="24"/>
                <w:u w:val="wave"/>
                <w:vertAlign w:val="baseline"/>
                <w:lang w:val="en-US" w:eastAsia="zh-CN"/>
              </w:rPr>
              <w:t>详见下表3-</w:t>
            </w:r>
            <w:r>
              <w:rPr>
                <w:rFonts w:hint="eastAsia" w:ascii="Times New Roman" w:hAnsi="Times New Roman" w:eastAsia="宋体" w:cs="Times New Roman"/>
                <w:color w:val="auto"/>
                <w:sz w:val="24"/>
                <w:szCs w:val="24"/>
                <w:u w:val="wave"/>
                <w:vertAlign w:val="baseline"/>
                <w:lang w:val="en-US" w:eastAsia="zh-CN"/>
              </w:rPr>
              <w:t>5</w:t>
            </w:r>
            <w:r>
              <w:rPr>
                <w:rFonts w:hint="default" w:ascii="Times New Roman" w:hAnsi="Times New Roman" w:eastAsia="宋体" w:cs="Times New Roman"/>
                <w:color w:val="auto"/>
                <w:sz w:val="24"/>
                <w:szCs w:val="24"/>
                <w:u w:val="wave"/>
                <w:vertAlign w:val="baseline"/>
                <w:lang w:val="en-US" w:eastAsia="zh-CN"/>
              </w:rPr>
              <w:t>，3-</w:t>
            </w:r>
            <w:r>
              <w:rPr>
                <w:rFonts w:hint="eastAsia" w:ascii="Times New Roman" w:hAnsi="Times New Roman" w:eastAsia="宋体" w:cs="Times New Roman"/>
                <w:color w:val="auto"/>
                <w:sz w:val="24"/>
                <w:szCs w:val="24"/>
                <w:u w:val="wave"/>
                <w:vertAlign w:val="baseline"/>
                <w:lang w:val="en-US" w:eastAsia="zh-CN"/>
              </w:rPr>
              <w:t>6</w:t>
            </w:r>
            <w:r>
              <w:rPr>
                <w:rFonts w:hint="default" w:ascii="Times New Roman" w:hAnsi="Times New Roman" w:eastAsia="宋体" w:cs="Times New Roman"/>
                <w:color w:val="auto"/>
                <w:sz w:val="24"/>
                <w:szCs w:val="24"/>
                <w:u w:val="wav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表3-</w:t>
            </w:r>
            <w:r>
              <w:rPr>
                <w:rFonts w:hint="eastAsia" w:ascii="Times New Roman" w:hAnsi="Times New Roman" w:eastAsia="宋体" w:cs="Times New Roman"/>
                <w:b/>
                <w:bCs/>
                <w:color w:val="auto"/>
                <w:sz w:val="21"/>
                <w:szCs w:val="21"/>
                <w:u w:val="wave"/>
                <w:vertAlign w:val="baseline"/>
                <w:lang w:val="en-US" w:eastAsia="zh-CN"/>
              </w:rPr>
              <w:t>5</w:t>
            </w:r>
            <w:r>
              <w:rPr>
                <w:rFonts w:hint="default" w:ascii="Times New Roman" w:hAnsi="Times New Roman" w:eastAsia="宋体" w:cs="Times New Roman"/>
                <w:b/>
                <w:bCs/>
                <w:color w:val="auto"/>
                <w:sz w:val="21"/>
                <w:szCs w:val="21"/>
                <w:u w:val="wave"/>
                <w:vertAlign w:val="baseline"/>
                <w:lang w:val="en-US" w:eastAsia="zh-CN"/>
              </w:rPr>
              <w:t xml:space="preserve">  </w:t>
            </w:r>
            <w:r>
              <w:rPr>
                <w:rFonts w:hint="eastAsia" w:ascii="Times New Roman" w:hAnsi="Times New Roman" w:eastAsia="宋体" w:cs="Times New Roman"/>
                <w:b/>
                <w:bCs/>
                <w:color w:val="auto"/>
                <w:sz w:val="21"/>
                <w:szCs w:val="21"/>
                <w:u w:val="wave"/>
                <w:vertAlign w:val="baseline"/>
                <w:lang w:val="en-US" w:eastAsia="zh-CN"/>
              </w:rPr>
              <w:t>废水排放标准（pH为无量纲，单位：mg/L）</w:t>
            </w:r>
          </w:p>
          <w:tbl>
            <w:tblPr>
              <w:tblStyle w:val="26"/>
              <w:tblW w:w="4841"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682"/>
              <w:gridCol w:w="934"/>
              <w:gridCol w:w="1013"/>
              <w:gridCol w:w="727"/>
              <w:gridCol w:w="943"/>
              <w:gridCol w:w="996"/>
              <w:gridCol w:w="11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名称</w:t>
                  </w:r>
                </w:p>
              </w:tc>
              <w:tc>
                <w:tcPr>
                  <w:tcW w:w="44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pH</w:t>
                  </w: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COD</w:t>
                  </w:r>
                </w:p>
              </w:tc>
              <w:tc>
                <w:tcPr>
                  <w:tcW w:w="6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BOD</w:t>
                  </w:r>
                  <w:r>
                    <w:rPr>
                      <w:rFonts w:hint="default" w:ascii="Times New Roman" w:hAnsi="Times New Roman" w:eastAsia="宋体" w:cs="Times New Roman"/>
                      <w:b/>
                      <w:bCs/>
                      <w:color w:val="auto"/>
                      <w:sz w:val="21"/>
                      <w:szCs w:val="21"/>
                      <w:u w:val="wave"/>
                      <w:vertAlign w:val="subscript"/>
                      <w:lang w:val="en-US" w:eastAsia="zh-CN"/>
                    </w:rPr>
                    <w:t>5</w:t>
                  </w:r>
                </w:p>
              </w:tc>
              <w:tc>
                <w:tcPr>
                  <w:tcW w:w="4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SS</w:t>
                  </w:r>
                </w:p>
              </w:tc>
              <w:tc>
                <w:tcPr>
                  <w:tcW w:w="6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NH</w:t>
                  </w:r>
                  <w:r>
                    <w:rPr>
                      <w:rFonts w:hint="default" w:ascii="Times New Roman" w:hAnsi="Times New Roman" w:eastAsia="宋体" w:cs="Times New Roman"/>
                      <w:b/>
                      <w:bCs/>
                      <w:color w:val="auto"/>
                      <w:sz w:val="21"/>
                      <w:szCs w:val="21"/>
                      <w:u w:val="wave"/>
                      <w:vertAlign w:val="subscript"/>
                      <w:lang w:val="en-US" w:eastAsia="zh-CN"/>
                    </w:rPr>
                    <w:t>3</w:t>
                  </w:r>
                  <w:r>
                    <w:rPr>
                      <w:rFonts w:hint="default" w:ascii="Times New Roman" w:hAnsi="Times New Roman" w:eastAsia="宋体" w:cs="Times New Roman"/>
                      <w:b/>
                      <w:bCs/>
                      <w:color w:val="auto"/>
                      <w:sz w:val="21"/>
                      <w:szCs w:val="21"/>
                      <w:u w:val="wave"/>
                      <w:vertAlign w:val="baseline"/>
                      <w:lang w:val="en-US" w:eastAsia="zh-CN"/>
                    </w:rPr>
                    <w:t>-N</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石油类</w:t>
                  </w:r>
                </w:p>
              </w:tc>
              <w:tc>
                <w:tcPr>
                  <w:tcW w:w="7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污水三级标准</w:t>
                  </w:r>
                </w:p>
              </w:tc>
              <w:tc>
                <w:tcPr>
                  <w:tcW w:w="44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6-9</w:t>
                  </w: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500</w:t>
                  </w:r>
                </w:p>
              </w:tc>
              <w:tc>
                <w:tcPr>
                  <w:tcW w:w="6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300</w:t>
                  </w:r>
                </w:p>
              </w:tc>
              <w:tc>
                <w:tcPr>
                  <w:tcW w:w="4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400</w:t>
                  </w:r>
                </w:p>
              </w:tc>
              <w:tc>
                <w:tcPr>
                  <w:tcW w:w="6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20</w:t>
                  </w:r>
                </w:p>
              </w:tc>
              <w:tc>
                <w:tcPr>
                  <w:tcW w:w="7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污水处理厂进水要求</w:t>
                  </w:r>
                </w:p>
              </w:tc>
              <w:tc>
                <w:tcPr>
                  <w:tcW w:w="44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6-9</w:t>
                  </w:r>
                </w:p>
              </w:tc>
              <w:tc>
                <w:tcPr>
                  <w:tcW w:w="6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400</w:t>
                  </w:r>
                </w:p>
              </w:tc>
              <w:tc>
                <w:tcPr>
                  <w:tcW w:w="6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300</w:t>
                  </w:r>
                </w:p>
              </w:tc>
              <w:tc>
                <w:tcPr>
                  <w:tcW w:w="47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400</w:t>
                  </w:r>
                </w:p>
              </w:tc>
              <w:tc>
                <w:tcPr>
                  <w:tcW w:w="6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25</w:t>
                  </w:r>
                </w:p>
              </w:tc>
              <w:tc>
                <w:tcPr>
                  <w:tcW w:w="64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w:t>
                  </w:r>
                </w:p>
              </w:tc>
              <w:tc>
                <w:tcPr>
                  <w:tcW w:w="7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eastAsia" w:ascii="Times New Roman" w:hAnsi="Times New Roman" w:eastAsia="宋体" w:cs="Times New Roman"/>
                      <w:color w:val="auto"/>
                      <w:sz w:val="21"/>
                      <w:szCs w:val="21"/>
                      <w:u w:val="wave"/>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eastAsia="宋体" w:cs="Times New Roman"/>
                <w:color w:val="auto"/>
                <w:sz w:val="24"/>
                <w:szCs w:val="24"/>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表3-</w:t>
            </w:r>
            <w:r>
              <w:rPr>
                <w:rFonts w:hint="eastAsia" w:ascii="Times New Roman" w:hAnsi="Times New Roman" w:eastAsia="宋体" w:cs="Times New Roman"/>
                <w:b/>
                <w:bCs/>
                <w:color w:val="auto"/>
                <w:sz w:val="21"/>
                <w:szCs w:val="21"/>
                <w:u w:val="wave"/>
                <w:vertAlign w:val="baseline"/>
                <w:lang w:val="en-US" w:eastAsia="zh-CN"/>
              </w:rPr>
              <w:t>6</w:t>
            </w:r>
            <w:r>
              <w:rPr>
                <w:rFonts w:hint="default" w:ascii="Times New Roman" w:hAnsi="Times New Roman" w:eastAsia="宋体" w:cs="Times New Roman"/>
                <w:b/>
                <w:bCs/>
                <w:color w:val="auto"/>
                <w:sz w:val="21"/>
                <w:szCs w:val="21"/>
                <w:u w:val="wave"/>
                <w:vertAlign w:val="baseline"/>
                <w:lang w:val="en-US" w:eastAsia="zh-CN"/>
              </w:rPr>
              <w:t xml:space="preserve">  《城镇污水处理厂污染物排放标准》（GB18918-2002）一级A标准（mg/L）</w:t>
            </w:r>
          </w:p>
          <w:tbl>
            <w:tblPr>
              <w:tblStyle w:val="25"/>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536"/>
              <w:gridCol w:w="1041"/>
              <w:gridCol w:w="1130"/>
              <w:gridCol w:w="809"/>
              <w:gridCol w:w="1254"/>
              <w:gridCol w:w="1256"/>
              <w:gridCol w:w="12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名称</w:t>
                  </w:r>
                </w:p>
              </w:tc>
              <w:tc>
                <w:tcPr>
                  <w:tcW w:w="3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pH</w:t>
                  </w:r>
                </w:p>
              </w:tc>
              <w:tc>
                <w:tcPr>
                  <w:tcW w:w="6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COD</w:t>
                  </w:r>
                </w:p>
              </w:tc>
              <w:tc>
                <w:tcPr>
                  <w:tcW w:w="7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BOD</w:t>
                  </w:r>
                  <w:r>
                    <w:rPr>
                      <w:rFonts w:hint="default" w:ascii="Times New Roman" w:hAnsi="Times New Roman" w:eastAsia="宋体" w:cs="Times New Roman"/>
                      <w:b/>
                      <w:bCs/>
                      <w:color w:val="auto"/>
                      <w:sz w:val="21"/>
                      <w:szCs w:val="21"/>
                      <w:u w:val="wave"/>
                      <w:vertAlign w:val="subscript"/>
                      <w:lang w:val="en-US" w:eastAsia="zh-CN"/>
                    </w:rPr>
                    <w:t>5</w:t>
                  </w:r>
                </w:p>
              </w:tc>
              <w:tc>
                <w:tcPr>
                  <w:tcW w:w="5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SS</w:t>
                  </w:r>
                </w:p>
              </w:tc>
              <w:tc>
                <w:tcPr>
                  <w:tcW w:w="78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NH</w:t>
                  </w:r>
                  <w:r>
                    <w:rPr>
                      <w:rFonts w:hint="default" w:ascii="Times New Roman" w:hAnsi="Times New Roman" w:eastAsia="宋体" w:cs="Times New Roman"/>
                      <w:b/>
                      <w:bCs/>
                      <w:color w:val="auto"/>
                      <w:sz w:val="21"/>
                      <w:szCs w:val="21"/>
                      <w:u w:val="wave"/>
                      <w:vertAlign w:val="subscript"/>
                      <w:lang w:val="en-US" w:eastAsia="zh-CN"/>
                    </w:rPr>
                    <w:t>3</w:t>
                  </w:r>
                  <w:r>
                    <w:rPr>
                      <w:rFonts w:hint="default" w:ascii="Times New Roman" w:hAnsi="Times New Roman" w:eastAsia="宋体" w:cs="Times New Roman"/>
                      <w:b/>
                      <w:bCs/>
                      <w:color w:val="auto"/>
                      <w:sz w:val="21"/>
                      <w:szCs w:val="21"/>
                      <w:u w:val="wave"/>
                      <w:vertAlign w:val="baseline"/>
                      <w:lang w:val="en-US" w:eastAsia="zh-CN"/>
                    </w:rPr>
                    <w:t>-N</w:t>
                  </w:r>
                </w:p>
              </w:tc>
              <w:tc>
                <w:tcPr>
                  <w:tcW w:w="78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石油类</w:t>
                  </w:r>
                </w:p>
              </w:tc>
              <w:tc>
                <w:tcPr>
                  <w:tcW w:w="78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u w:val="wave"/>
                      <w:vertAlign w:val="baseline"/>
                      <w:lang w:val="en-US" w:eastAsia="zh-CN"/>
                    </w:rPr>
                  </w:pPr>
                  <w:r>
                    <w:rPr>
                      <w:rFonts w:hint="default" w:ascii="Times New Roman" w:hAnsi="Times New Roman" w:eastAsia="宋体" w:cs="Times New Roman"/>
                      <w:b/>
                      <w:bCs/>
                      <w:color w:val="auto"/>
                      <w:sz w:val="21"/>
                      <w:szCs w:val="21"/>
                      <w:u w:val="wave"/>
                      <w:vertAlign w:val="baseline"/>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指标</w:t>
                  </w:r>
                </w:p>
              </w:tc>
              <w:tc>
                <w:tcPr>
                  <w:tcW w:w="3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6-9</w:t>
                  </w:r>
                </w:p>
              </w:tc>
              <w:tc>
                <w:tcPr>
                  <w:tcW w:w="6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50</w:t>
                  </w:r>
                </w:p>
              </w:tc>
              <w:tc>
                <w:tcPr>
                  <w:tcW w:w="7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10</w:t>
                  </w:r>
                </w:p>
              </w:tc>
              <w:tc>
                <w:tcPr>
                  <w:tcW w:w="5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10</w:t>
                  </w:r>
                </w:p>
              </w:tc>
              <w:tc>
                <w:tcPr>
                  <w:tcW w:w="78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5（8）</w:t>
                  </w:r>
                </w:p>
              </w:tc>
              <w:tc>
                <w:tcPr>
                  <w:tcW w:w="78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1</w:t>
                  </w:r>
                </w:p>
              </w:tc>
              <w:tc>
                <w:tcPr>
                  <w:tcW w:w="78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u w:val="wave"/>
                      <w:vertAlign w:val="baseline"/>
                      <w:lang w:val="en-US" w:eastAsia="zh-CN"/>
                    </w:rPr>
                  </w:pPr>
                  <w:r>
                    <w:rPr>
                      <w:rFonts w:hint="default" w:ascii="Times New Roman" w:hAnsi="Times New Roman" w:eastAsia="宋体" w:cs="Times New Roman"/>
                      <w:color w:val="auto"/>
                      <w:sz w:val="21"/>
                      <w:szCs w:val="21"/>
                      <w:u w:val="wave"/>
                      <w:vertAlign w:val="baseline"/>
                      <w:lang w:val="en-US" w:eastAsia="zh-CN"/>
                    </w:rPr>
                    <w:t>1</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lang w:val="en-US" w:eastAsia="zh-CN"/>
              </w:rPr>
              <w:t>3</w:t>
            </w:r>
            <w:r>
              <w:rPr>
                <w:rFonts w:hint="default" w:ascii="Times New Roman" w:hAnsi="Times New Roman" w:eastAsia="宋体" w:cs="Times New Roman"/>
                <w:b/>
                <w:color w:val="auto"/>
                <w:sz w:val="24"/>
                <w:szCs w:val="24"/>
                <w:u w:val="none"/>
              </w:rPr>
              <w:t>、噪声排放标准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bCs/>
                <w:color w:val="auto"/>
                <w:sz w:val="24"/>
                <w:szCs w:val="24"/>
                <w:u w:val="none"/>
              </w:rPr>
            </w:pPr>
            <w:r>
              <w:rPr>
                <w:rFonts w:hint="default" w:ascii="Times New Roman" w:hAnsi="Times New Roman" w:eastAsia="宋体" w:cs="Times New Roman"/>
                <w:bCs/>
                <w:color w:val="auto"/>
                <w:sz w:val="24"/>
                <w:szCs w:val="24"/>
                <w:u w:val="none"/>
              </w:rPr>
              <w:t>项目运营期厂</w:t>
            </w:r>
            <w:r>
              <w:rPr>
                <w:rFonts w:hint="default" w:ascii="Times New Roman" w:hAnsi="Times New Roman" w:eastAsia="宋体" w:cs="Times New Roman"/>
                <w:bCs/>
                <w:color w:val="auto"/>
                <w:sz w:val="24"/>
                <w:szCs w:val="24"/>
                <w:u w:val="none"/>
                <w:lang w:val="en-US" w:eastAsia="zh-CN"/>
              </w:rPr>
              <w:t>界东、南、西</w:t>
            </w:r>
            <w:r>
              <w:rPr>
                <w:rFonts w:hint="eastAsia" w:ascii="Times New Roman" w:hAnsi="Times New Roman" w:eastAsia="宋体" w:cs="Times New Roman"/>
                <w:bCs/>
                <w:color w:val="auto"/>
                <w:sz w:val="24"/>
                <w:szCs w:val="24"/>
                <w:u w:val="none"/>
                <w:lang w:val="en-US" w:eastAsia="zh-CN"/>
              </w:rPr>
              <w:t>、</w:t>
            </w:r>
            <w:r>
              <w:rPr>
                <w:rFonts w:hint="default" w:ascii="Times New Roman" w:hAnsi="Times New Roman" w:eastAsia="宋体" w:cs="Times New Roman"/>
                <w:bCs/>
                <w:color w:val="auto"/>
                <w:sz w:val="24"/>
                <w:szCs w:val="24"/>
                <w:u w:val="none"/>
                <w:lang w:val="en-US" w:eastAsia="zh-CN"/>
              </w:rPr>
              <w:t>北侧</w:t>
            </w:r>
            <w:r>
              <w:rPr>
                <w:rFonts w:hint="default" w:ascii="Times New Roman" w:hAnsi="Times New Roman" w:eastAsia="宋体" w:cs="Times New Roman"/>
                <w:bCs/>
                <w:color w:val="auto"/>
                <w:sz w:val="24"/>
                <w:szCs w:val="24"/>
                <w:u w:val="none"/>
              </w:rPr>
              <w:t>噪声执行《工业企业厂界环境噪声排放标准》（GB12348-2008）中</w:t>
            </w:r>
            <w:r>
              <w:rPr>
                <w:rFonts w:hint="eastAsia" w:ascii="Times New Roman" w:hAnsi="Times New Roman" w:eastAsia="宋体" w:cs="Times New Roman"/>
                <w:bCs/>
                <w:color w:val="auto"/>
                <w:sz w:val="24"/>
                <w:szCs w:val="24"/>
                <w:u w:val="none"/>
                <w:lang w:val="en-US" w:eastAsia="zh-CN"/>
              </w:rPr>
              <w:t>2</w:t>
            </w:r>
            <w:r>
              <w:rPr>
                <w:rFonts w:hint="default" w:ascii="Times New Roman" w:hAnsi="Times New Roman" w:eastAsia="宋体" w:cs="Times New Roman"/>
                <w:bCs/>
                <w:color w:val="auto"/>
                <w:sz w:val="24"/>
                <w:szCs w:val="24"/>
                <w:u w:val="none"/>
              </w:rPr>
              <w:t>类标准</w:t>
            </w:r>
            <w:r>
              <w:rPr>
                <w:rFonts w:hint="default" w:ascii="Times New Roman" w:hAnsi="Times New Roman" w:eastAsia="宋体" w:cs="Times New Roman"/>
                <w:bCs/>
                <w:color w:val="auto"/>
                <w:sz w:val="24"/>
                <w:szCs w:val="24"/>
                <w:u w:val="none"/>
                <w:lang w:eastAsia="zh-CN"/>
              </w:rPr>
              <w:t>。</w:t>
            </w:r>
            <w:r>
              <w:rPr>
                <w:rFonts w:hint="default" w:ascii="Times New Roman" w:hAnsi="Times New Roman" w:eastAsia="宋体" w:cs="Times New Roman"/>
                <w:bCs/>
                <w:color w:val="auto"/>
                <w:sz w:val="24"/>
                <w:szCs w:val="24"/>
                <w:u w:val="none"/>
                <w:lang w:val="en-US" w:eastAsia="zh-CN"/>
              </w:rPr>
              <w:t>具体见下表</w:t>
            </w:r>
            <w:r>
              <w:rPr>
                <w:rFonts w:hint="default" w:ascii="Times New Roman" w:hAnsi="Times New Roman" w:eastAsia="宋体" w:cs="Times New Roman"/>
                <w:bCs/>
                <w:color w:val="auto"/>
                <w:sz w:val="24"/>
                <w:szCs w:val="24"/>
                <w:u w:val="none"/>
              </w:rPr>
              <w:t>。</w:t>
            </w:r>
          </w:p>
          <w:p>
            <w:pPr>
              <w:pStyle w:val="6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bCs w:val="0"/>
                <w:color w:val="auto"/>
                <w:sz w:val="21"/>
                <w:szCs w:val="21"/>
                <w:u w:val="none"/>
                <w:lang w:val="en-US" w:eastAsia="zh-CN"/>
              </w:rPr>
            </w:pPr>
            <w:r>
              <w:rPr>
                <w:rFonts w:hint="default" w:ascii="Times New Roman" w:hAnsi="Times New Roman" w:eastAsia="宋体" w:cs="Times New Roman"/>
                <w:b/>
                <w:bCs w:val="0"/>
                <w:color w:val="auto"/>
                <w:sz w:val="21"/>
                <w:szCs w:val="21"/>
                <w:u w:val="none"/>
                <w:lang w:val="en-US" w:eastAsia="zh-CN"/>
              </w:rPr>
              <w:t>表3-</w:t>
            </w:r>
            <w:r>
              <w:rPr>
                <w:rFonts w:hint="eastAsia" w:ascii="Times New Roman" w:hAnsi="Times New Roman" w:cs="Times New Roman"/>
                <w:b/>
                <w:bCs w:val="0"/>
                <w:color w:val="auto"/>
                <w:sz w:val="21"/>
                <w:szCs w:val="21"/>
                <w:u w:val="none"/>
                <w:lang w:val="en-US" w:eastAsia="zh-CN"/>
              </w:rPr>
              <w:t>7</w:t>
            </w:r>
            <w:r>
              <w:rPr>
                <w:rFonts w:hint="default" w:ascii="Times New Roman" w:hAnsi="Times New Roman" w:eastAsia="宋体" w:cs="Times New Roman"/>
                <w:b/>
                <w:bCs w:val="0"/>
                <w:color w:val="auto"/>
                <w:sz w:val="21"/>
                <w:szCs w:val="21"/>
                <w:u w:val="none"/>
                <w:lang w:val="en-US" w:eastAsia="zh-CN"/>
              </w:rPr>
              <w:t xml:space="preserve">  厂界噪声排放执行标准  单位</w:t>
            </w:r>
            <w:r>
              <w:rPr>
                <w:rFonts w:hint="default" w:ascii="Times New Roman" w:hAnsi="Times New Roman" w:eastAsia="宋体" w:cs="Times New Roman"/>
                <w:b/>
                <w:bCs w:val="0"/>
                <w:color w:val="auto"/>
                <w:sz w:val="21"/>
                <w:szCs w:val="21"/>
                <w:u w:val="none"/>
              </w:rPr>
              <w:t>：dB（A）</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52"/>
              <w:gridCol w:w="812"/>
              <w:gridCol w:w="847"/>
              <w:gridCol w:w="824"/>
              <w:gridCol w:w="35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223"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lang w:val="en-US" w:eastAsia="zh-CN"/>
                    </w:rPr>
                  </w:pPr>
                  <w:r>
                    <w:rPr>
                      <w:rFonts w:hint="default" w:ascii="Times New Roman" w:hAnsi="Times New Roman" w:eastAsia="宋体" w:cs="Times New Roman"/>
                      <w:b/>
                      <w:bCs/>
                      <w:color w:val="auto"/>
                      <w:sz w:val="21"/>
                      <w:szCs w:val="21"/>
                      <w:u w:val="none"/>
                      <w:lang w:val="en-US" w:eastAsia="zh-CN"/>
                    </w:rPr>
                    <w:t>监测点位</w:t>
                  </w:r>
                </w:p>
              </w:tc>
              <w:tc>
                <w:tcPr>
                  <w:tcW w:w="509"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类别</w:t>
                  </w:r>
                </w:p>
              </w:tc>
              <w:tc>
                <w:tcPr>
                  <w:tcW w:w="531"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昼间</w:t>
                  </w:r>
                </w:p>
              </w:tc>
              <w:tc>
                <w:tcPr>
                  <w:tcW w:w="516"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夜间</w:t>
                  </w:r>
                </w:p>
              </w:tc>
              <w:tc>
                <w:tcPr>
                  <w:tcW w:w="2219"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none"/>
                      <w:lang w:val="en-US" w:eastAsia="zh-CN" w:bidi="ar-SA"/>
                    </w:rPr>
                  </w:pPr>
                  <w:r>
                    <w:rPr>
                      <w:rFonts w:hint="default" w:ascii="Times New Roman" w:hAnsi="Times New Roman" w:eastAsia="宋体" w:cs="Times New Roman"/>
                      <w:b/>
                      <w:bCs/>
                      <w:color w:val="auto"/>
                      <w:sz w:val="21"/>
                      <w:szCs w:val="21"/>
                      <w:u w:val="none"/>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23"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厂界</w:t>
                  </w:r>
                  <w:r>
                    <w:rPr>
                      <w:rFonts w:hint="default" w:ascii="Times New Roman" w:hAnsi="Times New Roman" w:eastAsia="宋体" w:cs="Times New Roman"/>
                      <w:bCs/>
                      <w:color w:val="auto"/>
                      <w:sz w:val="21"/>
                      <w:szCs w:val="21"/>
                      <w:u w:val="none"/>
                      <w:lang w:val="en-US" w:eastAsia="zh-CN"/>
                    </w:rPr>
                    <w:t>东、南、</w:t>
                  </w:r>
                  <w:r>
                    <w:rPr>
                      <w:rFonts w:hint="eastAsia" w:ascii="Times New Roman" w:hAnsi="Times New Roman" w:eastAsia="宋体" w:cs="Times New Roman"/>
                      <w:bCs/>
                      <w:color w:val="auto"/>
                      <w:sz w:val="21"/>
                      <w:szCs w:val="21"/>
                      <w:u w:val="none"/>
                      <w:lang w:val="en-US" w:eastAsia="zh-CN"/>
                    </w:rPr>
                    <w:t>西、</w:t>
                  </w:r>
                  <w:r>
                    <w:rPr>
                      <w:rFonts w:hint="default" w:ascii="Times New Roman" w:hAnsi="Times New Roman" w:eastAsia="宋体" w:cs="Times New Roman"/>
                      <w:bCs/>
                      <w:color w:val="auto"/>
                      <w:sz w:val="21"/>
                      <w:szCs w:val="21"/>
                      <w:u w:val="none"/>
                      <w:lang w:val="en-US" w:eastAsia="zh-CN"/>
                    </w:rPr>
                    <w:t>北侧</w:t>
                  </w:r>
                </w:p>
              </w:tc>
              <w:tc>
                <w:tcPr>
                  <w:tcW w:w="509"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rPr>
                  </w:pPr>
                  <w:r>
                    <w:rPr>
                      <w:rFonts w:hint="eastAsia" w:ascii="Times New Roman" w:hAnsi="Times New Roman" w:eastAsia="宋体" w:cs="Times New Roman"/>
                      <w:b w:val="0"/>
                      <w:bCs/>
                      <w:color w:val="auto"/>
                      <w:sz w:val="21"/>
                      <w:szCs w:val="21"/>
                      <w:u w:val="none"/>
                      <w:lang w:val="en-US" w:eastAsia="zh-CN"/>
                    </w:rPr>
                    <w:t>2</w:t>
                  </w:r>
                  <w:r>
                    <w:rPr>
                      <w:rFonts w:hint="default" w:ascii="Times New Roman" w:hAnsi="Times New Roman" w:eastAsia="宋体" w:cs="Times New Roman"/>
                      <w:b w:val="0"/>
                      <w:bCs/>
                      <w:color w:val="auto"/>
                      <w:sz w:val="21"/>
                      <w:szCs w:val="21"/>
                      <w:u w:val="none"/>
                    </w:rPr>
                    <w:t>类</w:t>
                  </w:r>
                </w:p>
              </w:tc>
              <w:tc>
                <w:tcPr>
                  <w:tcW w:w="531"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60</w:t>
                  </w:r>
                </w:p>
              </w:tc>
              <w:tc>
                <w:tcPr>
                  <w:tcW w:w="516"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50</w:t>
                  </w:r>
                </w:p>
              </w:tc>
              <w:tc>
                <w:tcPr>
                  <w:tcW w:w="22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rPr>
                    <w:t>《工业企业厂界环境噪声排放标准》（GB12348-2008）</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Times New Roman" w:hAnsi="Times New Roman" w:eastAsia="宋体" w:cs="Times New Roman"/>
                <w:b/>
                <w:color w:val="auto"/>
                <w:sz w:val="24"/>
                <w:szCs w:val="24"/>
                <w:u w:val="none"/>
              </w:rPr>
            </w:pPr>
            <w:r>
              <w:rPr>
                <w:rFonts w:hint="default" w:ascii="Times New Roman" w:hAnsi="Times New Roman" w:eastAsia="宋体" w:cs="Times New Roman"/>
                <w:b/>
                <w:color w:val="auto"/>
                <w:sz w:val="24"/>
                <w:szCs w:val="24"/>
                <w:u w:val="none"/>
                <w:lang w:val="en-US" w:eastAsia="zh-CN"/>
              </w:rPr>
              <w:t>4</w:t>
            </w:r>
            <w:r>
              <w:rPr>
                <w:rFonts w:hint="default" w:ascii="Times New Roman" w:hAnsi="Times New Roman" w:eastAsia="宋体" w:cs="Times New Roman"/>
                <w:b/>
                <w:color w:val="auto"/>
                <w:sz w:val="24"/>
                <w:szCs w:val="24"/>
                <w:u w:val="none"/>
              </w:rPr>
              <w:t>、固体废物执行标准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kern w:val="0"/>
                <w:szCs w:val="21"/>
                <w:u w:val="none"/>
              </w:rPr>
            </w:pPr>
            <w:r>
              <w:rPr>
                <w:rFonts w:hint="default" w:ascii="Times New Roman" w:hAnsi="Times New Roman" w:eastAsia="宋体" w:cs="Times New Roman"/>
                <w:bCs/>
                <w:color w:val="auto"/>
                <w:sz w:val="24"/>
                <w:szCs w:val="24"/>
                <w:u w:val="none"/>
              </w:rPr>
              <w:t>一般工业固体废物处置执行《一般工业固体废物贮存和填埋污染控制标准》（GB 18599-2020）相关要求，</w:t>
            </w:r>
            <w:r>
              <w:rPr>
                <w:rFonts w:hint="eastAsia" w:ascii="Times New Roman" w:hAnsi="Times New Roman" w:eastAsia="宋体"/>
                <w:sz w:val="24"/>
              </w:rPr>
              <w:t>危险废物执行《危险废物贮存污染控制标准》（GB18597-202</w:t>
            </w:r>
            <w:r>
              <w:rPr>
                <w:rFonts w:hint="eastAsia" w:ascii="Times New Roman" w:hAnsi="Times New Roman" w:eastAsia="宋体"/>
                <w:sz w:val="24"/>
                <w:lang w:val="en-US" w:eastAsia="zh-CN"/>
              </w:rPr>
              <w:t>3</w:t>
            </w:r>
            <w:r>
              <w:rPr>
                <w:rFonts w:hint="eastAsia" w:ascii="Times New Roman" w:hAnsi="Times New Roman" w:eastAsia="宋体"/>
                <w:sz w:val="24"/>
              </w:rPr>
              <w:t>）</w:t>
            </w:r>
            <w:r>
              <w:rPr>
                <w:rFonts w:hint="eastAsia" w:ascii="Times New Roman" w:hAnsi="Times New Roman" w:eastAsia="宋体"/>
                <w:sz w:val="24"/>
                <w:lang w:eastAsia="zh-CN"/>
              </w:rPr>
              <w:t>相关</w:t>
            </w:r>
            <w:r>
              <w:rPr>
                <w:rFonts w:hint="eastAsia" w:ascii="Times New Roman" w:hAnsi="Times New Roman" w:eastAsia="宋体"/>
                <w:sz w:val="24"/>
              </w:rPr>
              <w:t>要求</w:t>
            </w:r>
            <w:r>
              <w:rPr>
                <w:rFonts w:hint="default" w:ascii="Times New Roman" w:hAnsi="Times New Roman" w:eastAsia="宋体" w:cs="Times New Roman"/>
                <w:bCs/>
                <w:color w:val="auto"/>
                <w:sz w:val="24"/>
                <w:szCs w:val="24"/>
                <w:u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总量</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控制</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0"/>
                <w:szCs w:val="21"/>
                <w:u w:val="none"/>
              </w:rPr>
            </w:pPr>
            <w:r>
              <w:rPr>
                <w:rFonts w:hint="default" w:ascii="Times New Roman" w:hAnsi="Times New Roman" w:eastAsia="宋体" w:cs="Times New Roman"/>
                <w:color w:val="auto"/>
                <w:kern w:val="0"/>
                <w:szCs w:val="21"/>
                <w:u w:val="none"/>
              </w:rPr>
              <w:t>指标</w:t>
            </w:r>
          </w:p>
        </w:tc>
        <w:tc>
          <w:tcPr>
            <w:tcW w:w="8190" w:type="dxa"/>
            <w:noWrap w:val="0"/>
            <w:vAlign w:val="center"/>
          </w:tcPr>
          <w:p>
            <w:pPr>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rPr>
              <w:t>按国家对污染物排放总量控制指标的要求，在核算污染物排放量的基础上提出工程污染物总量控制建议指标，是建设项目环境影响评价的任务之一，污染物总量控制建议指标应包括国家规定的指标和项目的特征污染物。2021年《衡阳市人民政府办公室关于印发&lt;衡阳市“十四五”生态环境保护规划&gt;的通知》，衡阳市对COD、NH</w:t>
            </w:r>
            <w:r>
              <w:rPr>
                <w:rFonts w:hint="eastAsia" w:ascii="Times New Roman" w:hAnsi="Times New Roman" w:eastAsia="宋体"/>
                <w:sz w:val="24"/>
                <w:vertAlign w:val="subscript"/>
              </w:rPr>
              <w:t>3</w:t>
            </w:r>
            <w:r>
              <w:rPr>
                <w:rFonts w:hint="eastAsia" w:ascii="Times New Roman" w:hAnsi="Times New Roman" w:eastAsia="宋体"/>
                <w:sz w:val="24"/>
              </w:rPr>
              <w:t>-N、NO</w:t>
            </w:r>
            <w:r>
              <w:rPr>
                <w:rFonts w:hint="eastAsia" w:ascii="Times New Roman" w:hAnsi="Times New Roman" w:eastAsia="宋体"/>
                <w:sz w:val="24"/>
                <w:vertAlign w:val="subscript"/>
              </w:rPr>
              <w:t>x</w:t>
            </w:r>
            <w:r>
              <w:rPr>
                <w:rFonts w:hint="eastAsia" w:ascii="Times New Roman" w:hAnsi="Times New Roman" w:eastAsia="宋体"/>
                <w:sz w:val="24"/>
              </w:rPr>
              <w:t>、VOCs实施总量控制。《关于印发〈主要污染物总量减排核算技术指南（2022年修订）〉的通知》（环办综合函〔2022〕350号）对COD、NH</w:t>
            </w:r>
            <w:r>
              <w:rPr>
                <w:rFonts w:hint="eastAsia" w:ascii="Times New Roman" w:hAnsi="Times New Roman" w:eastAsia="宋体"/>
                <w:sz w:val="24"/>
                <w:vertAlign w:val="subscript"/>
              </w:rPr>
              <w:t>3</w:t>
            </w:r>
            <w:r>
              <w:rPr>
                <w:rFonts w:hint="eastAsia" w:ascii="Times New Roman" w:hAnsi="Times New Roman" w:eastAsia="宋体"/>
                <w:sz w:val="24"/>
              </w:rPr>
              <w:t>-N、NOx、VOCs实施总量控制。</w:t>
            </w:r>
          </w:p>
          <w:p>
            <w:pPr>
              <w:adjustRightInd w:val="0"/>
              <w:snapToGrid w:val="0"/>
              <w:spacing w:line="360" w:lineRule="auto"/>
              <w:ind w:firstLine="482" w:firstLineChars="200"/>
              <w:rPr>
                <w:rFonts w:hint="eastAsia" w:ascii="Times New Roman" w:hAnsi="Times New Roman" w:eastAsia="宋体"/>
                <w:color w:val="auto"/>
                <w:sz w:val="24"/>
                <w:u w:val="wave"/>
              </w:rPr>
            </w:pPr>
            <w:r>
              <w:rPr>
                <w:rFonts w:hint="eastAsia" w:ascii="Times New Roman" w:hAnsi="Times New Roman" w:eastAsia="宋体"/>
                <w:b/>
                <w:bCs/>
                <w:sz w:val="24"/>
                <w:u w:val="wave"/>
                <w:lang w:eastAsia="zh-CN"/>
              </w:rPr>
              <w:t>废水：</w:t>
            </w:r>
            <w:r>
              <w:rPr>
                <w:rFonts w:hint="eastAsia" w:ascii="Times New Roman" w:hAnsi="Times New Roman" w:eastAsia="宋体"/>
                <w:sz w:val="24"/>
                <w:u w:val="wave"/>
              </w:rPr>
              <w:t>项目生活污水经化粪池处理后经市政污水管网排入衡阳县西渡高新区污水处理厂，初期雨水经初期雨水收集池收集后，与项目车间地面拖洗废水一并经</w:t>
            </w:r>
            <w:r>
              <w:rPr>
                <w:rFonts w:hint="eastAsia"/>
                <w:sz w:val="24"/>
                <w:u w:val="wave"/>
                <w:lang w:eastAsia="zh-CN"/>
              </w:rPr>
              <w:t>污水处理设施</w:t>
            </w:r>
            <w:r>
              <w:rPr>
                <w:rFonts w:hint="eastAsia" w:ascii="Times New Roman" w:hAnsi="Times New Roman" w:eastAsia="宋体"/>
                <w:sz w:val="24"/>
                <w:u w:val="wave"/>
              </w:rPr>
              <w:t>处理后排入园区污水管网最后进入衡阳西渡高新区污水处理厂</w:t>
            </w:r>
            <w:r>
              <w:rPr>
                <w:rFonts w:hint="eastAsia"/>
                <w:sz w:val="24"/>
                <w:u w:val="wave"/>
                <w:lang w:eastAsia="zh-CN"/>
              </w:rPr>
              <w:t>，</w:t>
            </w:r>
            <w:r>
              <w:rPr>
                <w:rFonts w:hint="eastAsia" w:ascii="Times New Roman" w:hAnsi="Times New Roman" w:eastAsia="宋体"/>
                <w:sz w:val="24"/>
                <w:u w:val="wave"/>
              </w:rPr>
              <w:t>处理达到《城镇污水处理厂污染物排放标准》（GB18918-2002）及其修改单中一级A标准后排入蒸水。经衡阳县西渡高新区污水处理厂处理后外排COD和NH</w:t>
            </w:r>
            <w:r>
              <w:rPr>
                <w:rFonts w:hint="eastAsia" w:ascii="Times New Roman" w:hAnsi="Times New Roman" w:eastAsia="宋体"/>
                <w:sz w:val="24"/>
                <w:u w:val="wave"/>
                <w:vertAlign w:val="subscript"/>
              </w:rPr>
              <w:t>3</w:t>
            </w:r>
            <w:r>
              <w:rPr>
                <w:rFonts w:hint="eastAsia" w:ascii="Times New Roman" w:hAnsi="Times New Roman" w:eastAsia="宋体"/>
                <w:sz w:val="24"/>
                <w:u w:val="wave"/>
              </w:rPr>
              <w:t>-</w:t>
            </w:r>
            <w:r>
              <w:rPr>
                <w:rFonts w:hint="eastAsia" w:ascii="Times New Roman" w:hAnsi="Times New Roman" w:eastAsia="宋体"/>
                <w:color w:val="auto"/>
                <w:sz w:val="24"/>
                <w:u w:val="wave"/>
              </w:rPr>
              <w:t>N</w:t>
            </w:r>
            <w:r>
              <w:rPr>
                <w:rFonts w:hint="eastAsia"/>
                <w:color w:val="auto"/>
                <w:sz w:val="24"/>
                <w:u w:val="wave"/>
                <w:lang w:eastAsia="zh-CN"/>
              </w:rPr>
              <w:t>总量</w:t>
            </w:r>
            <w:r>
              <w:rPr>
                <w:rFonts w:hint="eastAsia" w:ascii="Times New Roman" w:hAnsi="Times New Roman" w:eastAsia="宋体"/>
                <w:color w:val="auto"/>
                <w:sz w:val="24"/>
                <w:u w:val="wave"/>
              </w:rPr>
              <w:t>分别为</w:t>
            </w:r>
            <w:r>
              <w:rPr>
                <w:rFonts w:ascii="Times New Roman" w:hAnsi="Times New Roman" w:eastAsia="宋体"/>
                <w:color w:val="auto"/>
                <w:sz w:val="24"/>
                <w:u w:val="wave"/>
              </w:rPr>
              <w:t>0.</w:t>
            </w:r>
            <w:r>
              <w:rPr>
                <w:rFonts w:hint="eastAsia"/>
                <w:color w:val="auto"/>
                <w:sz w:val="24"/>
                <w:u w:val="wave"/>
                <w:lang w:val="en-US" w:eastAsia="zh-CN"/>
              </w:rPr>
              <w:t>333</w:t>
            </w:r>
            <w:r>
              <w:rPr>
                <w:rFonts w:hint="eastAsia" w:ascii="Times New Roman" w:hAnsi="Times New Roman" w:eastAsia="宋体"/>
                <w:color w:val="auto"/>
                <w:sz w:val="24"/>
                <w:u w:val="wave"/>
              </w:rPr>
              <w:t>t/a，</w:t>
            </w:r>
            <w:r>
              <w:rPr>
                <w:rFonts w:ascii="Times New Roman" w:hAnsi="Times New Roman" w:eastAsia="宋体"/>
                <w:color w:val="auto"/>
                <w:sz w:val="24"/>
                <w:u w:val="wave"/>
              </w:rPr>
              <w:t>0.00</w:t>
            </w:r>
            <w:r>
              <w:rPr>
                <w:rFonts w:hint="eastAsia"/>
                <w:color w:val="auto"/>
                <w:sz w:val="24"/>
                <w:u w:val="wave"/>
                <w:lang w:val="en-US" w:eastAsia="zh-CN"/>
              </w:rPr>
              <w:t>3</w:t>
            </w:r>
            <w:r>
              <w:rPr>
                <w:rFonts w:hint="eastAsia" w:ascii="Times New Roman" w:hAnsi="Times New Roman" w:eastAsia="宋体"/>
                <w:color w:val="auto"/>
                <w:sz w:val="24"/>
                <w:u w:val="wave"/>
              </w:rPr>
              <w:t>t/a。</w:t>
            </w:r>
          </w:p>
          <w:p>
            <w:pPr>
              <w:adjustRightInd w:val="0"/>
              <w:snapToGrid w:val="0"/>
              <w:spacing w:line="360" w:lineRule="auto"/>
              <w:ind w:firstLine="480" w:firstLineChars="200"/>
              <w:rPr>
                <w:rFonts w:hint="default" w:ascii="Times New Roman" w:hAnsi="Times New Roman" w:eastAsia="宋体" w:cs="Times New Roman"/>
                <w:color w:val="auto"/>
                <w:kern w:val="0"/>
                <w:sz w:val="24"/>
                <w:szCs w:val="24"/>
                <w:u w:val="none"/>
                <w:lang w:val="en-US"/>
              </w:rPr>
            </w:pPr>
            <w:r>
              <w:rPr>
                <w:rFonts w:hint="eastAsia" w:ascii="Times New Roman" w:hAnsi="Times New Roman" w:eastAsia="宋体"/>
                <w:color w:val="auto"/>
                <w:sz w:val="24"/>
                <w:lang w:eastAsia="zh-CN"/>
              </w:rPr>
              <w:t>废气：本项目VOCs（以非甲烷总烃表征）</w:t>
            </w:r>
            <w:r>
              <w:rPr>
                <w:rFonts w:hint="eastAsia"/>
                <w:color w:val="auto"/>
                <w:sz w:val="24"/>
                <w:lang w:eastAsia="zh-CN"/>
              </w:rPr>
              <w:t>有</w:t>
            </w:r>
            <w:r>
              <w:rPr>
                <w:rFonts w:hint="eastAsia" w:ascii="Times New Roman" w:hAnsi="Times New Roman" w:eastAsia="宋体"/>
                <w:color w:val="auto"/>
                <w:sz w:val="24"/>
                <w:lang w:eastAsia="zh-CN"/>
              </w:rPr>
              <w:t>组织排放</w:t>
            </w:r>
            <w:r>
              <w:rPr>
                <w:rFonts w:hint="eastAsia"/>
                <w:color w:val="auto"/>
                <w:sz w:val="24"/>
                <w:lang w:val="en-US" w:eastAsia="zh-CN"/>
              </w:rPr>
              <w:t>0.113</w:t>
            </w:r>
            <w:r>
              <w:rPr>
                <w:rFonts w:hint="eastAsia" w:ascii="Times New Roman" w:hAnsi="Times New Roman" w:eastAsia="宋体"/>
                <w:color w:val="auto"/>
                <w:sz w:val="24"/>
                <w:lang w:eastAsia="zh-CN"/>
              </w:rPr>
              <w:t>t/a，</w:t>
            </w:r>
            <w:r>
              <w:rPr>
                <w:rFonts w:hint="eastAsia" w:ascii="Times New Roman" w:hAnsi="Times New Roman" w:eastAsia="宋体"/>
                <w:sz w:val="24"/>
                <w:lang w:eastAsia="zh-CN"/>
              </w:rPr>
              <w:t>无需申请总量。</w:t>
            </w:r>
          </w:p>
        </w:tc>
      </w:tr>
    </w:tbl>
    <w:p>
      <w:pPr>
        <w:pStyle w:val="21"/>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snapToGrid w:val="0"/>
          <w:color w:val="auto"/>
          <w:sz w:val="30"/>
          <w:szCs w:val="30"/>
          <w:u w:val="none"/>
        </w:rPr>
      </w:pPr>
      <w:r>
        <w:rPr>
          <w:rFonts w:hint="default" w:ascii="Times New Roman" w:hAnsi="Times New Roman" w:eastAsia="宋体" w:cs="Times New Roman"/>
          <w:snapToGrid w:val="0"/>
          <w:color w:val="auto"/>
          <w:sz w:val="36"/>
          <w:szCs w:val="36"/>
          <w:u w:val="none"/>
        </w:rPr>
        <w:br w:type="page"/>
      </w:r>
      <w:r>
        <w:rPr>
          <w:rFonts w:hint="default" w:ascii="Times New Roman" w:hAnsi="Times New Roman" w:eastAsia="宋体" w:cs="Times New Roman"/>
          <w:snapToGrid w:val="0"/>
          <w:color w:val="auto"/>
          <w:sz w:val="30"/>
          <w:szCs w:val="30"/>
          <w:u w:val="none"/>
        </w:rPr>
        <w:t>四、主要环境影响和保护措施</w:t>
      </w:r>
    </w:p>
    <w:tbl>
      <w:tblPr>
        <w:tblStyle w:val="25"/>
        <w:tblW w:w="89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81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7" w:hRule="atLeast"/>
          <w:jc w:val="center"/>
        </w:trPr>
        <w:tc>
          <w:tcPr>
            <w:tcW w:w="833" w:type="dxa"/>
            <w:noWrap w:val="0"/>
            <w:tcMar>
              <w:left w:w="28" w:type="dxa"/>
              <w:right w:w="28" w:type="dxa"/>
            </w:tcMar>
            <w:vAlign w:val="center"/>
          </w:tcPr>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rPr>
              <w:t>施工</w:t>
            </w:r>
          </w:p>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rPr>
              <w:t>期环</w:t>
            </w:r>
          </w:p>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rPr>
              <w:t>境保</w:t>
            </w:r>
          </w:p>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color w:val="auto"/>
                <w:kern w:val="2"/>
                <w:sz w:val="21"/>
                <w:szCs w:val="21"/>
                <w:u w:val="none"/>
              </w:rPr>
            </w:pPr>
            <w:r>
              <w:rPr>
                <w:rFonts w:hint="default" w:ascii="Times New Roman" w:hAnsi="Times New Roman" w:eastAsia="宋体" w:cs="Times New Roman"/>
                <w:color w:val="auto"/>
                <w:kern w:val="2"/>
                <w:sz w:val="21"/>
                <w:szCs w:val="21"/>
                <w:u w:val="none"/>
              </w:rPr>
              <w:t>护措</w:t>
            </w:r>
          </w:p>
          <w:p>
            <w:pPr>
              <w:pStyle w:val="21"/>
              <w:keepNext w:val="0"/>
              <w:keepLines w:val="0"/>
              <w:pageBreakBefore w:val="0"/>
              <w:kinsoku/>
              <w:wordWrap/>
              <w:overflowPunct/>
              <w:topLinePunct w:val="0"/>
              <w:bidi w:val="0"/>
              <w:adjustRightInd/>
              <w:snapToGrid/>
              <w:spacing w:before="0" w:beforeAutospacing="0" w:after="0" w:afterAutospacing="0"/>
              <w:jc w:val="center"/>
              <w:rPr>
                <w:rFonts w:hint="default" w:ascii="Times New Roman" w:hAnsi="Times New Roman" w:eastAsia="宋体" w:cs="Times New Roman"/>
                <w:bCs/>
                <w:color w:val="auto"/>
                <w:kern w:val="2"/>
                <w:sz w:val="21"/>
                <w:szCs w:val="21"/>
                <w:u w:val="none"/>
              </w:rPr>
            </w:pPr>
            <w:r>
              <w:rPr>
                <w:rFonts w:hint="default" w:ascii="Times New Roman" w:hAnsi="Times New Roman" w:eastAsia="宋体" w:cs="Times New Roman"/>
                <w:color w:val="auto"/>
                <w:kern w:val="2"/>
                <w:sz w:val="21"/>
                <w:szCs w:val="21"/>
                <w:u w:val="none"/>
              </w:rPr>
              <w:t>施</w:t>
            </w:r>
          </w:p>
        </w:tc>
        <w:tc>
          <w:tcPr>
            <w:tcW w:w="814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2" w:firstLineChars="200"/>
              <w:jc w:val="both"/>
              <w:textAlignment w:val="auto"/>
              <w:rPr>
                <w:rFonts w:hint="default" w:ascii="Times New Roman" w:hAnsi="Times New Roman" w:eastAsia="宋体" w:cs="Times New Roman"/>
                <w:b/>
                <w:bCs/>
                <w:color w:val="auto"/>
                <w:sz w:val="24"/>
                <w:szCs w:val="24"/>
                <w:u w:val="none"/>
              </w:rPr>
            </w:pPr>
            <w:r>
              <w:rPr>
                <w:rFonts w:hint="default" w:ascii="Times New Roman" w:hAnsi="Times New Roman" w:eastAsia="宋体" w:cs="Times New Roman"/>
                <w:b/>
                <w:bCs/>
                <w:color w:val="auto"/>
                <w:sz w:val="24"/>
                <w:szCs w:val="24"/>
                <w:u w:val="none"/>
              </w:rPr>
              <w:t>施工期</w:t>
            </w:r>
            <w:r>
              <w:rPr>
                <w:rFonts w:hint="default" w:ascii="Times New Roman" w:hAnsi="Times New Roman" w:eastAsia="宋体" w:cs="Times New Roman"/>
                <w:b/>
                <w:bCs/>
                <w:color w:val="auto"/>
                <w:sz w:val="24"/>
                <w:szCs w:val="24"/>
                <w:u w:val="none"/>
                <w:lang w:eastAsia="zh-CN"/>
              </w:rPr>
              <w:t>污染防治</w:t>
            </w:r>
            <w:r>
              <w:rPr>
                <w:rFonts w:hint="default" w:ascii="Times New Roman" w:hAnsi="Times New Roman" w:eastAsia="宋体" w:cs="Times New Roman"/>
                <w:b/>
                <w:bCs/>
                <w:color w:val="auto"/>
                <w:sz w:val="24"/>
                <w:szCs w:val="24"/>
                <w:u w:val="none"/>
              </w:rPr>
              <w:t>措施</w:t>
            </w:r>
          </w:p>
          <w:p>
            <w:pPr>
              <w:keepNext w:val="0"/>
              <w:keepLines w:val="0"/>
              <w:pageBreakBefore w:val="0"/>
              <w:kinsoku/>
              <w:wordWrap/>
              <w:overflowPunct/>
              <w:topLinePunct w:val="0"/>
              <w:autoSpaceDN/>
              <w:bidi w:val="0"/>
              <w:adjustRightInd/>
              <w:snapToGrid/>
              <w:spacing w:line="360" w:lineRule="auto"/>
              <w:ind w:right="0" w:firstLine="480" w:firstLineChars="200"/>
              <w:jc w:val="both"/>
              <w:textAlignment w:val="auto"/>
              <w:rPr>
                <w:rFonts w:hint="default" w:ascii="Times New Roman" w:hAnsi="Times New Roman" w:eastAsia="宋体" w:cs="Times New Roman"/>
                <w:bCs/>
                <w:color w:val="auto"/>
                <w:spacing w:val="-10"/>
                <w:szCs w:val="21"/>
                <w:u w:val="none"/>
                <w:lang w:eastAsia="zh-CN"/>
              </w:rPr>
            </w:pPr>
            <w:r>
              <w:rPr>
                <w:rFonts w:hint="default" w:ascii="Times New Roman" w:hAnsi="Times New Roman" w:eastAsia="宋体" w:cs="Times New Roman"/>
                <w:color w:val="auto"/>
                <w:sz w:val="24"/>
                <w:szCs w:val="24"/>
                <w:u w:val="none"/>
              </w:rPr>
              <w:t>本项目拟</w:t>
            </w:r>
            <w:r>
              <w:rPr>
                <w:rFonts w:hint="default" w:ascii="Times New Roman" w:hAnsi="Times New Roman" w:eastAsia="宋体" w:cs="Times New Roman"/>
                <w:color w:val="auto"/>
                <w:sz w:val="24"/>
                <w:szCs w:val="24"/>
                <w:u w:val="none"/>
                <w:lang w:val="en-US" w:eastAsia="zh-CN"/>
              </w:rPr>
              <w:t>在</w:t>
            </w:r>
            <w:r>
              <w:rPr>
                <w:rFonts w:hint="eastAsia" w:ascii="Times New Roman" w:hAnsi="Times New Roman" w:eastAsia="宋体" w:cs="Times New Roman"/>
                <w:color w:val="auto"/>
                <w:sz w:val="24"/>
                <w:szCs w:val="24"/>
                <w:u w:val="none"/>
                <w:lang w:eastAsia="zh-CN"/>
              </w:rPr>
              <w:t>衡阳蒸水报废汽车回收拆解有限公司</w:t>
            </w:r>
            <w:r>
              <w:rPr>
                <w:rFonts w:hint="default" w:ascii="Times New Roman" w:hAnsi="Times New Roman" w:eastAsia="宋体" w:cs="Times New Roman"/>
                <w:color w:val="auto"/>
                <w:sz w:val="24"/>
                <w:szCs w:val="24"/>
                <w:u w:val="none"/>
                <w:lang w:val="en-US" w:eastAsia="zh-CN"/>
              </w:rPr>
              <w:t>现有的硬化场地里进行设备安装即可运营，施工期产生的污染物主要为设备安装调试过程中产生的噪声及少量粉尘。本项目</w:t>
            </w:r>
            <w:r>
              <w:rPr>
                <w:rFonts w:hint="default" w:ascii="Times New Roman" w:hAnsi="Times New Roman" w:eastAsia="宋体" w:cs="Times New Roman"/>
                <w:color w:val="auto"/>
                <w:sz w:val="24"/>
                <w:szCs w:val="24"/>
                <w:u w:val="none"/>
              </w:rPr>
              <w:t>施工量小，施工期短，施工期产生的各类污染物在采取一定措施后，能达标排放，对环境影响小，并且施工期产生的污染物随着施工的结束而消失，不做详细分析</w:t>
            </w:r>
            <w:r>
              <w:rPr>
                <w:rFonts w:hint="default" w:ascii="Times New Roman" w:hAnsi="Times New Roman" w:eastAsia="宋体" w:cs="Times New Roman"/>
                <w:color w:val="auto"/>
                <w:sz w:val="24"/>
                <w:szCs w:val="24"/>
                <w:u w:val="none"/>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7" w:hRule="atLeast"/>
          <w:jc w:val="center"/>
        </w:trPr>
        <w:tc>
          <w:tcPr>
            <w:tcW w:w="833" w:type="dxa"/>
            <w:noWrap w:val="0"/>
            <w:tcMar>
              <w:left w:w="28" w:type="dxa"/>
              <w:right w:w="28" w:type="dxa"/>
            </w:tcMar>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运营</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期环</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境影</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响和</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保护</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Cs/>
                <w:color w:val="auto"/>
                <w:szCs w:val="21"/>
                <w:u w:val="none"/>
              </w:rPr>
            </w:pPr>
            <w:r>
              <w:rPr>
                <w:rFonts w:hint="default" w:ascii="Times New Roman" w:hAnsi="Times New Roman" w:eastAsia="宋体" w:cs="Times New Roman"/>
                <w:bCs/>
                <w:color w:val="auto"/>
                <w:szCs w:val="21"/>
                <w:u w:val="none"/>
              </w:rPr>
              <w:t>措施</w:t>
            </w:r>
          </w:p>
        </w:tc>
        <w:tc>
          <w:tcPr>
            <w:tcW w:w="8146" w:type="dxa"/>
            <w:noWrap w:val="0"/>
            <w:vAlign w:val="center"/>
          </w:tcPr>
          <w:p>
            <w:pPr>
              <w:keepNext w:val="0"/>
              <w:keepLines w:val="0"/>
              <w:pageBreakBefore w:val="0"/>
              <w:kinsoku/>
              <w:wordWrap/>
              <w:overflowPunct/>
              <w:topLinePunct w:val="0"/>
              <w:autoSpaceDE/>
              <w:autoSpaceDN/>
              <w:bidi w:val="0"/>
              <w:adjustRightInd/>
              <w:snapToGrid/>
              <w:spacing w:line="360" w:lineRule="auto"/>
              <w:ind w:right="0" w:firstLine="562" w:firstLineChars="200"/>
              <w:textAlignment w:val="auto"/>
              <w:rPr>
                <w:rFonts w:hint="default" w:ascii="Times New Roman" w:hAnsi="Times New Roman" w:eastAsia="宋体" w:cs="Times New Roman"/>
                <w:b/>
                <w:bCs/>
                <w:color w:val="auto"/>
                <w:sz w:val="28"/>
                <w:szCs w:val="28"/>
                <w:u w:val="none"/>
                <w:lang w:val="en-US" w:eastAsia="zh-CN"/>
              </w:rPr>
            </w:pPr>
            <w:r>
              <w:rPr>
                <w:rFonts w:hint="default" w:ascii="Times New Roman" w:hAnsi="Times New Roman" w:eastAsia="宋体" w:cs="Times New Roman"/>
                <w:b/>
                <w:bCs/>
                <w:color w:val="auto"/>
                <w:sz w:val="28"/>
                <w:szCs w:val="28"/>
                <w:u w:val="none"/>
                <w:lang w:val="en-US" w:eastAsia="zh-CN"/>
              </w:rPr>
              <w:t>（一）大气环境影响和保护措施</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2" w:firstLineChars="20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1、污染物产生情况</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本项目产生的废气主要为废油挥发废气G1、废有机溶剂挥发有机废气G2、引爆安全气囊粉尘G3、切割、拆解粉尘G4、危废暂存间废气G5。</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（1）废油挥发废气G1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Times New Roman"/>
                <w:color w:val="auto"/>
                <w:sz w:val="24"/>
                <w:szCs w:val="24"/>
                <w:u w:val="none" w:color="auto"/>
                <w:lang w:val="zh-CN"/>
              </w:rPr>
            </w:pPr>
            <w:r>
              <w:rPr>
                <w:rFonts w:hint="default" w:ascii="Times New Roman" w:hAnsi="Times New Roman" w:eastAsia="Times New Roman"/>
                <w:color w:val="auto"/>
                <w:sz w:val="24"/>
                <w:szCs w:val="24"/>
                <w:u w:val="none" w:color="auto"/>
                <w:lang w:val="zh-CN"/>
              </w:rPr>
              <w:t>本项目拆解过程中可能产生的有机废气主要为废油液（润滑剂、液压油、制动液、刹车油）抽取和残留于油箱内的燃料油以及废有机溶剂（防冻液、冷却液）挥发产生的有机废气VOCs，以NMHC进行表征。</w:t>
            </w:r>
            <w:r>
              <w:rPr>
                <w:rFonts w:hint="default" w:ascii="Times New Roman" w:hAnsi="Times New Roman" w:eastAsia="Times New Roman"/>
                <w:b/>
                <w:bCs/>
                <w:color w:val="auto"/>
                <w:sz w:val="24"/>
                <w:szCs w:val="24"/>
                <w:u w:val="none" w:color="auto"/>
                <w:lang w:val="zh-CN"/>
              </w:rPr>
              <w:t>在拆解预处理过程中，首先利用油液抽排系统抽取废油液，抽取后采用密闭钢桶、按照油液种类分类储存于危废暂存间</w:t>
            </w:r>
            <w:r>
              <w:rPr>
                <w:rFonts w:hint="default" w:ascii="Times New Roman" w:hAnsi="Times New Roman" w:eastAsia="Times New Roman"/>
                <w:color w:val="auto"/>
                <w:sz w:val="24"/>
                <w:szCs w:val="24"/>
                <w:u w:val="none" w:color="auto"/>
                <w:lang w:val="zh-CN"/>
              </w:rPr>
              <w:t>。在油液抽取系统置入、拔出容器的过程中会有少量的有机废气挥发。油液抽排系统是利用压缩空气，通过特殊设计的真空发生装置将密闭钢瓶抽真空，产生一定的真空度，在外界空气压力的作用下，通过抽油管，将废油液抽入密闭钢瓶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Times New Roman"/>
                <w:color w:val="auto"/>
                <w:sz w:val="24"/>
                <w:szCs w:val="24"/>
                <w:u w:val="none" w:color="auto"/>
                <w:lang w:val="zh-CN"/>
              </w:rPr>
            </w:pPr>
            <w:r>
              <w:rPr>
                <w:rFonts w:hint="default" w:ascii="Times New Roman" w:hAnsi="Times New Roman" w:eastAsia="Times New Roman"/>
                <w:color w:val="auto"/>
                <w:sz w:val="24"/>
                <w:szCs w:val="24"/>
                <w:u w:val="none" w:color="auto"/>
                <w:lang w:val="zh-CN"/>
              </w:rPr>
              <w:t>参照《散装液态石油拆解物品损耗》（GB11085-89）中表6和表7，灌桶（0.18%）和零售加注时（0.29%）的两部分的损失率，按总体0.47%的损失率进行。根据本报告项目拆解物品方案章节的分析，本项目营运后各类油液的产生量共计</w:t>
            </w:r>
            <w:r>
              <w:rPr>
                <w:rFonts w:hint="eastAsia" w:ascii="Times New Roman" w:hAnsi="Times New Roman" w:eastAsia="宋体"/>
                <w:color w:val="auto"/>
                <w:sz w:val="24"/>
                <w:szCs w:val="24"/>
                <w:u w:val="none" w:color="auto"/>
                <w:lang w:val="en-US" w:eastAsia="zh-CN"/>
              </w:rPr>
              <w:t>86.05</w:t>
            </w:r>
            <w:r>
              <w:rPr>
                <w:rFonts w:hint="default" w:ascii="Times New Roman" w:hAnsi="Times New Roman" w:eastAsia="Times New Roman"/>
                <w:color w:val="auto"/>
                <w:sz w:val="24"/>
                <w:szCs w:val="24"/>
                <w:u w:val="none" w:color="auto"/>
                <w:lang w:val="zh-CN"/>
              </w:rPr>
              <w:t>t/a，则油液挥发产生的有机废气量约为</w:t>
            </w:r>
            <w:r>
              <w:rPr>
                <w:rFonts w:hint="eastAsia" w:ascii="Times New Roman" w:hAnsi="Times New Roman" w:eastAsia="宋体"/>
                <w:color w:val="auto"/>
                <w:sz w:val="24"/>
                <w:szCs w:val="24"/>
                <w:u w:val="none" w:color="auto"/>
                <w:lang w:val="en-US" w:eastAsia="zh-CN"/>
              </w:rPr>
              <w:t>86.05</w:t>
            </w:r>
            <w:r>
              <w:rPr>
                <w:rFonts w:hint="default" w:ascii="Times New Roman" w:hAnsi="Times New Roman" w:eastAsia="Times New Roman"/>
                <w:color w:val="auto"/>
                <w:sz w:val="24"/>
                <w:szCs w:val="24"/>
                <w:u w:val="none" w:color="auto"/>
                <w:lang w:val="zh-CN"/>
              </w:rPr>
              <w:t>×0.0047=0.</w:t>
            </w:r>
            <w:r>
              <w:rPr>
                <w:rFonts w:hint="eastAsia" w:ascii="Times New Roman" w:hAnsi="Times New Roman" w:eastAsia="宋体"/>
                <w:color w:val="auto"/>
                <w:sz w:val="24"/>
                <w:szCs w:val="24"/>
                <w:u w:val="none" w:color="auto"/>
                <w:lang w:val="en-US" w:eastAsia="zh-CN"/>
              </w:rPr>
              <w:t>4044</w:t>
            </w:r>
            <w:r>
              <w:rPr>
                <w:rFonts w:hint="default" w:ascii="Times New Roman" w:hAnsi="Times New Roman" w:eastAsia="Times New Roman"/>
                <w:color w:val="auto"/>
                <w:sz w:val="24"/>
                <w:szCs w:val="24"/>
                <w:u w:val="none" w:color="auto"/>
                <w:lang w:val="zh-CN"/>
              </w:rPr>
              <w:t>t/a=0.1</w:t>
            </w:r>
            <w:r>
              <w:rPr>
                <w:rFonts w:hint="eastAsia" w:ascii="Times New Roman" w:hAnsi="Times New Roman" w:eastAsia="宋体"/>
                <w:color w:val="auto"/>
                <w:sz w:val="24"/>
                <w:szCs w:val="24"/>
                <w:u w:val="none" w:color="auto"/>
                <w:lang w:val="en-US" w:eastAsia="zh-CN"/>
              </w:rPr>
              <w:t>685</w:t>
            </w:r>
            <w:r>
              <w:rPr>
                <w:rFonts w:hint="default" w:ascii="Times New Roman" w:hAnsi="Times New Roman" w:eastAsia="Times New Roman"/>
                <w:color w:val="auto"/>
                <w:sz w:val="24"/>
                <w:szCs w:val="24"/>
                <w:u w:val="none" w:color="auto"/>
                <w:lang w:val="zh-CN"/>
              </w:rPr>
              <w:t>kg/h。</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Times New Roman"/>
                <w:color w:val="auto"/>
                <w:sz w:val="24"/>
                <w:szCs w:val="24"/>
                <w:u w:val="wave" w:color="auto"/>
                <w:lang w:val="zh-CN"/>
              </w:rPr>
            </w:pPr>
            <w:r>
              <w:rPr>
                <w:rFonts w:hint="default" w:ascii="Times New Roman" w:hAnsi="Times New Roman" w:eastAsia="Times New Roman"/>
                <w:color w:val="auto"/>
                <w:sz w:val="24"/>
                <w:szCs w:val="24"/>
                <w:u w:val="wave" w:color="auto"/>
                <w:lang w:val="zh-CN"/>
              </w:rPr>
              <w:t>为减少废油液抽取过程中非甲烷总烃的排放量，废油液抽取真空泵配套安装活性炭吸附处理设施（集气效率</w:t>
            </w:r>
            <w:r>
              <w:rPr>
                <w:rFonts w:hint="eastAsia" w:eastAsia="宋体"/>
                <w:color w:val="auto"/>
                <w:sz w:val="24"/>
                <w:szCs w:val="24"/>
                <w:u w:val="wave" w:color="auto"/>
                <w:lang w:val="en-US" w:eastAsia="zh-CN"/>
              </w:rPr>
              <w:t>7</w:t>
            </w:r>
            <w:r>
              <w:rPr>
                <w:rFonts w:hint="default" w:ascii="Times New Roman" w:hAnsi="Times New Roman" w:eastAsia="Times New Roman"/>
                <w:color w:val="auto"/>
                <w:sz w:val="24"/>
                <w:szCs w:val="24"/>
                <w:u w:val="wave" w:color="auto"/>
                <w:lang w:val="zh-CN"/>
              </w:rPr>
              <w:t>0%，处理效率60%），则本项目废油液抽取过程中产生的油气经活性炭吸附装置处理后通过15m排气（DA001）排放，建设方拟计划采购活性炭吸附处理系统设备风量为</w:t>
            </w:r>
            <w:r>
              <w:rPr>
                <w:rFonts w:hint="eastAsia" w:eastAsia="宋体"/>
                <w:color w:val="auto"/>
                <w:sz w:val="24"/>
                <w:szCs w:val="24"/>
                <w:u w:val="wave" w:color="auto"/>
                <w:lang w:val="en-US" w:eastAsia="zh-CN"/>
              </w:rPr>
              <w:t>1</w:t>
            </w:r>
            <w:r>
              <w:rPr>
                <w:rFonts w:hint="default" w:ascii="Times New Roman" w:hAnsi="Times New Roman" w:eastAsia="Times New Roman"/>
                <w:color w:val="auto"/>
                <w:sz w:val="24"/>
                <w:szCs w:val="24"/>
                <w:u w:val="wave" w:color="auto"/>
                <w:lang w:val="zh-CN"/>
              </w:rPr>
              <w:t>0000m</w:t>
            </w:r>
            <w:r>
              <w:rPr>
                <w:rFonts w:hint="default" w:ascii="Times New Roman" w:hAnsi="Times New Roman" w:eastAsia="Times New Roman"/>
                <w:color w:val="auto"/>
                <w:sz w:val="24"/>
                <w:szCs w:val="24"/>
                <w:u w:val="wave" w:color="auto"/>
                <w:vertAlign w:val="superscript"/>
                <w:lang w:val="zh-CN"/>
              </w:rPr>
              <w:t>3</w:t>
            </w:r>
            <w:r>
              <w:rPr>
                <w:rFonts w:hint="default" w:ascii="Times New Roman" w:hAnsi="Times New Roman" w:eastAsia="Times New Roman"/>
                <w:color w:val="auto"/>
                <w:sz w:val="24"/>
                <w:szCs w:val="24"/>
                <w:u w:val="wave" w:color="auto"/>
                <w:lang w:val="zh-CN"/>
              </w:rPr>
              <w:t>/h，则非甲烷总烃有组织排放量为0.</w:t>
            </w:r>
            <w:r>
              <w:rPr>
                <w:rFonts w:hint="eastAsia" w:eastAsia="宋体"/>
                <w:color w:val="auto"/>
                <w:sz w:val="24"/>
                <w:szCs w:val="24"/>
                <w:u w:val="wave" w:color="auto"/>
                <w:lang w:val="en-US" w:eastAsia="zh-CN"/>
              </w:rPr>
              <w:t>113</w:t>
            </w:r>
            <w:r>
              <w:rPr>
                <w:rFonts w:hint="default" w:ascii="Times New Roman" w:hAnsi="Times New Roman" w:eastAsia="Times New Roman"/>
                <w:color w:val="auto"/>
                <w:sz w:val="24"/>
                <w:szCs w:val="24"/>
                <w:u w:val="wave" w:color="auto"/>
                <w:lang w:val="zh-CN"/>
              </w:rPr>
              <w:t>t/a，排放速率为0.</w:t>
            </w:r>
            <w:r>
              <w:rPr>
                <w:rFonts w:hint="eastAsia" w:eastAsia="宋体"/>
                <w:color w:val="auto"/>
                <w:sz w:val="24"/>
                <w:szCs w:val="24"/>
                <w:u w:val="wave" w:color="auto"/>
                <w:lang w:val="en-US" w:eastAsia="zh-CN"/>
              </w:rPr>
              <w:t>126</w:t>
            </w:r>
            <w:r>
              <w:rPr>
                <w:rFonts w:hint="default" w:ascii="Times New Roman" w:hAnsi="Times New Roman" w:eastAsia="Times New Roman"/>
                <w:color w:val="auto"/>
                <w:sz w:val="24"/>
                <w:szCs w:val="24"/>
                <w:u w:val="wave" w:color="auto"/>
                <w:lang w:val="zh-CN"/>
              </w:rPr>
              <w:t>kg/h（按年工作300d，每天废油液抽排时间不超过3h计），排放浓度为</w:t>
            </w:r>
            <w:r>
              <w:rPr>
                <w:rFonts w:hint="eastAsia" w:eastAsia="宋体"/>
                <w:color w:val="auto"/>
                <w:sz w:val="24"/>
                <w:szCs w:val="24"/>
                <w:u w:val="wave" w:color="auto"/>
                <w:lang w:val="en-US" w:eastAsia="zh-CN"/>
              </w:rPr>
              <w:t>12.58</w:t>
            </w:r>
            <w:r>
              <w:rPr>
                <w:rFonts w:hint="default" w:ascii="Times New Roman" w:hAnsi="Times New Roman" w:eastAsia="Times New Roman"/>
                <w:color w:val="auto"/>
                <w:sz w:val="24"/>
                <w:szCs w:val="24"/>
                <w:u w:val="wave" w:color="auto"/>
                <w:lang w:val="zh-CN"/>
              </w:rPr>
              <w:t>mg/m</w:t>
            </w:r>
            <w:r>
              <w:rPr>
                <w:rFonts w:hint="default" w:ascii="Times New Roman" w:hAnsi="Times New Roman" w:eastAsia="Times New Roman"/>
                <w:color w:val="auto"/>
                <w:sz w:val="24"/>
                <w:szCs w:val="24"/>
                <w:u w:val="wave" w:color="auto"/>
                <w:vertAlign w:val="superscript"/>
                <w:lang w:val="zh-CN"/>
              </w:rPr>
              <w:t>3</w:t>
            </w:r>
            <w:r>
              <w:rPr>
                <w:rFonts w:hint="default" w:ascii="Times New Roman" w:hAnsi="Times New Roman" w:eastAsia="Times New Roman"/>
                <w:color w:val="auto"/>
                <w:sz w:val="24"/>
                <w:szCs w:val="24"/>
                <w:u w:val="wave" w:color="auto"/>
                <w:lang w:val="zh-CN"/>
              </w:rPr>
              <w:t>；无组织排放量0.</w:t>
            </w:r>
            <w:r>
              <w:rPr>
                <w:rFonts w:hint="eastAsia" w:eastAsia="宋体"/>
                <w:color w:val="auto"/>
                <w:sz w:val="24"/>
                <w:szCs w:val="24"/>
                <w:u w:val="wave" w:color="auto"/>
                <w:lang w:val="en-US" w:eastAsia="zh-CN"/>
              </w:rPr>
              <w:t>121</w:t>
            </w:r>
            <w:r>
              <w:rPr>
                <w:rFonts w:hint="default" w:ascii="Times New Roman" w:hAnsi="Times New Roman" w:eastAsia="Times New Roman"/>
                <w:color w:val="auto"/>
                <w:sz w:val="24"/>
                <w:szCs w:val="24"/>
                <w:u w:val="wave" w:color="auto"/>
                <w:lang w:val="zh-CN"/>
              </w:rPr>
              <w:t>t/a，排放速率0.</w:t>
            </w:r>
            <w:r>
              <w:rPr>
                <w:rFonts w:hint="eastAsia" w:eastAsia="宋体"/>
                <w:color w:val="auto"/>
                <w:sz w:val="24"/>
                <w:szCs w:val="24"/>
                <w:u w:val="wave" w:color="auto"/>
                <w:lang w:val="en-US" w:eastAsia="zh-CN"/>
              </w:rPr>
              <w:t>135</w:t>
            </w:r>
            <w:r>
              <w:rPr>
                <w:rFonts w:hint="default" w:ascii="Times New Roman" w:hAnsi="Times New Roman" w:eastAsia="Times New Roman"/>
                <w:color w:val="auto"/>
                <w:sz w:val="24"/>
                <w:szCs w:val="24"/>
                <w:u w:val="wave" w:color="auto"/>
                <w:lang w:val="zh-CN"/>
              </w:rPr>
              <w:t>kg/h，经车间通风扩散后无组织排放。</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（2）废有机溶剂挥发有机废气G2</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2"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bCs/>
                <w:color w:val="auto"/>
                <w:sz w:val="24"/>
                <w:szCs w:val="24"/>
                <w:u w:val="none"/>
                <w:lang w:val="en-US" w:eastAsia="zh-CN"/>
              </w:rPr>
              <w:t>本项目在拆解预处理阶段需要用专业的制冷剂抽排设备对制冷剂进行抽取存放，设备用软管进行密封抽取，收集设备接入瞬间会产生制冷剂泄漏废气</w:t>
            </w:r>
            <w:r>
              <w:rPr>
                <w:rFonts w:hint="eastAsia" w:ascii="Times New Roman" w:hAnsi="Times New Roman" w:eastAsia="宋体" w:cs="Times New Roman"/>
                <w:b w:val="0"/>
                <w:bCs w:val="0"/>
                <w:color w:val="auto"/>
                <w:sz w:val="24"/>
                <w:szCs w:val="24"/>
                <w:u w:val="none"/>
                <w:lang w:val="en-US" w:eastAsia="zh-CN"/>
              </w:rPr>
              <w:t>。存储空调制冷剂的钢瓶中气体只进不出，操作时将回收钳卡在空调压缩机管道上刺穿管道，根据报废汽车所用空调制冷剂的不同种类，将制冷剂回收至相应的专用容器内，并交给有资质的单位进行回收处置。</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部分车辆的制冷剂中有氟利昂（CF</w:t>
            </w:r>
            <w:r>
              <w:rPr>
                <w:rFonts w:hint="eastAsia" w:ascii="Times New Roman" w:hAnsi="Times New Roman" w:eastAsia="宋体" w:cs="Times New Roman"/>
                <w:b w:val="0"/>
                <w:bCs w:val="0"/>
                <w:color w:val="auto"/>
                <w:sz w:val="24"/>
                <w:szCs w:val="24"/>
                <w:u w:val="none"/>
                <w:vertAlign w:val="subscript"/>
                <w:lang w:val="en-US" w:eastAsia="zh-CN"/>
              </w:rPr>
              <w:t>2</w:t>
            </w:r>
            <w:r>
              <w:rPr>
                <w:rFonts w:hint="eastAsia" w:ascii="Times New Roman" w:hAnsi="Times New Roman" w:eastAsia="宋体" w:cs="Times New Roman"/>
                <w:b w:val="0"/>
                <w:bCs w:val="0"/>
                <w:color w:val="auto"/>
                <w:sz w:val="24"/>
                <w:szCs w:val="24"/>
                <w:u w:val="none"/>
                <w:lang w:val="en-US" w:eastAsia="zh-CN"/>
              </w:rPr>
              <w:t>Cl</w:t>
            </w:r>
            <w:r>
              <w:rPr>
                <w:rFonts w:hint="eastAsia" w:ascii="Times New Roman" w:hAnsi="Times New Roman" w:eastAsia="宋体" w:cs="Times New Roman"/>
                <w:b w:val="0"/>
                <w:bCs w:val="0"/>
                <w:color w:val="auto"/>
                <w:sz w:val="24"/>
                <w:szCs w:val="24"/>
                <w:u w:val="none"/>
                <w:vertAlign w:val="subscript"/>
                <w:lang w:val="en-US" w:eastAsia="zh-CN"/>
              </w:rPr>
              <w:t>2</w:t>
            </w:r>
            <w:r>
              <w:rPr>
                <w:rFonts w:hint="eastAsia" w:ascii="Times New Roman" w:hAnsi="Times New Roman" w:eastAsia="宋体" w:cs="Times New Roman"/>
                <w:b w:val="0"/>
                <w:bCs w:val="0"/>
                <w:color w:val="auto"/>
                <w:sz w:val="24"/>
                <w:szCs w:val="24"/>
                <w:u w:val="none"/>
                <w:lang w:val="en-US" w:eastAsia="zh-CN"/>
              </w:rPr>
              <w:t>），但这些车辆所占的比例较小。在正式拆解前，用氟利昂回收装置收集到密闭的容器中进行储存，遇到含有氟利昂的制冷剂时，操作过程中会有氟利昂逸散到空气中，但数量较少，经大气稀释扩散后排放。根据《蒙特利尔议定书》规定，我国于2010年1月1日起全面禁用氟利昂物质，在汽车生产、制造、维护行业中，氟利昂将随着其更新换代而被淘汰，因此，这种污染物将进一步减少。运营前期部分报废汽车制冷剂有氟利昂，在抽取过程中会有极少量的氟利昂逸散到空气中，而随着新型环保制冷剂的不断研发、推广和应用，汽车制冷剂中氟利昂将逐步淘汰，这种影响将逐步降低，最后消失。收集的报废车辆中仅有部分车辆的制冷剂中含有氟利昂，但这些车辆所占比例较少，在此不作定量分析。</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在抽取过程中，采用密闭式制冷剂回收装置对制冷剂进行回收，并收集在密闭容器中，收集过程使用装置和管线均处于密闭状态，对外排放很小。在此不做定量分析。</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（3）引爆安全气囊粉尘G3</w:t>
            </w:r>
          </w:p>
          <w:p>
            <w:pPr>
              <w:keepNext w:val="0"/>
              <w:keepLines w:val="0"/>
              <w:pageBreakBefore w:val="0"/>
              <w:kinsoku/>
              <w:wordWrap/>
              <w:overflowPunct/>
              <w:topLinePunct w:val="0"/>
              <w:bidi w:val="0"/>
              <w:snapToGrid/>
              <w:spacing w:line="360" w:lineRule="auto"/>
              <w:ind w:firstLine="480" w:firstLineChars="200"/>
              <w:textAlignment w:val="auto"/>
              <w:rPr>
                <w:rFonts w:hint="eastAsia" w:cs="Times New Roman"/>
                <w:color w:val="auto"/>
                <w:sz w:val="24"/>
                <w:szCs w:val="24"/>
                <w:u w:val="none" w:color="auto"/>
                <w:lang w:val="en-US" w:eastAsia="zh-CN"/>
              </w:rPr>
            </w:pPr>
            <w:r>
              <w:rPr>
                <w:rFonts w:hint="eastAsia" w:cs="Times New Roman"/>
                <w:color w:val="auto"/>
                <w:sz w:val="24"/>
                <w:szCs w:val="24"/>
                <w:u w:val="none" w:color="auto"/>
                <w:lang w:val="en-US" w:eastAsia="zh-CN"/>
              </w:rPr>
              <w:t>汽车的安全气囊内主要化学物质为叠氮化钠（NaN</w:t>
            </w:r>
            <w:r>
              <w:rPr>
                <w:rFonts w:hint="eastAsia" w:cs="Times New Roman"/>
                <w:color w:val="auto"/>
                <w:sz w:val="24"/>
                <w:szCs w:val="24"/>
                <w:u w:val="none" w:color="auto"/>
                <w:vertAlign w:val="subscript"/>
                <w:lang w:val="en-US" w:eastAsia="zh-CN"/>
              </w:rPr>
              <w:t>3</w:t>
            </w:r>
            <w:r>
              <w:rPr>
                <w:rFonts w:hint="eastAsia" w:cs="Times New Roman"/>
                <w:color w:val="auto"/>
                <w:sz w:val="24"/>
                <w:szCs w:val="24"/>
                <w:u w:val="none" w:color="auto"/>
                <w:lang w:val="en-US" w:eastAsia="zh-CN"/>
              </w:rPr>
              <w:t>）、硝酸钾（KNO</w:t>
            </w:r>
            <w:r>
              <w:rPr>
                <w:rFonts w:hint="eastAsia" w:cs="Times New Roman"/>
                <w:color w:val="auto"/>
                <w:sz w:val="24"/>
                <w:szCs w:val="24"/>
                <w:u w:val="none" w:color="auto"/>
                <w:vertAlign w:val="subscript"/>
                <w:lang w:val="en-US" w:eastAsia="zh-CN"/>
              </w:rPr>
              <w:t>3</w:t>
            </w:r>
            <w:r>
              <w:rPr>
                <w:rFonts w:hint="eastAsia" w:cs="Times New Roman"/>
                <w:color w:val="auto"/>
                <w:sz w:val="24"/>
                <w:szCs w:val="24"/>
                <w:u w:val="none" w:color="auto"/>
                <w:lang w:val="en-US" w:eastAsia="zh-CN"/>
              </w:rPr>
              <w:t>）、二氧化硅。项目采用安全气囊引爆装置在单独密闭的操作间引爆气囊。引爆时，首先叠氮化钠分解为钠和氮气的混合成分。然后，金属钠和硝酸钾反应释放更多氮气并形成氧化钾和氧化钠。这些氧化物会立即与二氧化硅结合，并形成无害的硅酸钠和硅酸钾，氮气则充进气囊。主要反应方程式如下：</w:t>
            </w:r>
          </w:p>
          <w:p>
            <w:pPr>
              <w:pStyle w:val="21"/>
              <w:keepNext w:val="0"/>
              <w:keepLines w:val="0"/>
              <w:pageBreakBefore w:val="0"/>
              <w:widowControl w:val="0"/>
              <w:kinsoku/>
              <w:wordWrap/>
              <w:overflowPunct/>
              <w:topLinePunct w:val="0"/>
              <w:bidi w:val="0"/>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bidi="ar"/>
              </w:rPr>
              <w:t>2NaN</w:t>
            </w:r>
            <w:r>
              <w:rPr>
                <w:rFonts w:hint="default" w:ascii="Times New Roman" w:hAnsi="Times New Roman" w:eastAsia="宋体" w:cs="Times New Roman"/>
                <w:color w:val="auto"/>
                <w:sz w:val="24"/>
                <w:szCs w:val="24"/>
                <w:u w:val="none" w:color="auto"/>
                <w:vertAlign w:val="subscript"/>
                <w:lang w:bidi="ar"/>
              </w:rPr>
              <w:t>3</w:t>
            </w:r>
            <w:r>
              <w:rPr>
                <w:rFonts w:hint="default" w:ascii="Times New Roman" w:hAnsi="Times New Roman" w:eastAsia="宋体" w:cs="Times New Roman"/>
                <w:color w:val="auto"/>
                <w:sz w:val="24"/>
                <w:szCs w:val="24"/>
                <w:u w:val="none" w:color="auto"/>
                <w:lang w:bidi="ar"/>
              </w:rPr>
              <w:t>→2Na+3N</w:t>
            </w:r>
            <w:r>
              <w:rPr>
                <w:rFonts w:hint="default" w:ascii="Times New Roman" w:hAnsi="Times New Roman" w:eastAsia="宋体" w:cs="Times New Roman"/>
                <w:color w:val="auto"/>
                <w:sz w:val="24"/>
                <w:szCs w:val="24"/>
                <w:u w:val="none" w:color="auto"/>
                <w:vertAlign w:val="subscript"/>
                <w:lang w:bidi="ar"/>
              </w:rPr>
              <w:t>2</w:t>
            </w:r>
            <w:r>
              <w:rPr>
                <w:rFonts w:hint="default" w:ascii="Times New Roman" w:hAnsi="Times New Roman" w:eastAsia="宋体" w:cs="Times New Roman"/>
                <w:color w:val="auto"/>
                <w:sz w:val="24"/>
                <w:szCs w:val="24"/>
                <w:u w:val="none" w:color="auto"/>
                <w:lang w:bidi="ar"/>
              </w:rPr>
              <w:t>（↑）</w:t>
            </w:r>
          </w:p>
          <w:p>
            <w:pPr>
              <w:pStyle w:val="21"/>
              <w:keepNext w:val="0"/>
              <w:keepLines w:val="0"/>
              <w:pageBreakBefore w:val="0"/>
              <w:widowControl w:val="0"/>
              <w:kinsoku/>
              <w:wordWrap/>
              <w:overflowPunct/>
              <w:topLinePunct w:val="0"/>
              <w:bidi w:val="0"/>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lang w:bidi="ar"/>
              </w:rPr>
              <w:t>10Na+2KNO</w:t>
            </w:r>
            <w:r>
              <w:rPr>
                <w:rFonts w:hint="default" w:ascii="Times New Roman" w:hAnsi="Times New Roman" w:eastAsia="宋体" w:cs="Times New Roman"/>
                <w:color w:val="auto"/>
                <w:sz w:val="24"/>
                <w:szCs w:val="24"/>
                <w:u w:val="none" w:color="auto"/>
                <w:vertAlign w:val="subscript"/>
                <w:lang w:bidi="ar"/>
              </w:rPr>
              <w:t>3</w:t>
            </w:r>
            <w:r>
              <w:rPr>
                <w:rFonts w:hint="default" w:ascii="Times New Roman" w:hAnsi="Times New Roman" w:eastAsia="宋体" w:cs="Times New Roman"/>
                <w:color w:val="auto"/>
                <w:sz w:val="24"/>
                <w:szCs w:val="24"/>
                <w:u w:val="none" w:color="auto"/>
                <w:lang w:bidi="ar"/>
              </w:rPr>
              <w:t>+6SiO</w:t>
            </w:r>
            <w:r>
              <w:rPr>
                <w:rFonts w:hint="default" w:ascii="Times New Roman" w:hAnsi="Times New Roman" w:eastAsia="宋体" w:cs="Times New Roman"/>
                <w:color w:val="auto"/>
                <w:sz w:val="24"/>
                <w:szCs w:val="24"/>
                <w:u w:val="none" w:color="auto"/>
                <w:vertAlign w:val="subscript"/>
                <w:lang w:bidi="ar"/>
              </w:rPr>
              <w:t>2</w:t>
            </w:r>
            <w:r>
              <w:rPr>
                <w:rFonts w:hint="default" w:ascii="Times New Roman" w:hAnsi="Times New Roman" w:eastAsia="宋体" w:cs="Times New Roman"/>
                <w:color w:val="auto"/>
                <w:sz w:val="24"/>
                <w:szCs w:val="24"/>
                <w:u w:val="none" w:color="auto"/>
                <w:lang w:bidi="ar"/>
              </w:rPr>
              <w:t>→5Na</w:t>
            </w:r>
            <w:r>
              <w:rPr>
                <w:rFonts w:hint="default" w:ascii="Times New Roman" w:hAnsi="Times New Roman" w:eastAsia="宋体" w:cs="Times New Roman"/>
                <w:color w:val="auto"/>
                <w:sz w:val="24"/>
                <w:szCs w:val="24"/>
                <w:u w:val="none" w:color="auto"/>
                <w:vertAlign w:val="subscript"/>
                <w:lang w:bidi="ar"/>
              </w:rPr>
              <w:t>2</w:t>
            </w:r>
            <w:r>
              <w:rPr>
                <w:rFonts w:hint="default" w:ascii="Times New Roman" w:hAnsi="Times New Roman" w:eastAsia="宋体" w:cs="Times New Roman"/>
                <w:color w:val="auto"/>
                <w:sz w:val="24"/>
                <w:szCs w:val="24"/>
                <w:u w:val="none" w:color="auto"/>
                <w:lang w:bidi="ar"/>
              </w:rPr>
              <w:t>SiO</w:t>
            </w:r>
            <w:r>
              <w:rPr>
                <w:rFonts w:hint="default" w:ascii="Times New Roman" w:hAnsi="Times New Roman" w:eastAsia="宋体" w:cs="Times New Roman"/>
                <w:color w:val="auto"/>
                <w:sz w:val="24"/>
                <w:szCs w:val="24"/>
                <w:u w:val="none" w:color="auto"/>
                <w:vertAlign w:val="subscript"/>
                <w:lang w:bidi="ar"/>
              </w:rPr>
              <w:t>3</w:t>
            </w:r>
            <w:r>
              <w:rPr>
                <w:rFonts w:hint="default" w:ascii="Times New Roman" w:hAnsi="Times New Roman" w:eastAsia="宋体" w:cs="Times New Roman"/>
                <w:color w:val="auto"/>
                <w:sz w:val="24"/>
                <w:szCs w:val="24"/>
                <w:u w:val="none" w:color="auto"/>
                <w:lang w:bidi="ar"/>
              </w:rPr>
              <w:t>+K</w:t>
            </w:r>
            <w:r>
              <w:rPr>
                <w:rFonts w:hint="default" w:ascii="Times New Roman" w:hAnsi="Times New Roman" w:eastAsia="宋体" w:cs="Times New Roman"/>
                <w:color w:val="auto"/>
                <w:sz w:val="24"/>
                <w:szCs w:val="24"/>
                <w:u w:val="none" w:color="auto"/>
                <w:vertAlign w:val="subscript"/>
                <w:lang w:bidi="ar"/>
              </w:rPr>
              <w:t>2</w:t>
            </w:r>
            <w:r>
              <w:rPr>
                <w:rFonts w:hint="default" w:ascii="Times New Roman" w:hAnsi="Times New Roman" w:eastAsia="宋体" w:cs="Times New Roman"/>
                <w:color w:val="auto"/>
                <w:sz w:val="24"/>
                <w:szCs w:val="24"/>
                <w:u w:val="none" w:color="auto"/>
                <w:lang w:bidi="ar"/>
              </w:rPr>
              <w:t>SiO</w:t>
            </w:r>
            <w:r>
              <w:rPr>
                <w:rFonts w:hint="default" w:ascii="Times New Roman" w:hAnsi="Times New Roman" w:eastAsia="宋体" w:cs="Times New Roman"/>
                <w:color w:val="auto"/>
                <w:sz w:val="24"/>
                <w:szCs w:val="24"/>
                <w:u w:val="none" w:color="auto"/>
                <w:vertAlign w:val="subscript"/>
                <w:lang w:bidi="ar"/>
              </w:rPr>
              <w:t>3</w:t>
            </w:r>
            <w:r>
              <w:rPr>
                <w:rFonts w:hint="default" w:ascii="Times New Roman" w:hAnsi="Times New Roman" w:eastAsia="宋体" w:cs="Times New Roman"/>
                <w:color w:val="auto"/>
                <w:sz w:val="24"/>
                <w:szCs w:val="24"/>
                <w:u w:val="none" w:color="auto"/>
                <w:lang w:bidi="ar"/>
              </w:rPr>
              <w:t>+N</w:t>
            </w:r>
            <w:r>
              <w:rPr>
                <w:rFonts w:hint="default" w:ascii="Times New Roman" w:hAnsi="Times New Roman" w:eastAsia="宋体" w:cs="Times New Roman"/>
                <w:color w:val="auto"/>
                <w:sz w:val="24"/>
                <w:szCs w:val="24"/>
                <w:u w:val="none" w:color="auto"/>
                <w:vertAlign w:val="subscript"/>
                <w:lang w:bidi="ar"/>
              </w:rPr>
              <w:t>2</w:t>
            </w:r>
            <w:r>
              <w:rPr>
                <w:rFonts w:hint="default" w:ascii="Times New Roman" w:hAnsi="Times New Roman" w:eastAsia="宋体" w:cs="Times New Roman"/>
                <w:color w:val="auto"/>
                <w:sz w:val="24"/>
                <w:szCs w:val="24"/>
                <w:u w:val="none" w:color="auto"/>
                <w:lang w:bidi="ar"/>
              </w:rPr>
              <w:t>（↑）</w:t>
            </w:r>
          </w:p>
          <w:p>
            <w:pPr>
              <w:keepNext w:val="0"/>
              <w:keepLines w:val="0"/>
              <w:pageBreakBefore w:val="0"/>
              <w:kinsoku/>
              <w:wordWrap/>
              <w:overflowPunct/>
              <w:topLinePunct w:val="0"/>
              <w:bidi w:val="0"/>
              <w:snapToGrid/>
              <w:spacing w:line="360" w:lineRule="auto"/>
              <w:ind w:firstLine="480" w:firstLineChars="200"/>
              <w:textAlignment w:val="auto"/>
              <w:rPr>
                <w:rFonts w:hint="default" w:cs="Times New Roman"/>
                <w:color w:val="auto"/>
                <w:u w:val="wave" w:color="auto"/>
                <w:lang w:val="en-US" w:eastAsia="zh-CN"/>
              </w:rPr>
            </w:pPr>
            <w:r>
              <w:rPr>
                <w:rFonts w:hint="default" w:ascii="Times New Roman" w:hAnsi="Times New Roman" w:eastAsia="宋体" w:cs="Times New Roman"/>
                <w:color w:val="auto"/>
                <w:sz w:val="24"/>
                <w:szCs w:val="24"/>
                <w:u w:val="wave" w:color="auto"/>
                <w:lang w:bidi="ar"/>
              </w:rPr>
              <w:t>引爆过程会产生的废气主要成分氮气（N</w:t>
            </w:r>
            <w:r>
              <w:rPr>
                <w:rFonts w:hint="default" w:ascii="Times New Roman" w:hAnsi="Times New Roman" w:eastAsia="宋体" w:cs="Times New Roman"/>
                <w:color w:val="auto"/>
                <w:sz w:val="24"/>
                <w:szCs w:val="24"/>
                <w:u w:val="wave" w:color="auto"/>
                <w:vertAlign w:val="subscript"/>
                <w:lang w:bidi="ar"/>
              </w:rPr>
              <w:t>2</w:t>
            </w:r>
            <w:r>
              <w:rPr>
                <w:rFonts w:hint="default" w:ascii="Times New Roman" w:hAnsi="Times New Roman" w:eastAsia="宋体" w:cs="Times New Roman"/>
                <w:color w:val="auto"/>
                <w:sz w:val="24"/>
                <w:szCs w:val="24"/>
                <w:u w:val="wave" w:color="auto"/>
                <w:lang w:bidi="ar"/>
              </w:rPr>
              <w:t>）和颗粒物（主要为普通的玉米淀粉或滑石粉，安全气囊制造商用它们来确保气囊在贮存时保持柔韧和润滑），有害物质为颗粒物，产生量较小，且安全气囊引爆装置在气体排出口配置布袋装置。剩余逸散的极少量颗粒物经大气稀释扩散后排放，对环境空气的影响很小，本项目不做具体的定量分析</w:t>
            </w:r>
            <w:r>
              <w:rPr>
                <w:rFonts w:hint="default" w:ascii="Times New Roman" w:hAnsi="Times New Roman" w:eastAsia="宋体" w:cs="Times New Roman"/>
                <w:color w:val="auto"/>
                <w:sz w:val="24"/>
                <w:szCs w:val="24"/>
                <w:u w:val="wave" w:color="auto"/>
                <w:lang w:eastAsia="zh-CN" w:bidi="ar"/>
              </w:rPr>
              <w:t>。</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（4）切割、拆解粉尘G4</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2" w:firstLineChars="200"/>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bCs/>
                <w:color w:val="auto"/>
                <w:sz w:val="24"/>
                <w:szCs w:val="24"/>
                <w:u w:val="wave"/>
                <w:lang w:val="en-US" w:eastAsia="zh-CN"/>
              </w:rPr>
              <w:t>项目压实、切割及拆解均会产生少量的粉尘，切割在密闭厂房内进行。</w:t>
            </w:r>
            <w:r>
              <w:rPr>
                <w:rFonts w:hint="eastAsia" w:ascii="Times New Roman" w:hAnsi="Times New Roman" w:eastAsia="宋体" w:cs="Times New Roman"/>
                <w:b w:val="0"/>
                <w:bCs w:val="0"/>
                <w:color w:val="auto"/>
                <w:sz w:val="24"/>
                <w:szCs w:val="24"/>
                <w:u w:val="wave"/>
                <w:lang w:val="en-US" w:eastAsia="zh-CN"/>
              </w:rPr>
              <w:t>项目压实打包机为密封装置，项目把已经解体的车身和底盘吊至压实打包机上方，放入压实打包机进行压实打包，在大功率电机的驱动下，在压实打包机的压力作用下，被挤压成一定规格的钢块，压实过程位于密闭的压实打包机内，因此压实过程产生的粉尘不外溢，本报告不作具体的分析。</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本项目产生的粉尘主要为切割、拆解粉尘，本项目车厢及部件拆除过程中，必要时进行切割，车身切割以等离子切割机或剪切机为主，不使用氧割。由于本项目废钢不进行破碎，剪切直径较大，剪切机产尘量较小，只考虑使用等离子切割时的粉尘，等离子切割是以压缩空气为工作气体，以高温高速的等离子弧为热源，将被切割的金属局部熔化，并随即吹除、产生狭窄整齐的切口而完成切割，产生金属粉尘。粉尘产生系数参照《排放源统计调查产排污核算方法和系数手册》中42废弃资源综合利用行业系数手册-4210金属废料和碎屑加工处理行业系数表-切割-颗粒物产污系数：0.4g/t-原料。切割废钢总量为27993.96t/a，则废钢切割粉尘产生量合计约为11.2kg/a，产生速率为4.67kg/h。切割、拆解区在密闭车间内，由于金属粉尘比重较大，不易漂浮，车间内沉降效率为50%，另拟配备一定数量的移动式焊接烟尘净化器（收集效率约50%，处理效率约90%），未被收集、处理的粉尘经厂房沉降后通过车间内排风扇以无组织方式排至外环境。故项目切割、拆解粉尘排放量为3.08t/a，排放速率为1.28kg/h。</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（5）危废暂存间废气G5</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项目危废暂存间暂存的危险废物包括废油、废空调制冷剂、废防冻冷却液、废汽车挡风玻璃清洗液等，会有少量异味产生。其中废油不含汽油、柴油，在常温下较难挥发，且加盖密闭储存于废油桶内；剩余危废均储存于密闭容器中、废油桶加盖密闭。因此，危废暂存间暂存的危险废物在常温常压下产生的废气量极少，且暂存量较小、暂存周期相对较短，因此本次环评不进行定量分析。</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eastAsia" w:ascii="Times New Roman" w:hAnsi="Times New Roman" w:eastAsia="宋体" w:cs="Times New Roman"/>
                <w:b w:val="0"/>
                <w:bCs w:val="0"/>
                <w:color w:val="auto"/>
                <w:sz w:val="24"/>
                <w:szCs w:val="24"/>
                <w:u w:val="wave"/>
                <w:lang w:val="en-US" w:eastAsia="zh-CN"/>
              </w:rPr>
            </w:pPr>
            <w:r>
              <w:rPr>
                <w:rFonts w:hint="eastAsia" w:ascii="Times New Roman" w:hAnsi="Times New Roman" w:eastAsia="宋体" w:cs="Times New Roman"/>
                <w:b w:val="0"/>
                <w:bCs w:val="0"/>
                <w:color w:val="auto"/>
                <w:sz w:val="24"/>
                <w:szCs w:val="24"/>
                <w:u w:val="wave"/>
                <w:lang w:val="en-US" w:eastAsia="zh-CN"/>
              </w:rPr>
              <w:t>由于危废仓库排放的异味较少，厂界可实现达标排放，不改变周边环境质量。建议企业在厂区内加强绿化种植，进一步降低废气对外环境的影响。</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b/>
                <w:bCs/>
                <w:color w:val="auto"/>
                <w:u w:val="none"/>
                <w:lang w:val="en-US" w:eastAsia="zh-CN"/>
              </w:rPr>
            </w:pPr>
            <w:r>
              <w:rPr>
                <w:rFonts w:hint="eastAsia" w:ascii="Times New Roman" w:hAnsi="Times New Roman" w:eastAsia="宋体" w:cs="Times New Roman"/>
                <w:b w:val="0"/>
                <w:bCs w:val="0"/>
                <w:color w:val="auto"/>
                <w:sz w:val="24"/>
                <w:szCs w:val="24"/>
                <w:u w:val="none"/>
                <w:lang w:val="en-US" w:eastAsia="zh-CN"/>
              </w:rPr>
              <w:t>本项目运营期厂区废气污染物排放情况见表4-1。</w:t>
            </w:r>
          </w:p>
        </w:tc>
      </w:tr>
    </w:tbl>
    <w:p>
      <w:pPr>
        <w:keepNext w:val="0"/>
        <w:keepLines w:val="0"/>
        <w:pageBreakBefore w:val="0"/>
        <w:kinsoku/>
        <w:wordWrap/>
        <w:overflowPunct/>
        <w:topLinePunct w:val="0"/>
        <w:bidi w:val="0"/>
        <w:adjustRightInd/>
        <w:snapToGrid/>
        <w:spacing w:line="360" w:lineRule="auto"/>
        <w:rPr>
          <w:rFonts w:hint="default" w:ascii="Times New Roman" w:hAnsi="Times New Roman" w:eastAsia="宋体" w:cs="Times New Roman"/>
          <w:b/>
          <w:color w:val="auto"/>
          <w:kern w:val="0"/>
          <w:sz w:val="28"/>
          <w:szCs w:val="28"/>
          <w:u w:val="none"/>
        </w:rPr>
        <w:sectPr>
          <w:pgSz w:w="11905" w:h="16838"/>
          <w:pgMar w:top="1701" w:right="1531" w:bottom="1701" w:left="1531" w:header="851" w:footer="850" w:gutter="0"/>
          <w:pgBorders>
            <w:top w:val="none" w:sz="0" w:space="0"/>
            <w:left w:val="none" w:sz="0" w:space="0"/>
            <w:bottom w:val="none" w:sz="0" w:space="0"/>
            <w:right w:val="none" w:sz="0" w:space="0"/>
          </w:pgBorders>
          <w:cols w:space="720" w:num="1"/>
          <w:rtlGutter w:val="0"/>
          <w:docGrid w:type="lines"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
        <w:gridCol w:w="13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4" w:hRule="atLeast"/>
        </w:trPr>
        <w:tc>
          <w:tcPr>
            <w:tcW w:w="461" w:type="dxa"/>
            <w:noWrap w:val="0"/>
            <w:vAlign w:val="top"/>
          </w:tcPr>
          <w:p>
            <w:pPr>
              <w:pStyle w:val="68"/>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vertAlign w:val="baseline"/>
                <w:lang w:val="en-US" w:eastAsia="zh-CN"/>
              </w:rPr>
            </w:pPr>
          </w:p>
        </w:tc>
        <w:tc>
          <w:tcPr>
            <w:tcW w:w="13191" w:type="dxa"/>
            <w:noWrap w:val="0"/>
            <w:vAlign w:val="top"/>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360" w:lineRule="auto"/>
              <w:ind w:right="0" w:rightChars="0" w:firstLine="422" w:firstLineChars="200"/>
              <w:jc w:val="center"/>
              <w:textAlignment w:val="auto"/>
              <w:rPr>
                <w:rFonts w:hint="default" w:ascii="Times New Roman" w:hAnsi="Times New Roman" w:eastAsia="宋体" w:cs="Times New Roman"/>
                <w:b/>
                <w:bCs/>
                <w:color w:val="auto"/>
                <w:kern w:val="0"/>
                <w:sz w:val="21"/>
                <w:szCs w:val="16"/>
                <w:u w:val="none"/>
                <w:lang w:val="en-US" w:eastAsia="zh-CN"/>
              </w:rPr>
            </w:pPr>
            <w:r>
              <w:rPr>
                <w:rFonts w:hint="default" w:ascii="Times New Roman" w:hAnsi="Times New Roman" w:eastAsia="宋体" w:cs="Times New Roman"/>
                <w:b/>
                <w:bCs/>
                <w:color w:val="auto"/>
                <w:kern w:val="0"/>
                <w:sz w:val="21"/>
                <w:szCs w:val="16"/>
                <w:u w:val="none"/>
                <w:lang w:val="en-US" w:eastAsia="zh-CN"/>
              </w:rPr>
              <w:t>表4-</w:t>
            </w:r>
            <w:r>
              <w:rPr>
                <w:rFonts w:hint="eastAsia" w:ascii="Times New Roman" w:hAnsi="Times New Roman" w:eastAsia="宋体" w:cs="Times New Roman"/>
                <w:b/>
                <w:bCs/>
                <w:color w:val="auto"/>
                <w:kern w:val="0"/>
                <w:sz w:val="21"/>
                <w:szCs w:val="16"/>
                <w:u w:val="none"/>
                <w:lang w:val="en-US" w:eastAsia="zh-CN"/>
              </w:rPr>
              <w:t>1</w:t>
            </w:r>
            <w:r>
              <w:rPr>
                <w:rFonts w:hint="default" w:ascii="Times New Roman" w:hAnsi="Times New Roman" w:eastAsia="宋体" w:cs="Times New Roman"/>
                <w:b/>
                <w:bCs/>
                <w:color w:val="auto"/>
                <w:kern w:val="0"/>
                <w:sz w:val="21"/>
                <w:szCs w:val="16"/>
                <w:u w:val="none"/>
                <w:lang w:val="en-US" w:eastAsia="zh-CN"/>
              </w:rPr>
              <w:t xml:space="preserve">  项目废气污染物信息表</w:t>
            </w:r>
          </w:p>
          <w:tbl>
            <w:tblPr>
              <w:tblStyle w:val="26"/>
              <w:tblW w:w="1300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3"/>
              <w:gridCol w:w="1069"/>
              <w:gridCol w:w="879"/>
              <w:gridCol w:w="885"/>
              <w:gridCol w:w="1155"/>
              <w:gridCol w:w="898"/>
              <w:gridCol w:w="1911"/>
              <w:gridCol w:w="939"/>
              <w:gridCol w:w="1257"/>
              <w:gridCol w:w="1122"/>
              <w:gridCol w:w="865"/>
              <w:gridCol w:w="15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81"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编号</w:t>
                  </w:r>
                </w:p>
              </w:tc>
              <w:tc>
                <w:tcPr>
                  <w:tcW w:w="410"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产污环节名称</w:t>
                  </w:r>
                </w:p>
              </w:tc>
              <w:tc>
                <w:tcPr>
                  <w:tcW w:w="337"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污染物种类</w:t>
                  </w:r>
                </w:p>
              </w:tc>
              <w:tc>
                <w:tcPr>
                  <w:tcW w:w="784" w:type="pct"/>
                  <w:gridSpan w:val="2"/>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污染物</w:t>
                  </w:r>
                </w:p>
              </w:tc>
              <w:tc>
                <w:tcPr>
                  <w:tcW w:w="345"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排放</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形式</w:t>
                  </w:r>
                </w:p>
              </w:tc>
              <w:tc>
                <w:tcPr>
                  <w:tcW w:w="734"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0"/>
                      <w:sz w:val="21"/>
                      <w:szCs w:val="21"/>
                      <w:u w:val="wave"/>
                      <w:vertAlign w:val="baseline"/>
                      <w:lang w:val="en-US" w:eastAsia="zh-CN" w:bidi="ar-SA"/>
                    </w:rPr>
                  </w:pPr>
                  <w:r>
                    <w:rPr>
                      <w:rFonts w:hint="default" w:ascii="Times New Roman" w:hAnsi="Times New Roman" w:eastAsia="宋体" w:cs="Times New Roman"/>
                      <w:b/>
                      <w:bCs/>
                      <w:color w:val="auto"/>
                      <w:kern w:val="0"/>
                      <w:sz w:val="21"/>
                      <w:szCs w:val="21"/>
                      <w:u w:val="wave"/>
                      <w:vertAlign w:val="baseline"/>
                      <w:lang w:val="en-US" w:eastAsia="zh-CN"/>
                    </w:rPr>
                    <w:t>治理设施名称</w:t>
                  </w:r>
                </w:p>
              </w:tc>
              <w:tc>
                <w:tcPr>
                  <w:tcW w:w="360"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eastAsia" w:cs="Times New Roman"/>
                      <w:b/>
                      <w:bCs/>
                      <w:color w:val="auto"/>
                      <w:kern w:val="0"/>
                      <w:sz w:val="21"/>
                      <w:szCs w:val="21"/>
                      <w:u w:val="wave"/>
                      <w:vertAlign w:val="baseline"/>
                      <w:lang w:val="en-US" w:eastAsia="zh-CN"/>
                    </w:rPr>
                    <w:t>处理效率</w:t>
                  </w:r>
                </w:p>
              </w:tc>
              <w:tc>
                <w:tcPr>
                  <w:tcW w:w="483"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排放浓度（mg/m</w:t>
                  </w:r>
                  <w:r>
                    <w:rPr>
                      <w:rFonts w:hint="default" w:ascii="Times New Roman" w:hAnsi="Times New Roman" w:eastAsia="宋体" w:cs="Times New Roman"/>
                      <w:b/>
                      <w:bCs/>
                      <w:color w:val="auto"/>
                      <w:kern w:val="0"/>
                      <w:sz w:val="21"/>
                      <w:szCs w:val="21"/>
                      <w:u w:val="wave"/>
                      <w:vertAlign w:val="superscript"/>
                      <w:lang w:val="en-US" w:eastAsia="zh-CN"/>
                    </w:rPr>
                    <w:t>3</w:t>
                  </w:r>
                  <w:r>
                    <w:rPr>
                      <w:rFonts w:hint="default" w:ascii="Times New Roman" w:hAnsi="Times New Roman" w:eastAsia="宋体" w:cs="Times New Roman"/>
                      <w:b/>
                      <w:bCs/>
                      <w:color w:val="auto"/>
                      <w:kern w:val="0"/>
                      <w:sz w:val="21"/>
                      <w:szCs w:val="21"/>
                      <w:u w:val="wave"/>
                      <w:vertAlign w:val="baseline"/>
                      <w:lang w:val="en-US" w:eastAsia="zh-CN"/>
                    </w:rPr>
                    <w:t>）</w:t>
                  </w:r>
                </w:p>
              </w:tc>
              <w:tc>
                <w:tcPr>
                  <w:tcW w:w="431"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0"/>
                      <w:sz w:val="21"/>
                      <w:szCs w:val="21"/>
                      <w:u w:val="wave"/>
                      <w:vertAlign w:val="baseline"/>
                      <w:lang w:val="en-US" w:eastAsia="zh-CN" w:bidi="ar-SA"/>
                    </w:rPr>
                  </w:pPr>
                  <w:r>
                    <w:rPr>
                      <w:rFonts w:hint="default" w:ascii="Times New Roman" w:hAnsi="Times New Roman" w:eastAsia="宋体" w:cs="Times New Roman"/>
                      <w:b/>
                      <w:bCs/>
                      <w:color w:val="auto"/>
                      <w:kern w:val="0"/>
                      <w:sz w:val="21"/>
                      <w:szCs w:val="21"/>
                      <w:u w:val="wave"/>
                      <w:vertAlign w:val="baseline"/>
                      <w:lang w:val="en-US" w:eastAsia="zh-CN"/>
                    </w:rPr>
                    <w:t>排放速率（kg/h）</w:t>
                  </w:r>
                </w:p>
              </w:tc>
              <w:tc>
                <w:tcPr>
                  <w:tcW w:w="332"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0"/>
                      <w:sz w:val="21"/>
                      <w:szCs w:val="21"/>
                      <w:u w:val="wave"/>
                      <w:vertAlign w:val="baseline"/>
                      <w:lang w:val="en-US" w:eastAsia="zh-CN" w:bidi="ar-SA"/>
                    </w:rPr>
                  </w:pPr>
                  <w:r>
                    <w:rPr>
                      <w:rFonts w:hint="default" w:ascii="Times New Roman" w:hAnsi="Times New Roman" w:eastAsia="宋体" w:cs="Times New Roman"/>
                      <w:b/>
                      <w:bCs/>
                      <w:color w:val="auto"/>
                      <w:kern w:val="0"/>
                      <w:sz w:val="21"/>
                      <w:szCs w:val="21"/>
                      <w:u w:val="wave"/>
                      <w:vertAlign w:val="baseline"/>
                      <w:lang w:val="en-US" w:eastAsia="zh-CN"/>
                    </w:rPr>
                    <w:t>排放量（t/a）</w:t>
                  </w:r>
                </w:p>
              </w:tc>
              <w:tc>
                <w:tcPr>
                  <w:tcW w:w="598"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0"/>
                      <w:sz w:val="21"/>
                      <w:szCs w:val="21"/>
                      <w:u w:val="wave"/>
                      <w:vertAlign w:val="baseline"/>
                      <w:lang w:val="en-US" w:eastAsia="zh-CN" w:bidi="ar-SA"/>
                    </w:rPr>
                  </w:pPr>
                  <w:r>
                    <w:rPr>
                      <w:rFonts w:hint="default" w:ascii="Times New Roman" w:hAnsi="Times New Roman" w:eastAsia="宋体" w:cs="Times New Roman"/>
                      <w:b/>
                      <w:bCs/>
                      <w:color w:val="auto"/>
                      <w:kern w:val="0"/>
                      <w:sz w:val="21"/>
                      <w:szCs w:val="21"/>
                      <w:u w:val="wave"/>
                      <w:vertAlign w:val="baseline"/>
                      <w:lang w:val="en-US" w:eastAsia="zh-CN"/>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81"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sz w:val="21"/>
                      <w:szCs w:val="21"/>
                      <w:u w:val="wave"/>
                    </w:rPr>
                  </w:pPr>
                </w:p>
              </w:tc>
              <w:tc>
                <w:tcPr>
                  <w:tcW w:w="410"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sz w:val="21"/>
                      <w:szCs w:val="21"/>
                      <w:u w:val="wave"/>
                    </w:rPr>
                  </w:pPr>
                </w:p>
              </w:tc>
              <w:tc>
                <w:tcPr>
                  <w:tcW w:w="337"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sz w:val="21"/>
                      <w:szCs w:val="21"/>
                      <w:u w:val="wave"/>
                    </w:rPr>
                  </w:pPr>
                </w:p>
              </w:tc>
              <w:tc>
                <w:tcPr>
                  <w:tcW w:w="34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产生量</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（t/a）</w:t>
                  </w:r>
                </w:p>
              </w:tc>
              <w:tc>
                <w:tcPr>
                  <w:tcW w:w="44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浓度</w:t>
                  </w:r>
                </w:p>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default" w:ascii="Times New Roman" w:hAnsi="Times New Roman" w:eastAsia="宋体" w:cs="Times New Roman"/>
                      <w:b/>
                      <w:bCs/>
                      <w:color w:val="auto"/>
                      <w:kern w:val="0"/>
                      <w:sz w:val="21"/>
                      <w:szCs w:val="21"/>
                      <w:u w:val="wave"/>
                      <w:vertAlign w:val="baseline"/>
                      <w:lang w:val="en-US" w:eastAsia="zh-CN"/>
                    </w:rPr>
                    <w:t>（mg/m</w:t>
                  </w:r>
                  <w:r>
                    <w:rPr>
                      <w:rFonts w:hint="default" w:ascii="Times New Roman" w:hAnsi="Times New Roman" w:eastAsia="宋体" w:cs="Times New Roman"/>
                      <w:b/>
                      <w:bCs/>
                      <w:color w:val="auto"/>
                      <w:kern w:val="0"/>
                      <w:sz w:val="21"/>
                      <w:szCs w:val="21"/>
                      <w:u w:val="wave"/>
                      <w:vertAlign w:val="superscript"/>
                      <w:lang w:val="en-US" w:eastAsia="zh-CN"/>
                    </w:rPr>
                    <w:t>3</w:t>
                  </w:r>
                  <w:r>
                    <w:rPr>
                      <w:rFonts w:hint="default" w:ascii="Times New Roman" w:hAnsi="Times New Roman" w:eastAsia="宋体" w:cs="Times New Roman"/>
                      <w:b/>
                      <w:bCs/>
                      <w:color w:val="auto"/>
                      <w:kern w:val="0"/>
                      <w:sz w:val="21"/>
                      <w:szCs w:val="21"/>
                      <w:u w:val="wave"/>
                      <w:vertAlign w:val="baseline"/>
                      <w:lang w:val="en-US" w:eastAsia="zh-CN"/>
                    </w:rPr>
                    <w:t>）</w:t>
                  </w:r>
                </w:p>
              </w:tc>
              <w:tc>
                <w:tcPr>
                  <w:tcW w:w="345"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734"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360"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483"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431"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332"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598" w:type="pct"/>
                  <w:vMerge w:val="continue"/>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1"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G1</w:t>
                  </w:r>
                </w:p>
              </w:tc>
              <w:tc>
                <w:tcPr>
                  <w:tcW w:w="410" w:type="pct"/>
                  <w:vMerge w:val="restart"/>
                  <w:shd w:val="clear" w:color="auto" w:fill="auto"/>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default" w:ascii="Times New Roman" w:hAnsi="Times New Roman" w:eastAsia="宋体" w:cs="Times New Roman"/>
                      <w:b w:val="0"/>
                      <w:bCs w:val="0"/>
                      <w:color w:val="auto"/>
                      <w:kern w:val="0"/>
                      <w:sz w:val="21"/>
                      <w:szCs w:val="21"/>
                      <w:u w:val="wave"/>
                      <w:lang w:val="en-US" w:eastAsia="zh-CN" w:bidi="ar-SA"/>
                    </w:rPr>
                  </w:pPr>
                  <w:r>
                    <w:rPr>
                      <w:rFonts w:hint="default" w:ascii="Times New Roman" w:hAnsi="Times New Roman" w:eastAsia="宋体" w:cs="Times New Roman"/>
                      <w:b w:val="0"/>
                      <w:bCs w:val="0"/>
                      <w:color w:val="auto"/>
                      <w:sz w:val="21"/>
                      <w:szCs w:val="21"/>
                      <w:u w:val="wave"/>
                      <w:lang w:val="en-US" w:eastAsia="zh-CN"/>
                    </w:rPr>
                    <w:t>油液挥发</w:t>
                  </w:r>
                </w:p>
              </w:tc>
              <w:tc>
                <w:tcPr>
                  <w:tcW w:w="337"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ascii="Times New Roman" w:hAnsi="Times New Roman" w:eastAsia="宋体" w:cs="Times New Roman"/>
                      <w:color w:val="auto"/>
                      <w:kern w:val="0"/>
                      <w:sz w:val="21"/>
                      <w:szCs w:val="21"/>
                      <w:u w:val="wave"/>
                      <w:vertAlign w:val="baseline"/>
                      <w:lang w:val="en-US" w:eastAsia="zh-CN" w:bidi="ar-SA"/>
                    </w:rPr>
                    <w:t>非甲烷总烃</w:t>
                  </w:r>
                </w:p>
              </w:tc>
              <w:tc>
                <w:tcPr>
                  <w:tcW w:w="340"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0.4044</w:t>
                  </w:r>
                </w:p>
              </w:tc>
              <w:tc>
                <w:tcPr>
                  <w:tcW w:w="443"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ascii="Times New Roman" w:hAnsi="Times New Roman" w:eastAsia="宋体" w:cs="Times New Roman"/>
                      <w:color w:val="auto"/>
                      <w:kern w:val="0"/>
                      <w:sz w:val="21"/>
                      <w:szCs w:val="21"/>
                      <w:u w:val="wave"/>
                      <w:vertAlign w:val="baseline"/>
                      <w:lang w:val="en-US" w:eastAsia="zh-CN" w:bidi="ar-SA"/>
                    </w:rPr>
                    <w:t>/</w:t>
                  </w:r>
                </w:p>
              </w:tc>
              <w:tc>
                <w:tcPr>
                  <w:tcW w:w="345"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无组织</w:t>
                  </w:r>
                </w:p>
              </w:tc>
              <w:tc>
                <w:tcPr>
                  <w:tcW w:w="73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u w:val="wave"/>
                      <w:vertAlign w:val="baseline"/>
                      <w:lang w:val="en-US" w:eastAsia="zh-CN"/>
                    </w:rPr>
                  </w:pPr>
                  <w:r>
                    <w:rPr>
                      <w:rFonts w:hint="eastAsia" w:ascii="Times New Roman" w:hAnsi="Times New Roman" w:eastAsia="宋体" w:cs="Times New Roman"/>
                      <w:b w:val="0"/>
                      <w:bCs w:val="0"/>
                      <w:color w:val="auto"/>
                      <w:kern w:val="0"/>
                      <w:sz w:val="21"/>
                      <w:szCs w:val="21"/>
                      <w:u w:val="wave"/>
                      <w:vertAlign w:val="baseline"/>
                      <w:lang w:val="en-US" w:eastAsia="zh-CN"/>
                    </w:rPr>
                    <w:t>排风扇无组织排放</w:t>
                  </w:r>
                </w:p>
              </w:tc>
              <w:tc>
                <w:tcPr>
                  <w:tcW w:w="36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w:t>
                  </w:r>
                </w:p>
              </w:tc>
              <w:tc>
                <w:tcPr>
                  <w:tcW w:w="48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ascii="Times New Roman" w:hAnsi="Times New Roman" w:eastAsia="宋体" w:cs="Times New Roman"/>
                      <w:color w:val="auto"/>
                      <w:kern w:val="0"/>
                      <w:sz w:val="21"/>
                      <w:szCs w:val="21"/>
                      <w:u w:val="wave"/>
                      <w:vertAlign w:val="baseline"/>
                      <w:lang w:val="en-US" w:eastAsia="zh-CN" w:bidi="ar-SA"/>
                    </w:rPr>
                    <w:t>/</w:t>
                  </w:r>
                </w:p>
              </w:tc>
              <w:tc>
                <w:tcPr>
                  <w:tcW w:w="43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0.135</w:t>
                  </w:r>
                </w:p>
              </w:tc>
              <w:tc>
                <w:tcPr>
                  <w:tcW w:w="332"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0.121</w:t>
                  </w:r>
                </w:p>
              </w:tc>
              <w:tc>
                <w:tcPr>
                  <w:tcW w:w="598" w:type="pct"/>
                  <w:vMerge w:val="restar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b w:val="0"/>
                      <w:bCs w:val="0"/>
                      <w:i w:val="0"/>
                      <w:iCs w:val="0"/>
                      <w:color w:val="auto"/>
                      <w:sz w:val="21"/>
                      <w:szCs w:val="21"/>
                      <w:u w:val="wave"/>
                      <w:lang w:val="en-US" w:eastAsia="zh-CN"/>
                    </w:rPr>
                    <w:t>《大气污染物综合排放标准》（GB16297-1996）</w:t>
                  </w:r>
                  <w:r>
                    <w:rPr>
                      <w:rFonts w:hint="eastAsia" w:ascii="Times New Roman" w:hAnsi="Times New Roman" w:eastAsia="宋体" w:cs="Times New Roman"/>
                      <w:b w:val="0"/>
                      <w:bCs w:val="0"/>
                      <w:i w:val="0"/>
                      <w:iCs w:val="0"/>
                      <w:color w:val="auto"/>
                      <w:sz w:val="21"/>
                      <w:szCs w:val="21"/>
                      <w:u w:val="wave"/>
                      <w:lang w:val="en-US" w:eastAsia="zh-CN"/>
                    </w:rPr>
                    <w:t>、《挥发性有机物无组织排放控制标准》（GB37822-2019）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1"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c>
                <w:tcPr>
                  <w:tcW w:w="410" w:type="pct"/>
                  <w:vMerge w:val="continue"/>
                  <w:shd w:val="clear" w:color="auto" w:fill="auto"/>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default" w:ascii="Times New Roman" w:hAnsi="Times New Roman" w:eastAsia="宋体" w:cs="Times New Roman"/>
                      <w:b w:val="0"/>
                      <w:bCs w:val="0"/>
                      <w:color w:val="auto"/>
                      <w:sz w:val="21"/>
                      <w:szCs w:val="21"/>
                      <w:u w:val="wave"/>
                      <w:lang w:val="en-US" w:eastAsia="zh-CN"/>
                    </w:rPr>
                  </w:pPr>
                </w:p>
              </w:tc>
              <w:tc>
                <w:tcPr>
                  <w:tcW w:w="337"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imes New Roman"/>
                      <w:color w:val="auto"/>
                      <w:kern w:val="0"/>
                      <w:sz w:val="21"/>
                      <w:szCs w:val="21"/>
                      <w:u w:val="wave"/>
                      <w:vertAlign w:val="baseline"/>
                      <w:lang w:val="en-US" w:eastAsia="zh-CN" w:bidi="ar-SA"/>
                    </w:rPr>
                  </w:pPr>
                </w:p>
              </w:tc>
              <w:tc>
                <w:tcPr>
                  <w:tcW w:w="340"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imes New Roman"/>
                      <w:color w:val="auto"/>
                      <w:kern w:val="0"/>
                      <w:sz w:val="21"/>
                      <w:szCs w:val="21"/>
                      <w:u w:val="wave"/>
                      <w:vertAlign w:val="baseline"/>
                      <w:lang w:val="en-US" w:eastAsia="zh-CN" w:bidi="ar-SA"/>
                    </w:rPr>
                  </w:pPr>
                </w:p>
              </w:tc>
              <w:tc>
                <w:tcPr>
                  <w:tcW w:w="443"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imes New Roman"/>
                      <w:color w:val="auto"/>
                      <w:kern w:val="0"/>
                      <w:sz w:val="21"/>
                      <w:szCs w:val="21"/>
                      <w:u w:val="wave"/>
                      <w:vertAlign w:val="baseline"/>
                      <w:lang w:val="en-US" w:eastAsia="zh-CN" w:bidi="ar-SA"/>
                    </w:rPr>
                  </w:pPr>
                </w:p>
              </w:tc>
              <w:tc>
                <w:tcPr>
                  <w:tcW w:w="345"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color w:val="auto"/>
                      <w:kern w:val="0"/>
                      <w:sz w:val="21"/>
                      <w:szCs w:val="21"/>
                      <w:u w:val="wave"/>
                      <w:vertAlign w:val="baseline"/>
                      <w:lang w:val="en-US" w:eastAsia="zh-CN"/>
                    </w:rPr>
                  </w:pPr>
                  <w:r>
                    <w:rPr>
                      <w:rFonts w:hint="eastAsia" w:cs="Times New Roman"/>
                      <w:color w:val="auto"/>
                      <w:kern w:val="0"/>
                      <w:sz w:val="21"/>
                      <w:szCs w:val="21"/>
                      <w:u w:val="wave"/>
                      <w:vertAlign w:val="baseline"/>
                      <w:lang w:val="en-US" w:eastAsia="zh-CN"/>
                    </w:rPr>
                    <w:t>有组织</w:t>
                  </w:r>
                </w:p>
              </w:tc>
              <w:tc>
                <w:tcPr>
                  <w:tcW w:w="73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u w:val="wave"/>
                      <w:vertAlign w:val="baseline"/>
                      <w:lang w:val="en-US" w:eastAsia="zh-CN"/>
                    </w:rPr>
                  </w:pPr>
                  <w:r>
                    <w:rPr>
                      <w:rFonts w:hint="eastAsia" w:cs="Times New Roman"/>
                      <w:b w:val="0"/>
                      <w:bCs w:val="0"/>
                      <w:color w:val="auto"/>
                      <w:kern w:val="0"/>
                      <w:sz w:val="21"/>
                      <w:szCs w:val="21"/>
                      <w:u w:val="wave"/>
                      <w:vertAlign w:val="baseline"/>
                      <w:lang w:val="en-US" w:eastAsia="zh-CN"/>
                    </w:rPr>
                    <w:t>集气罩（收集效率70%）+二级活性炭吸附+15m排气筒（DA001）</w:t>
                  </w:r>
                </w:p>
              </w:tc>
              <w:tc>
                <w:tcPr>
                  <w:tcW w:w="36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60%</w:t>
                  </w:r>
                </w:p>
              </w:tc>
              <w:tc>
                <w:tcPr>
                  <w:tcW w:w="48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12.58</w:t>
                  </w:r>
                </w:p>
              </w:tc>
              <w:tc>
                <w:tcPr>
                  <w:tcW w:w="43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0.126</w:t>
                  </w:r>
                </w:p>
              </w:tc>
              <w:tc>
                <w:tcPr>
                  <w:tcW w:w="332"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bidi="ar-SA"/>
                    </w:rPr>
                  </w:pPr>
                  <w:r>
                    <w:rPr>
                      <w:rFonts w:hint="eastAsia" w:cs="Times New Roman"/>
                      <w:color w:val="auto"/>
                      <w:kern w:val="0"/>
                      <w:sz w:val="21"/>
                      <w:szCs w:val="21"/>
                      <w:u w:val="wave"/>
                      <w:vertAlign w:val="baseline"/>
                      <w:lang w:val="en-US" w:eastAsia="zh-CN" w:bidi="ar-SA"/>
                    </w:rPr>
                    <w:t>0.113</w:t>
                  </w:r>
                </w:p>
              </w:tc>
              <w:tc>
                <w:tcPr>
                  <w:tcW w:w="598"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val="0"/>
                      <w:bCs w:val="0"/>
                      <w:i w:val="0"/>
                      <w:iCs w:val="0"/>
                      <w:color w:val="auto"/>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G2</w:t>
                  </w:r>
                </w:p>
              </w:tc>
              <w:tc>
                <w:tcPr>
                  <w:tcW w:w="410" w:type="pct"/>
                  <w:shd w:val="clear" w:color="auto" w:fill="auto"/>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default" w:ascii="Times New Roman" w:hAnsi="Times New Roman" w:eastAsia="宋体" w:cs="Times New Roman"/>
                      <w:b w:val="0"/>
                      <w:bCs w:val="0"/>
                      <w:color w:val="auto"/>
                      <w:kern w:val="0"/>
                      <w:sz w:val="21"/>
                      <w:szCs w:val="21"/>
                      <w:u w:val="wave"/>
                      <w:lang w:val="en-US" w:eastAsia="zh-CN" w:bidi="ar-SA"/>
                    </w:rPr>
                  </w:pPr>
                  <w:r>
                    <w:rPr>
                      <w:rFonts w:hint="default" w:ascii="Times New Roman" w:hAnsi="Times New Roman" w:eastAsia="宋体" w:cs="Times New Roman"/>
                      <w:b w:val="0"/>
                      <w:bCs w:val="0"/>
                      <w:color w:val="auto"/>
                      <w:sz w:val="21"/>
                      <w:szCs w:val="21"/>
                      <w:u w:val="wave"/>
                      <w:lang w:val="en-US" w:eastAsia="zh-CN"/>
                    </w:rPr>
                    <w:t>制冷剂</w:t>
                  </w:r>
                </w:p>
              </w:tc>
              <w:tc>
                <w:tcPr>
                  <w:tcW w:w="337"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bidi="ar-SA"/>
                    </w:rPr>
                    <w:t>非甲烷总烃</w:t>
                  </w:r>
                </w:p>
              </w:tc>
              <w:tc>
                <w:tcPr>
                  <w:tcW w:w="340"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w:t>
                  </w:r>
                </w:p>
              </w:tc>
              <w:tc>
                <w:tcPr>
                  <w:tcW w:w="443"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w:t>
                  </w:r>
                </w:p>
              </w:tc>
              <w:tc>
                <w:tcPr>
                  <w:tcW w:w="345"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无组织</w:t>
                  </w:r>
                </w:p>
              </w:tc>
              <w:tc>
                <w:tcPr>
                  <w:tcW w:w="73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b w:val="0"/>
                      <w:bCs w:val="0"/>
                      <w:color w:val="auto"/>
                      <w:kern w:val="0"/>
                      <w:sz w:val="21"/>
                      <w:szCs w:val="21"/>
                      <w:u w:val="wave"/>
                      <w:vertAlign w:val="baseline"/>
                      <w:lang w:val="en-US" w:eastAsia="zh-CN"/>
                    </w:rPr>
                    <w:t>排风扇无组织排放</w:t>
                  </w:r>
                </w:p>
              </w:tc>
              <w:tc>
                <w:tcPr>
                  <w:tcW w:w="36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cs="Times New Roman"/>
                      <w:color w:val="auto"/>
                      <w:kern w:val="0"/>
                      <w:sz w:val="21"/>
                      <w:szCs w:val="21"/>
                      <w:u w:val="wave"/>
                      <w:vertAlign w:val="baseline"/>
                      <w:lang w:val="en-US" w:eastAsia="zh-CN"/>
                    </w:rPr>
                    <w:t>/</w:t>
                  </w:r>
                </w:p>
              </w:tc>
              <w:tc>
                <w:tcPr>
                  <w:tcW w:w="48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43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332"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598"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G3</w:t>
                  </w:r>
                </w:p>
              </w:tc>
              <w:tc>
                <w:tcPr>
                  <w:tcW w:w="410" w:type="pct"/>
                  <w:shd w:val="clear" w:color="auto" w:fill="auto"/>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eastAsia" w:ascii="Times New Roman" w:hAnsi="Times New Roman" w:eastAsia="宋体" w:cs="Times New Roman"/>
                      <w:b w:val="0"/>
                      <w:bCs w:val="0"/>
                      <w:color w:val="auto"/>
                      <w:kern w:val="0"/>
                      <w:sz w:val="21"/>
                      <w:szCs w:val="21"/>
                      <w:u w:val="wave"/>
                      <w:lang w:val="en-US" w:eastAsia="zh-CN" w:bidi="ar-SA"/>
                    </w:rPr>
                  </w:pPr>
                  <w:r>
                    <w:rPr>
                      <w:rFonts w:hint="default" w:ascii="Times New Roman" w:hAnsi="Times New Roman" w:eastAsia="宋体" w:cs="Times New Roman"/>
                      <w:b w:val="0"/>
                      <w:bCs w:val="0"/>
                      <w:color w:val="auto"/>
                      <w:sz w:val="21"/>
                      <w:szCs w:val="21"/>
                      <w:u w:val="wave"/>
                      <w:lang w:val="en-US" w:eastAsia="zh-CN"/>
                    </w:rPr>
                    <w:t>安全气囊引爆</w:t>
                  </w:r>
                </w:p>
              </w:tc>
              <w:tc>
                <w:tcPr>
                  <w:tcW w:w="337"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color w:val="auto"/>
                      <w:kern w:val="0"/>
                      <w:sz w:val="21"/>
                      <w:szCs w:val="21"/>
                      <w:u w:val="wave"/>
                      <w:vertAlign w:val="baseline"/>
                      <w:lang w:val="en-US" w:eastAsia="zh-CN" w:bidi="ar-SA"/>
                    </w:rPr>
                  </w:pPr>
                  <w:r>
                    <w:rPr>
                      <w:rFonts w:hint="eastAsia" w:ascii="Times New Roman" w:hAnsi="Times New Roman" w:eastAsia="宋体" w:cs="Times New Roman"/>
                      <w:color w:val="auto"/>
                      <w:kern w:val="0"/>
                      <w:sz w:val="21"/>
                      <w:szCs w:val="21"/>
                      <w:u w:val="wave"/>
                      <w:vertAlign w:val="baseline"/>
                      <w:lang w:val="en-US" w:eastAsia="zh-CN" w:bidi="ar-SA"/>
                    </w:rPr>
                    <w:t>颗粒物</w:t>
                  </w:r>
                </w:p>
              </w:tc>
              <w:tc>
                <w:tcPr>
                  <w:tcW w:w="340"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w:t>
                  </w:r>
                </w:p>
              </w:tc>
              <w:tc>
                <w:tcPr>
                  <w:tcW w:w="443"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w:t>
                  </w:r>
                </w:p>
              </w:tc>
              <w:tc>
                <w:tcPr>
                  <w:tcW w:w="345"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无组织</w:t>
                  </w:r>
                </w:p>
              </w:tc>
              <w:tc>
                <w:tcPr>
                  <w:tcW w:w="73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b w:val="0"/>
                      <w:bCs w:val="0"/>
                      <w:color w:val="auto"/>
                      <w:kern w:val="0"/>
                      <w:sz w:val="21"/>
                      <w:szCs w:val="21"/>
                      <w:u w:val="wave"/>
                      <w:vertAlign w:val="baseline"/>
                      <w:lang w:val="en-US" w:eastAsia="zh-CN"/>
                    </w:rPr>
                  </w:pPr>
                  <w:r>
                    <w:rPr>
                      <w:rFonts w:hint="eastAsia" w:ascii="Times New Roman" w:hAnsi="Times New Roman" w:eastAsia="宋体" w:cs="Times New Roman"/>
                      <w:b w:val="0"/>
                      <w:bCs w:val="0"/>
                      <w:color w:val="auto"/>
                      <w:kern w:val="0"/>
                      <w:sz w:val="21"/>
                      <w:szCs w:val="21"/>
                      <w:u w:val="wave"/>
                      <w:vertAlign w:val="baseline"/>
                      <w:lang w:val="en-US" w:eastAsia="zh-CN"/>
                    </w:rPr>
                    <w:t>排风扇无组织排放</w:t>
                  </w:r>
                </w:p>
              </w:tc>
              <w:tc>
                <w:tcPr>
                  <w:tcW w:w="36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cs="Times New Roman"/>
                      <w:color w:val="auto"/>
                      <w:kern w:val="0"/>
                      <w:sz w:val="21"/>
                      <w:szCs w:val="21"/>
                      <w:u w:val="wave"/>
                      <w:vertAlign w:val="baseline"/>
                      <w:lang w:val="en-US" w:eastAsia="zh-CN"/>
                    </w:rPr>
                    <w:t>/</w:t>
                  </w:r>
                </w:p>
              </w:tc>
              <w:tc>
                <w:tcPr>
                  <w:tcW w:w="48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43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332"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598" w:type="pct"/>
                  <w:vMerge w:val="continue"/>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auto"/>
                      <w:sz w:val="21"/>
                      <w:szCs w:val="21"/>
                      <w:u w:val="wav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8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G</w:t>
                  </w:r>
                  <w:r>
                    <w:rPr>
                      <w:rFonts w:hint="eastAsia" w:ascii="Times New Roman" w:hAnsi="Times New Roman" w:eastAsia="宋体" w:cs="Times New Roman"/>
                      <w:color w:val="auto"/>
                      <w:kern w:val="0"/>
                      <w:sz w:val="21"/>
                      <w:szCs w:val="21"/>
                      <w:u w:val="wave"/>
                      <w:vertAlign w:val="baseline"/>
                      <w:lang w:val="en-US" w:eastAsia="zh-CN"/>
                    </w:rPr>
                    <w:t>4</w:t>
                  </w:r>
                </w:p>
              </w:tc>
              <w:tc>
                <w:tcPr>
                  <w:tcW w:w="410" w:type="pct"/>
                  <w:shd w:val="clear" w:color="auto" w:fill="auto"/>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default" w:ascii="Times New Roman" w:hAnsi="Times New Roman" w:eastAsia="宋体" w:cs="Times New Roman"/>
                      <w:b w:val="0"/>
                      <w:bCs w:val="0"/>
                      <w:color w:val="auto"/>
                      <w:kern w:val="0"/>
                      <w:sz w:val="21"/>
                      <w:szCs w:val="21"/>
                      <w:u w:val="wave"/>
                      <w:lang w:val="en-US" w:eastAsia="zh-CN" w:bidi="ar-SA"/>
                    </w:rPr>
                  </w:pPr>
                  <w:r>
                    <w:rPr>
                      <w:rFonts w:hint="default" w:ascii="Times New Roman" w:hAnsi="Times New Roman" w:eastAsia="宋体" w:cs="Times New Roman"/>
                      <w:b w:val="0"/>
                      <w:bCs w:val="0"/>
                      <w:color w:val="auto"/>
                      <w:sz w:val="21"/>
                      <w:szCs w:val="21"/>
                      <w:u w:val="wave"/>
                      <w:lang w:val="en-US" w:eastAsia="zh-CN"/>
                    </w:rPr>
                    <w:t>切割</w:t>
                  </w:r>
                  <w:r>
                    <w:rPr>
                      <w:rFonts w:hint="eastAsia" w:ascii="Times New Roman" w:hAnsi="Times New Roman" w:eastAsia="宋体" w:cs="Times New Roman"/>
                      <w:b w:val="0"/>
                      <w:bCs w:val="0"/>
                      <w:color w:val="auto"/>
                      <w:sz w:val="21"/>
                      <w:szCs w:val="21"/>
                      <w:u w:val="wave"/>
                      <w:lang w:val="en-US" w:eastAsia="zh-CN"/>
                    </w:rPr>
                    <w:t>、拆解</w:t>
                  </w:r>
                </w:p>
              </w:tc>
              <w:tc>
                <w:tcPr>
                  <w:tcW w:w="337"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颗粒物</w:t>
                  </w:r>
                </w:p>
              </w:tc>
              <w:tc>
                <w:tcPr>
                  <w:tcW w:w="34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11.2</w:t>
                  </w:r>
                </w:p>
              </w:tc>
              <w:tc>
                <w:tcPr>
                  <w:tcW w:w="44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default" w:ascii="Times New Roman" w:hAnsi="Times New Roman" w:eastAsia="宋体" w:cs="Times New Roman"/>
                      <w:color w:val="auto"/>
                      <w:kern w:val="0"/>
                      <w:sz w:val="21"/>
                      <w:szCs w:val="21"/>
                      <w:u w:val="wave"/>
                      <w:vertAlign w:val="baseline"/>
                      <w:lang w:val="en-US" w:eastAsia="zh-CN"/>
                    </w:rPr>
                    <w:t>/</w:t>
                  </w:r>
                </w:p>
              </w:tc>
              <w:tc>
                <w:tcPr>
                  <w:tcW w:w="345"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无组织</w:t>
                  </w:r>
                </w:p>
              </w:tc>
              <w:tc>
                <w:tcPr>
                  <w:tcW w:w="73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u w:val="wave"/>
                      <w:vertAlign w:val="baseline"/>
                      <w:lang w:val="en-US" w:eastAsia="zh-CN"/>
                    </w:rPr>
                  </w:pPr>
                  <w:r>
                    <w:rPr>
                      <w:rFonts w:hint="eastAsia" w:ascii="Times New Roman" w:hAnsi="Times New Roman" w:eastAsia="宋体" w:cs="Times New Roman"/>
                      <w:b w:val="0"/>
                      <w:bCs w:val="0"/>
                      <w:color w:val="auto"/>
                      <w:kern w:val="0"/>
                      <w:sz w:val="21"/>
                      <w:szCs w:val="21"/>
                      <w:u w:val="wave"/>
                      <w:vertAlign w:val="baseline"/>
                      <w:lang w:val="en-US" w:eastAsia="zh-CN"/>
                    </w:rPr>
                    <w:t>车间沉降（沉降效率50%）+移动式粉尘净化器（收集效率50%）+排风扇无组织排放</w:t>
                  </w:r>
                </w:p>
              </w:tc>
              <w:tc>
                <w:tcPr>
                  <w:tcW w:w="36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cs="Times New Roman"/>
                      <w:color w:val="auto"/>
                      <w:kern w:val="0"/>
                      <w:sz w:val="21"/>
                      <w:szCs w:val="21"/>
                      <w:u w:val="wave"/>
                      <w:vertAlign w:val="baseline"/>
                      <w:lang w:val="en-US" w:eastAsia="zh-CN"/>
                    </w:rPr>
                    <w:t>90%</w:t>
                  </w:r>
                </w:p>
              </w:tc>
              <w:tc>
                <w:tcPr>
                  <w:tcW w:w="48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43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1.28</w:t>
                  </w:r>
                </w:p>
              </w:tc>
              <w:tc>
                <w:tcPr>
                  <w:tcW w:w="332"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3.08</w:t>
                  </w:r>
                </w:p>
              </w:tc>
              <w:tc>
                <w:tcPr>
                  <w:tcW w:w="598" w:type="pct"/>
                  <w:vMerge w:val="continue"/>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8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G5</w:t>
                  </w:r>
                </w:p>
              </w:tc>
              <w:tc>
                <w:tcPr>
                  <w:tcW w:w="410" w:type="pct"/>
                  <w:shd w:val="clear" w:color="auto" w:fill="auto"/>
                  <w:noWrap w:val="0"/>
                  <w:vAlign w:val="center"/>
                </w:tcPr>
                <w:p>
                  <w:pPr>
                    <w:pStyle w:val="10"/>
                    <w:keepNext w:val="0"/>
                    <w:keepLines w:val="0"/>
                    <w:pageBreakBefore w:val="0"/>
                    <w:widowControl/>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default" w:ascii="Times New Roman" w:hAnsi="Times New Roman" w:eastAsia="宋体" w:cs="Times New Roman"/>
                      <w:b w:val="0"/>
                      <w:bCs w:val="0"/>
                      <w:color w:val="auto"/>
                      <w:sz w:val="21"/>
                      <w:szCs w:val="21"/>
                      <w:u w:val="wave"/>
                      <w:lang w:val="en-US" w:eastAsia="zh-CN"/>
                    </w:rPr>
                  </w:pPr>
                  <w:r>
                    <w:rPr>
                      <w:rFonts w:hint="eastAsia" w:ascii="Times New Roman" w:hAnsi="Times New Roman" w:eastAsia="宋体" w:cs="Times New Roman"/>
                      <w:b w:val="0"/>
                      <w:bCs w:val="0"/>
                      <w:color w:val="auto"/>
                      <w:sz w:val="21"/>
                      <w:szCs w:val="21"/>
                      <w:u w:val="wave"/>
                      <w:lang w:val="en-US" w:eastAsia="zh-CN"/>
                    </w:rPr>
                    <w:t>危废暂存</w:t>
                  </w:r>
                </w:p>
              </w:tc>
              <w:tc>
                <w:tcPr>
                  <w:tcW w:w="337"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bidi="ar-SA"/>
                    </w:rPr>
                    <w:t>非甲烷总烃</w:t>
                  </w:r>
                </w:p>
              </w:tc>
              <w:tc>
                <w:tcPr>
                  <w:tcW w:w="34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44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345" w:type="pct"/>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无组织</w:t>
                  </w:r>
                </w:p>
              </w:tc>
              <w:tc>
                <w:tcPr>
                  <w:tcW w:w="734"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b w:val="0"/>
                      <w:bCs w:val="0"/>
                      <w:color w:val="auto"/>
                      <w:kern w:val="0"/>
                      <w:sz w:val="21"/>
                      <w:szCs w:val="21"/>
                      <w:u w:val="wave"/>
                      <w:vertAlign w:val="baseline"/>
                      <w:lang w:val="en-US" w:eastAsia="zh-CN"/>
                    </w:rPr>
                  </w:pPr>
                  <w:r>
                    <w:rPr>
                      <w:rFonts w:hint="eastAsia" w:ascii="Times New Roman" w:hAnsi="Times New Roman" w:eastAsia="宋体" w:cs="Times New Roman"/>
                      <w:b w:val="0"/>
                      <w:bCs w:val="0"/>
                      <w:color w:val="auto"/>
                      <w:kern w:val="0"/>
                      <w:sz w:val="21"/>
                      <w:szCs w:val="21"/>
                      <w:u w:val="wave"/>
                      <w:vertAlign w:val="baseline"/>
                      <w:lang w:val="en-US" w:eastAsia="zh-CN"/>
                    </w:rPr>
                    <w:t>密闭容器，或加盖密闭</w:t>
                  </w:r>
                </w:p>
              </w:tc>
              <w:tc>
                <w:tcPr>
                  <w:tcW w:w="360"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eastAsia" w:ascii="Times New Roman" w:hAnsi="Times New Roman" w:eastAsia="宋体" w:cs="Times New Roman"/>
                      <w:color w:val="auto"/>
                      <w:kern w:val="0"/>
                      <w:sz w:val="21"/>
                      <w:szCs w:val="21"/>
                      <w:u w:val="wave"/>
                      <w:vertAlign w:val="baseline"/>
                      <w:lang w:val="en-US" w:eastAsia="zh-CN"/>
                    </w:rPr>
                  </w:pPr>
                </w:p>
              </w:tc>
              <w:tc>
                <w:tcPr>
                  <w:tcW w:w="483"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431"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332" w:type="pct"/>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r>
                    <w:rPr>
                      <w:rFonts w:hint="eastAsia" w:ascii="Times New Roman" w:hAnsi="Times New Roman" w:eastAsia="宋体" w:cs="Times New Roman"/>
                      <w:color w:val="auto"/>
                      <w:kern w:val="0"/>
                      <w:sz w:val="21"/>
                      <w:szCs w:val="21"/>
                      <w:u w:val="wave"/>
                      <w:vertAlign w:val="baseline"/>
                      <w:lang w:val="en-US" w:eastAsia="zh-CN"/>
                    </w:rPr>
                    <w:t>/</w:t>
                  </w:r>
                </w:p>
              </w:tc>
              <w:tc>
                <w:tcPr>
                  <w:tcW w:w="598" w:type="pct"/>
                  <w:vMerge w:val="continue"/>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right="0" w:rightChars="0"/>
                    <w:jc w:val="center"/>
                    <w:textAlignment w:val="auto"/>
                    <w:rPr>
                      <w:rFonts w:hint="default" w:ascii="Times New Roman" w:hAnsi="Times New Roman" w:eastAsia="宋体" w:cs="Times New Roman"/>
                      <w:color w:val="auto"/>
                      <w:kern w:val="0"/>
                      <w:sz w:val="21"/>
                      <w:szCs w:val="21"/>
                      <w:u w:val="wave"/>
                      <w:vertAlign w:val="baseline"/>
                      <w:lang w:val="en-US" w:eastAsia="zh-CN"/>
                    </w:rPr>
                  </w:pPr>
                </w:p>
              </w:tc>
            </w:tr>
          </w:tbl>
          <w:p>
            <w:pPr>
              <w:spacing w:line="360" w:lineRule="auto"/>
              <w:jc w:val="center"/>
              <w:rPr>
                <w:rFonts w:hint="eastAsia"/>
                <w:b/>
                <w:kern w:val="0"/>
                <w:szCs w:val="21"/>
                <w:u w:val="wave"/>
              </w:rPr>
            </w:pPr>
            <w:r>
              <w:rPr>
                <w:b/>
                <w:kern w:val="0"/>
                <w:szCs w:val="21"/>
                <w:u w:val="wave"/>
              </w:rPr>
              <w:t>表</w:t>
            </w:r>
            <w:r>
              <w:rPr>
                <w:rFonts w:hint="eastAsia"/>
                <w:b/>
                <w:kern w:val="0"/>
                <w:szCs w:val="21"/>
                <w:u w:val="wave"/>
              </w:rPr>
              <w:t>4-2</w:t>
            </w:r>
            <w:r>
              <w:rPr>
                <w:b/>
                <w:kern w:val="0"/>
                <w:szCs w:val="21"/>
                <w:u w:val="wave"/>
              </w:rPr>
              <w:t xml:space="preserve"> </w:t>
            </w:r>
            <w:r>
              <w:rPr>
                <w:rFonts w:hint="eastAsia"/>
                <w:b/>
                <w:kern w:val="0"/>
                <w:szCs w:val="21"/>
                <w:u w:val="wave"/>
              </w:rPr>
              <w:t xml:space="preserve"> 项目废气污染物排放口基本情况</w:t>
            </w:r>
          </w:p>
          <w:tbl>
            <w:tblPr>
              <w:tblStyle w:val="25"/>
              <w:tblW w:w="4855" w:type="pct"/>
              <w:jc w:val="center"/>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594"/>
              <w:gridCol w:w="1012"/>
              <w:gridCol w:w="943"/>
              <w:gridCol w:w="849"/>
              <w:gridCol w:w="1716"/>
              <w:gridCol w:w="1542"/>
              <w:gridCol w:w="794"/>
              <w:gridCol w:w="771"/>
              <w:gridCol w:w="678"/>
              <w:gridCol w:w="2702"/>
            </w:tblGrid>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PrEx>
              <w:trPr>
                <w:cantSplit/>
                <w:trHeight w:val="454" w:hRule="atLeast"/>
                <w:jc w:val="center"/>
              </w:trPr>
              <w:tc>
                <w:tcPr>
                  <w:tcW w:w="632" w:type="pct"/>
                  <w:noWrap w:val="0"/>
                  <w:vAlign w:val="center"/>
                </w:tcPr>
                <w:p>
                  <w:pPr>
                    <w:jc w:val="center"/>
                    <w:rPr>
                      <w:b/>
                      <w:bCs/>
                      <w:szCs w:val="21"/>
                      <w:u w:val="wave"/>
                    </w:rPr>
                  </w:pPr>
                  <w:r>
                    <w:rPr>
                      <w:b/>
                      <w:bCs/>
                      <w:szCs w:val="21"/>
                      <w:u w:val="wave"/>
                    </w:rPr>
                    <w:t>产排污环节</w:t>
                  </w:r>
                </w:p>
              </w:tc>
              <w:tc>
                <w:tcPr>
                  <w:tcW w:w="401" w:type="pct"/>
                  <w:noWrap w:val="0"/>
                  <w:vAlign w:val="center"/>
                </w:tcPr>
                <w:p>
                  <w:pPr>
                    <w:jc w:val="center"/>
                    <w:rPr>
                      <w:b/>
                      <w:bCs/>
                      <w:szCs w:val="21"/>
                      <w:u w:val="wave"/>
                    </w:rPr>
                  </w:pPr>
                  <w:r>
                    <w:rPr>
                      <w:b/>
                      <w:bCs/>
                      <w:szCs w:val="21"/>
                      <w:u w:val="wave"/>
                    </w:rPr>
                    <w:t>排放口名称</w:t>
                  </w:r>
                </w:p>
              </w:tc>
              <w:tc>
                <w:tcPr>
                  <w:tcW w:w="374" w:type="pct"/>
                  <w:noWrap w:val="0"/>
                  <w:vAlign w:val="center"/>
                </w:tcPr>
                <w:p>
                  <w:pPr>
                    <w:jc w:val="center"/>
                    <w:rPr>
                      <w:b/>
                      <w:bCs/>
                      <w:szCs w:val="21"/>
                      <w:u w:val="wave"/>
                    </w:rPr>
                  </w:pPr>
                  <w:r>
                    <w:rPr>
                      <w:b/>
                      <w:bCs/>
                      <w:szCs w:val="21"/>
                      <w:u w:val="wave"/>
                    </w:rPr>
                    <w:t>排放口编号</w:t>
                  </w:r>
                </w:p>
              </w:tc>
              <w:tc>
                <w:tcPr>
                  <w:tcW w:w="336" w:type="pct"/>
                  <w:noWrap w:val="0"/>
                  <w:vAlign w:val="center"/>
                </w:tcPr>
                <w:p>
                  <w:pPr>
                    <w:jc w:val="center"/>
                    <w:rPr>
                      <w:b/>
                      <w:bCs/>
                      <w:szCs w:val="21"/>
                      <w:u w:val="wave"/>
                    </w:rPr>
                  </w:pPr>
                  <w:r>
                    <w:rPr>
                      <w:b/>
                      <w:bCs/>
                      <w:szCs w:val="21"/>
                      <w:u w:val="wave"/>
                    </w:rPr>
                    <w:t>排放口类型</w:t>
                  </w:r>
                </w:p>
              </w:tc>
              <w:tc>
                <w:tcPr>
                  <w:tcW w:w="680" w:type="pct"/>
                  <w:noWrap w:val="0"/>
                  <w:vAlign w:val="center"/>
                </w:tcPr>
                <w:p>
                  <w:pPr>
                    <w:jc w:val="center"/>
                    <w:rPr>
                      <w:rFonts w:hint="eastAsia"/>
                      <w:b/>
                      <w:bCs/>
                      <w:szCs w:val="21"/>
                      <w:u w:val="wave"/>
                    </w:rPr>
                  </w:pPr>
                  <w:r>
                    <w:rPr>
                      <w:rFonts w:hint="eastAsia"/>
                      <w:b/>
                      <w:bCs/>
                      <w:szCs w:val="21"/>
                      <w:u w:val="wave"/>
                    </w:rPr>
                    <w:t>污染物种类</w:t>
                  </w:r>
                </w:p>
              </w:tc>
              <w:tc>
                <w:tcPr>
                  <w:tcW w:w="611" w:type="pct"/>
                  <w:noWrap w:val="0"/>
                  <w:vAlign w:val="center"/>
                </w:tcPr>
                <w:p>
                  <w:pPr>
                    <w:jc w:val="center"/>
                    <w:rPr>
                      <w:rFonts w:hint="eastAsia"/>
                      <w:b/>
                      <w:bCs/>
                      <w:szCs w:val="21"/>
                      <w:u w:val="wave"/>
                    </w:rPr>
                  </w:pPr>
                  <w:r>
                    <w:rPr>
                      <w:rFonts w:hint="eastAsia"/>
                      <w:b/>
                      <w:bCs/>
                      <w:szCs w:val="21"/>
                      <w:u w:val="wave"/>
                    </w:rPr>
                    <w:t>排放口地理坐标</w:t>
                  </w:r>
                </w:p>
              </w:tc>
              <w:tc>
                <w:tcPr>
                  <w:tcW w:w="315" w:type="pct"/>
                  <w:noWrap w:val="0"/>
                  <w:vAlign w:val="center"/>
                </w:tcPr>
                <w:p>
                  <w:pPr>
                    <w:jc w:val="center"/>
                    <w:rPr>
                      <w:b/>
                      <w:bCs/>
                      <w:szCs w:val="21"/>
                      <w:u w:val="wave"/>
                    </w:rPr>
                  </w:pPr>
                  <w:r>
                    <w:rPr>
                      <w:b/>
                      <w:bCs/>
                      <w:szCs w:val="21"/>
                      <w:u w:val="wave"/>
                    </w:rPr>
                    <w:t>排气口高度/m</w:t>
                  </w:r>
                </w:p>
              </w:tc>
              <w:tc>
                <w:tcPr>
                  <w:tcW w:w="305" w:type="pct"/>
                  <w:noWrap w:val="0"/>
                  <w:vAlign w:val="center"/>
                </w:tcPr>
                <w:p>
                  <w:pPr>
                    <w:jc w:val="center"/>
                    <w:rPr>
                      <w:b/>
                      <w:bCs/>
                      <w:szCs w:val="21"/>
                      <w:u w:val="wave"/>
                    </w:rPr>
                  </w:pPr>
                  <w:r>
                    <w:rPr>
                      <w:b/>
                      <w:bCs/>
                      <w:szCs w:val="21"/>
                      <w:u w:val="wave"/>
                    </w:rPr>
                    <w:t>排气口内径/m</w:t>
                  </w:r>
                </w:p>
              </w:tc>
              <w:tc>
                <w:tcPr>
                  <w:tcW w:w="269" w:type="pct"/>
                  <w:noWrap w:val="0"/>
                  <w:vAlign w:val="center"/>
                </w:tcPr>
                <w:p>
                  <w:pPr>
                    <w:jc w:val="center"/>
                    <w:rPr>
                      <w:b/>
                      <w:bCs/>
                      <w:szCs w:val="21"/>
                      <w:u w:val="wave"/>
                    </w:rPr>
                  </w:pPr>
                  <w:r>
                    <w:rPr>
                      <w:b/>
                      <w:bCs/>
                      <w:szCs w:val="21"/>
                      <w:u w:val="wave"/>
                    </w:rPr>
                    <w:t>出口温度/℃</w:t>
                  </w:r>
                </w:p>
              </w:tc>
              <w:tc>
                <w:tcPr>
                  <w:tcW w:w="1072" w:type="pct"/>
                  <w:noWrap w:val="0"/>
                  <w:vAlign w:val="center"/>
                </w:tcPr>
                <w:p>
                  <w:pPr>
                    <w:jc w:val="center"/>
                    <w:rPr>
                      <w:b/>
                      <w:bCs/>
                      <w:szCs w:val="21"/>
                      <w:u w:val="wave"/>
                    </w:rPr>
                  </w:pPr>
                  <w:r>
                    <w:rPr>
                      <w:b/>
                      <w:bCs/>
                      <w:szCs w:val="21"/>
                      <w:u w:val="wave"/>
                    </w:rPr>
                    <w:t>执行排放标准</w:t>
                  </w:r>
                </w:p>
              </w:tc>
            </w:tr>
            <w:tr>
              <w:tblPrEx>
                <w:tblBorders>
                  <w:top w:val="single" w:color="auto" w:sz="12" w:space="0"/>
                  <w:left w:val="none" w:color="auto" w:sz="0" w:space="0"/>
                  <w:bottom w:val="single" w:color="auto"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454" w:hRule="atLeast"/>
                <w:jc w:val="center"/>
              </w:trPr>
              <w:tc>
                <w:tcPr>
                  <w:tcW w:w="632" w:type="pct"/>
                  <w:noWrap w:val="0"/>
                  <w:vAlign w:val="center"/>
                </w:tcPr>
                <w:p>
                  <w:pPr>
                    <w:jc w:val="center"/>
                    <w:rPr>
                      <w:szCs w:val="21"/>
                      <w:u w:val="wave"/>
                    </w:rPr>
                  </w:pPr>
                  <w:r>
                    <w:rPr>
                      <w:rFonts w:hint="eastAsia"/>
                      <w:szCs w:val="21"/>
                      <w:u w:val="wave"/>
                    </w:rPr>
                    <w:t>油液挥发</w:t>
                  </w:r>
                </w:p>
              </w:tc>
              <w:tc>
                <w:tcPr>
                  <w:tcW w:w="401" w:type="pct"/>
                  <w:noWrap w:val="0"/>
                  <w:vAlign w:val="center"/>
                </w:tcPr>
                <w:p>
                  <w:pPr>
                    <w:jc w:val="center"/>
                    <w:rPr>
                      <w:rFonts w:hint="eastAsia" w:eastAsia="宋体"/>
                      <w:szCs w:val="21"/>
                      <w:u w:val="wave"/>
                      <w:lang w:eastAsia="zh-CN"/>
                    </w:rPr>
                  </w:pPr>
                  <w:r>
                    <w:rPr>
                      <w:rFonts w:hint="eastAsia"/>
                      <w:szCs w:val="21"/>
                      <w:u w:val="wave"/>
                    </w:rPr>
                    <w:t>油液挥发</w:t>
                  </w:r>
                  <w:r>
                    <w:rPr>
                      <w:rFonts w:hint="eastAsia"/>
                      <w:szCs w:val="21"/>
                      <w:u w:val="wave"/>
                      <w:lang w:eastAsia="zh-CN"/>
                    </w:rPr>
                    <w:t>排放口</w:t>
                  </w:r>
                </w:p>
              </w:tc>
              <w:tc>
                <w:tcPr>
                  <w:tcW w:w="374" w:type="pct"/>
                  <w:noWrap w:val="0"/>
                  <w:vAlign w:val="center"/>
                </w:tcPr>
                <w:p>
                  <w:pPr>
                    <w:jc w:val="center"/>
                    <w:rPr>
                      <w:szCs w:val="21"/>
                      <w:u w:val="wave"/>
                    </w:rPr>
                  </w:pPr>
                  <w:r>
                    <w:rPr>
                      <w:rFonts w:hint="eastAsia"/>
                      <w:szCs w:val="21"/>
                      <w:u w:val="wave"/>
                    </w:rPr>
                    <w:t>DA00</w:t>
                  </w:r>
                  <w:r>
                    <w:rPr>
                      <w:rFonts w:hint="eastAsia"/>
                      <w:szCs w:val="21"/>
                      <w:u w:val="wave"/>
                      <w:lang w:val="en-US" w:eastAsia="zh-CN"/>
                    </w:rPr>
                    <w:t>1</w:t>
                  </w:r>
                </w:p>
              </w:tc>
              <w:tc>
                <w:tcPr>
                  <w:tcW w:w="336" w:type="pct"/>
                  <w:noWrap w:val="0"/>
                  <w:vAlign w:val="center"/>
                </w:tcPr>
                <w:p>
                  <w:pPr>
                    <w:jc w:val="center"/>
                    <w:rPr>
                      <w:rFonts w:hint="eastAsia"/>
                      <w:szCs w:val="21"/>
                      <w:u w:val="wave"/>
                    </w:rPr>
                  </w:pPr>
                  <w:r>
                    <w:rPr>
                      <w:rFonts w:hint="eastAsia"/>
                      <w:szCs w:val="21"/>
                      <w:u w:val="wave"/>
                    </w:rPr>
                    <w:t>一般排放口</w:t>
                  </w:r>
                </w:p>
              </w:tc>
              <w:tc>
                <w:tcPr>
                  <w:tcW w:w="680" w:type="pct"/>
                  <w:noWrap w:val="0"/>
                  <w:vAlign w:val="center"/>
                </w:tcPr>
                <w:p>
                  <w:pPr>
                    <w:jc w:val="center"/>
                    <w:rPr>
                      <w:rFonts w:hint="eastAsia"/>
                      <w:szCs w:val="21"/>
                      <w:u w:val="wave"/>
                    </w:rPr>
                  </w:pPr>
                  <w:r>
                    <w:rPr>
                      <w:rFonts w:hint="eastAsia"/>
                      <w:szCs w:val="21"/>
                      <w:u w:val="wave"/>
                    </w:rPr>
                    <w:t>非甲烷总烃</w:t>
                  </w:r>
                </w:p>
              </w:tc>
              <w:tc>
                <w:tcPr>
                  <w:tcW w:w="611" w:type="pct"/>
                  <w:noWrap w:val="0"/>
                  <w:vAlign w:val="center"/>
                </w:tcPr>
                <w:p>
                  <w:pPr>
                    <w:jc w:val="center"/>
                    <w:rPr>
                      <w:szCs w:val="21"/>
                      <w:u w:val="wave"/>
                    </w:rPr>
                  </w:pPr>
                  <w:r>
                    <w:rPr>
                      <w:rFonts w:hint="eastAsia"/>
                      <w:szCs w:val="21"/>
                      <w:u w:val="wave"/>
                    </w:rPr>
                    <w:t>E112.455162°，N26.944406°</w:t>
                  </w:r>
                </w:p>
              </w:tc>
              <w:tc>
                <w:tcPr>
                  <w:tcW w:w="315" w:type="pct"/>
                  <w:noWrap w:val="0"/>
                  <w:vAlign w:val="center"/>
                </w:tcPr>
                <w:p>
                  <w:pPr>
                    <w:jc w:val="center"/>
                    <w:rPr>
                      <w:rFonts w:hint="default" w:eastAsia="宋体"/>
                      <w:szCs w:val="21"/>
                      <w:u w:val="wave"/>
                      <w:lang w:val="en-US" w:eastAsia="zh-CN"/>
                    </w:rPr>
                  </w:pPr>
                  <w:r>
                    <w:rPr>
                      <w:rFonts w:hint="eastAsia"/>
                      <w:szCs w:val="21"/>
                      <w:u w:val="wave"/>
                      <w:lang w:val="en-US" w:eastAsia="zh-CN"/>
                    </w:rPr>
                    <w:t>15</w:t>
                  </w:r>
                </w:p>
              </w:tc>
              <w:tc>
                <w:tcPr>
                  <w:tcW w:w="305" w:type="pct"/>
                  <w:noWrap w:val="0"/>
                  <w:vAlign w:val="center"/>
                </w:tcPr>
                <w:p>
                  <w:pPr>
                    <w:jc w:val="center"/>
                    <w:rPr>
                      <w:rFonts w:hint="default" w:eastAsia="宋体"/>
                      <w:szCs w:val="21"/>
                      <w:u w:val="wave"/>
                      <w:lang w:val="en-US" w:eastAsia="zh-CN"/>
                    </w:rPr>
                  </w:pPr>
                  <w:r>
                    <w:rPr>
                      <w:rFonts w:hint="eastAsia"/>
                      <w:szCs w:val="21"/>
                      <w:u w:val="wave"/>
                      <w:lang w:val="en-US" w:eastAsia="zh-CN"/>
                    </w:rPr>
                    <w:t>0.3</w:t>
                  </w:r>
                </w:p>
              </w:tc>
              <w:tc>
                <w:tcPr>
                  <w:tcW w:w="269" w:type="pct"/>
                  <w:noWrap w:val="0"/>
                  <w:vAlign w:val="center"/>
                </w:tcPr>
                <w:p>
                  <w:pPr>
                    <w:jc w:val="center"/>
                    <w:rPr>
                      <w:rFonts w:hint="eastAsia" w:eastAsia="宋体"/>
                      <w:szCs w:val="21"/>
                      <w:u w:val="wave"/>
                      <w:lang w:eastAsia="zh-CN"/>
                    </w:rPr>
                  </w:pPr>
                  <w:r>
                    <w:rPr>
                      <w:rFonts w:hint="eastAsia"/>
                      <w:szCs w:val="21"/>
                      <w:u w:val="wave"/>
                      <w:lang w:val="en-US" w:eastAsia="zh-CN"/>
                    </w:rPr>
                    <w:t>常温</w:t>
                  </w:r>
                </w:p>
              </w:tc>
              <w:tc>
                <w:tcPr>
                  <w:tcW w:w="1072" w:type="pct"/>
                  <w:noWrap w:val="0"/>
                  <w:vAlign w:val="center"/>
                </w:tcPr>
                <w:p>
                  <w:pPr>
                    <w:jc w:val="center"/>
                    <w:rPr>
                      <w:szCs w:val="21"/>
                      <w:u w:val="wave"/>
                    </w:rPr>
                  </w:pPr>
                  <w:r>
                    <w:rPr>
                      <w:rFonts w:hint="default" w:ascii="Times New Roman" w:hAnsi="Times New Roman" w:eastAsia="宋体" w:cs="Times New Roman"/>
                      <w:b w:val="0"/>
                      <w:bCs w:val="0"/>
                      <w:i w:val="0"/>
                      <w:iCs w:val="0"/>
                      <w:color w:val="auto"/>
                      <w:sz w:val="21"/>
                      <w:szCs w:val="21"/>
                      <w:u w:val="wave"/>
                      <w:lang w:val="en-US" w:eastAsia="zh-CN"/>
                    </w:rPr>
                    <w:t>《大气污染物综合排放标准》（GB16297-1996）</w:t>
                  </w:r>
                </w:p>
              </w:tc>
            </w:tr>
          </w:tbl>
          <w:p>
            <w:pPr>
              <w:pStyle w:val="68"/>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vertAlign w:val="baseline"/>
                <w:lang w:val="en-US" w:eastAsia="zh-CN"/>
              </w:rPr>
            </w:pPr>
          </w:p>
        </w:tc>
      </w:tr>
    </w:tbl>
    <w:p>
      <w:pPr>
        <w:pStyle w:val="68"/>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lang w:val="en-US" w:eastAsia="zh-CN"/>
        </w:rPr>
        <w:sectPr>
          <w:pgSz w:w="16838" w:h="11905" w:orient="landscape"/>
          <w:pgMar w:top="1531" w:right="1701" w:bottom="1531" w:left="1701" w:header="851" w:footer="850" w:gutter="0"/>
          <w:pgBorders>
            <w:top w:val="none" w:sz="0" w:space="0"/>
            <w:left w:val="none" w:sz="0" w:space="0"/>
            <w:bottom w:val="none" w:sz="0" w:space="0"/>
            <w:right w:val="none" w:sz="0" w:space="0"/>
          </w:pgBorders>
          <w:cols w:space="720" w:num="1"/>
          <w:rtlGutter w:val="0"/>
          <w:docGrid w:type="lines"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8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6" w:hRule="atLeast"/>
        </w:trPr>
        <w:tc>
          <w:tcPr>
            <w:tcW w:w="723" w:type="dxa"/>
            <w:noWrap w:val="0"/>
            <w:vAlign w:val="top"/>
          </w:tcPr>
          <w:p>
            <w:pPr>
              <w:pStyle w:val="68"/>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vertAlign w:val="baseline"/>
                <w:lang w:val="en-US" w:eastAsia="zh-CN"/>
              </w:rPr>
            </w:pPr>
          </w:p>
        </w:tc>
        <w:tc>
          <w:tcPr>
            <w:tcW w:w="8336" w:type="dxa"/>
            <w:noWrap w:val="0"/>
            <w:vAlign w:val="top"/>
          </w:tcPr>
          <w:p>
            <w:pPr>
              <w:keepNext w:val="0"/>
              <w:keepLines w:val="0"/>
              <w:pageBreakBefore w:val="0"/>
              <w:tabs>
                <w:tab w:val="left" w:pos="1020"/>
              </w:tabs>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u w:val="none"/>
                <w:lang w:val="en-US" w:eastAsia="zh-CN"/>
              </w:rPr>
            </w:pPr>
            <w:r>
              <w:rPr>
                <w:rFonts w:hint="default" w:ascii="Times New Roman" w:hAnsi="Times New Roman" w:eastAsia="宋体" w:cs="Times New Roman"/>
                <w:b/>
                <w:bCs/>
                <w:color w:val="auto"/>
                <w:sz w:val="24"/>
                <w:u w:val="none"/>
                <w:lang w:val="en-US" w:eastAsia="zh-CN"/>
              </w:rPr>
              <w:t>2、</w:t>
            </w:r>
            <w:r>
              <w:rPr>
                <w:rFonts w:hint="eastAsia" w:ascii="Times New Roman" w:hAnsi="Times New Roman" w:eastAsia="宋体" w:cs="Times New Roman"/>
                <w:b/>
                <w:bCs/>
                <w:color w:val="auto"/>
                <w:sz w:val="24"/>
                <w:u w:val="none"/>
                <w:lang w:val="en-US" w:eastAsia="zh-CN"/>
              </w:rPr>
              <w:t>非正常工况</w:t>
            </w:r>
            <w:r>
              <w:rPr>
                <w:rFonts w:hint="default" w:ascii="Times New Roman" w:hAnsi="Times New Roman" w:eastAsia="宋体" w:cs="Times New Roman"/>
                <w:b/>
                <w:bCs/>
                <w:color w:val="auto"/>
                <w:sz w:val="24"/>
                <w:u w:val="none"/>
                <w:lang w:val="en-US" w:eastAsia="zh-CN"/>
              </w:rPr>
              <w:t>分析</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非正常排放是指生产过程中开停车(工、炉)、设备检修、工艺设备运转异常等非正常工况下的污染物排放，以及污染物排放措施达不到应有效率等情况下的排放。本项目生产过程中产生的非正常排放主要是污染物排放控制措施达不到应有效率时引起的污染物超标排放。本评价以最不利原则按照颗粒物治理措施处理效率均为0时的情况进行分析，排放时间按10分钟计。本项目非正常排放具体情况见表4.2。</w:t>
            </w:r>
          </w:p>
          <w:p>
            <w:pPr>
              <w:pStyle w:val="10"/>
              <w:keepNext w:val="0"/>
              <w:keepLines w:val="0"/>
              <w:pageBreakBefore w:val="0"/>
              <w:widowControl/>
              <w:kinsoku/>
              <w:wordWrap/>
              <w:overflowPunct/>
              <w:topLinePunct w:val="0"/>
              <w:autoSpaceDE/>
              <w:autoSpaceDN/>
              <w:bidi w:val="0"/>
              <w:adjustRightInd/>
              <w:snapToGrid/>
              <w:spacing w:before="0" w:after="0" w:line="360" w:lineRule="auto"/>
              <w:ind w:right="0"/>
              <w:jc w:val="center"/>
              <w:textAlignment w:val="auto"/>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表</w:t>
            </w:r>
            <w:r>
              <w:rPr>
                <w:rFonts w:hint="default" w:ascii="Times New Roman" w:hAnsi="Times New Roman" w:eastAsia="宋体" w:cs="Times New Roman"/>
                <w:b/>
                <w:bCs/>
                <w:color w:val="auto"/>
                <w:sz w:val="21"/>
                <w:szCs w:val="21"/>
                <w:u w:val="none"/>
                <w:lang w:val="en-US" w:eastAsia="zh-CN"/>
              </w:rPr>
              <w:t>4-</w:t>
            </w:r>
            <w:r>
              <w:rPr>
                <w:rFonts w:hint="eastAsia" w:ascii="Times New Roman" w:hAnsi="Times New Roman" w:eastAsia="宋体" w:cs="Times New Roman"/>
                <w:b/>
                <w:bCs/>
                <w:color w:val="auto"/>
                <w:sz w:val="21"/>
                <w:szCs w:val="21"/>
                <w:u w:val="none"/>
                <w:lang w:val="en-US" w:eastAsia="zh-CN"/>
              </w:rPr>
              <w:t>2</w:t>
            </w:r>
            <w:r>
              <w:rPr>
                <w:rFonts w:hint="default" w:ascii="Times New Roman" w:hAnsi="Times New Roman" w:eastAsia="宋体" w:cs="Times New Roman"/>
                <w:b/>
                <w:bCs/>
                <w:color w:val="auto"/>
                <w:sz w:val="21"/>
                <w:szCs w:val="21"/>
                <w:u w:val="none"/>
                <w:lang w:val="en-US" w:eastAsia="zh-CN"/>
              </w:rPr>
              <w:t xml:space="preserve"> </w:t>
            </w:r>
            <w:r>
              <w:rPr>
                <w:rFonts w:hint="default" w:ascii="Times New Roman" w:hAnsi="Times New Roman" w:eastAsia="宋体" w:cs="Times New Roman"/>
                <w:b/>
                <w:bCs/>
                <w:color w:val="auto"/>
                <w:sz w:val="21"/>
                <w:szCs w:val="21"/>
                <w:u w:val="none"/>
              </w:rPr>
              <w:t xml:space="preserve"> </w:t>
            </w:r>
            <w:r>
              <w:rPr>
                <w:rFonts w:hint="eastAsia" w:ascii="Times New Roman" w:hAnsi="Times New Roman" w:eastAsia="宋体" w:cs="Times New Roman"/>
                <w:b/>
                <w:bCs/>
                <w:color w:val="auto"/>
                <w:sz w:val="21"/>
                <w:szCs w:val="21"/>
                <w:u w:val="none"/>
                <w:lang w:eastAsia="zh-CN"/>
              </w:rPr>
              <w:t>非正常工况污染排放情况</w:t>
            </w:r>
          </w:p>
          <w:tbl>
            <w:tblPr>
              <w:tblStyle w:val="25"/>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757"/>
              <w:gridCol w:w="1187"/>
              <w:gridCol w:w="747"/>
              <w:gridCol w:w="830"/>
              <w:gridCol w:w="715"/>
              <w:gridCol w:w="880"/>
              <w:gridCol w:w="1015"/>
              <w:gridCol w:w="849"/>
              <w:gridCol w:w="1137"/>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4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1"/>
                      <w:szCs w:val="21"/>
                      <w:u w:val="wave"/>
                      <w:lang w:eastAsia="zh-CN"/>
                    </w:rPr>
                  </w:pPr>
                  <w:r>
                    <w:rPr>
                      <w:rFonts w:hint="eastAsia" w:ascii="Times New Roman" w:hAnsi="Times New Roman" w:eastAsia="宋体" w:cs="Times New Roman"/>
                      <w:b/>
                      <w:bCs/>
                      <w:color w:val="auto"/>
                      <w:sz w:val="21"/>
                      <w:szCs w:val="21"/>
                      <w:u w:val="wave"/>
                      <w:lang w:eastAsia="zh-CN"/>
                    </w:rPr>
                    <w:t>污染源</w:t>
                  </w:r>
                </w:p>
              </w:tc>
              <w:tc>
                <w:tcPr>
                  <w:tcW w:w="73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1"/>
                      <w:szCs w:val="21"/>
                      <w:u w:val="wave"/>
                      <w:lang w:eastAsia="zh-CN"/>
                    </w:rPr>
                  </w:pPr>
                  <w:r>
                    <w:rPr>
                      <w:rFonts w:hint="eastAsia" w:ascii="Times New Roman" w:hAnsi="Times New Roman" w:eastAsia="宋体" w:cs="Times New Roman"/>
                      <w:b/>
                      <w:bCs/>
                      <w:color w:val="auto"/>
                      <w:sz w:val="21"/>
                      <w:szCs w:val="21"/>
                      <w:u w:val="wave"/>
                      <w:lang w:eastAsia="zh-CN"/>
                    </w:rPr>
                    <w:t>非正常排放原因</w:t>
                  </w:r>
                </w:p>
              </w:tc>
              <w:tc>
                <w:tcPr>
                  <w:tcW w:w="46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1"/>
                      <w:szCs w:val="21"/>
                      <w:u w:val="wave"/>
                      <w:lang w:eastAsia="zh-CN"/>
                    </w:rPr>
                  </w:pPr>
                  <w:r>
                    <w:rPr>
                      <w:rFonts w:hint="eastAsia" w:ascii="Times New Roman" w:hAnsi="Times New Roman" w:eastAsia="宋体" w:cs="Times New Roman"/>
                      <w:b/>
                      <w:bCs/>
                      <w:color w:val="auto"/>
                      <w:sz w:val="21"/>
                      <w:szCs w:val="21"/>
                      <w:u w:val="wave"/>
                      <w:lang w:eastAsia="zh-CN"/>
                    </w:rPr>
                    <w:t>污染物</w:t>
                  </w:r>
                </w:p>
              </w:tc>
              <w:tc>
                <w:tcPr>
                  <w:tcW w:w="2641"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1"/>
                      <w:szCs w:val="21"/>
                      <w:u w:val="wave"/>
                      <w:lang w:eastAsia="zh-CN"/>
                    </w:rPr>
                  </w:pPr>
                  <w:r>
                    <w:rPr>
                      <w:rFonts w:hint="eastAsia" w:ascii="Times New Roman" w:hAnsi="Times New Roman" w:eastAsia="宋体" w:cs="Times New Roman"/>
                      <w:b/>
                      <w:bCs/>
                      <w:color w:val="auto"/>
                      <w:sz w:val="21"/>
                      <w:szCs w:val="21"/>
                      <w:u w:val="wave"/>
                      <w:lang w:eastAsia="zh-CN"/>
                    </w:rPr>
                    <w:t>非正常排放情况</w:t>
                  </w:r>
                </w:p>
              </w:tc>
              <w:tc>
                <w:tcPr>
                  <w:tcW w:w="70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1"/>
                      <w:szCs w:val="21"/>
                      <w:u w:val="wave"/>
                      <w:lang w:eastAsia="zh-CN"/>
                    </w:rPr>
                  </w:pPr>
                  <w:r>
                    <w:rPr>
                      <w:rFonts w:hint="eastAsia" w:ascii="Times New Roman" w:hAnsi="Times New Roman" w:eastAsia="宋体" w:cs="Times New Roman"/>
                      <w:b/>
                      <w:bCs/>
                      <w:color w:val="auto"/>
                      <w:sz w:val="21"/>
                      <w:szCs w:val="21"/>
                      <w:u w:val="wave"/>
                      <w:lang w:eastAsia="zh-CN"/>
                    </w:rPr>
                    <w:t>应对措施</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4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p>
              </w:tc>
              <w:tc>
                <w:tcPr>
                  <w:tcW w:w="73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p>
              </w:tc>
              <w:tc>
                <w:tcPr>
                  <w:tcW w:w="46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wave"/>
                      <w:lang w:val="en-US" w:eastAsia="zh-CN" w:bidi="ar-SA"/>
                    </w:rPr>
                  </w:pPr>
                  <w:r>
                    <w:rPr>
                      <w:rFonts w:hint="eastAsia" w:ascii="Times New Roman" w:hAnsi="Times New Roman" w:eastAsia="宋体" w:cs="Times New Roman"/>
                      <w:b/>
                      <w:bCs/>
                      <w:color w:val="auto"/>
                      <w:kern w:val="2"/>
                      <w:sz w:val="21"/>
                      <w:szCs w:val="21"/>
                      <w:u w:val="wave"/>
                      <w:lang w:val="en-US" w:eastAsia="zh-CN" w:bidi="ar-SA"/>
                    </w:rPr>
                    <w:t>持续时间</w:t>
                  </w:r>
                </w:p>
              </w:tc>
              <w:tc>
                <w:tcPr>
                  <w:tcW w:w="4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wave"/>
                      <w:lang w:val="en-US" w:eastAsia="zh-CN" w:bidi="ar-SA"/>
                    </w:rPr>
                  </w:pPr>
                  <w:r>
                    <w:rPr>
                      <w:rFonts w:hint="eastAsia" w:ascii="Times New Roman" w:hAnsi="Times New Roman" w:eastAsia="宋体" w:cs="Times New Roman"/>
                      <w:b/>
                      <w:bCs/>
                      <w:color w:val="auto"/>
                      <w:kern w:val="2"/>
                      <w:sz w:val="21"/>
                      <w:szCs w:val="21"/>
                      <w:u w:val="wave"/>
                      <w:lang w:val="en-US" w:eastAsia="zh-CN" w:bidi="ar-SA"/>
                    </w:rPr>
                    <w:t>频次</w:t>
                  </w:r>
                </w:p>
              </w:tc>
              <w:tc>
                <w:tcPr>
                  <w:tcW w:w="54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wave"/>
                      <w:lang w:val="en-US" w:eastAsia="zh-CN" w:bidi="ar-SA"/>
                    </w:rPr>
                  </w:pPr>
                  <w:r>
                    <w:rPr>
                      <w:rFonts w:hint="eastAsia" w:ascii="Times New Roman" w:hAnsi="Times New Roman" w:eastAsia="宋体" w:cs="Times New Roman"/>
                      <w:b/>
                      <w:bCs/>
                      <w:color w:val="auto"/>
                      <w:kern w:val="2"/>
                      <w:sz w:val="21"/>
                      <w:szCs w:val="21"/>
                      <w:u w:val="wave"/>
                      <w:lang w:val="en-US" w:eastAsia="zh-CN" w:bidi="ar-SA"/>
                    </w:rPr>
                    <w:t>排放量t/a</w:t>
                  </w:r>
                </w:p>
              </w:tc>
              <w:tc>
                <w:tcPr>
                  <w:tcW w:w="6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wave"/>
                      <w:lang w:val="en-US" w:eastAsia="zh-CN" w:bidi="ar-SA"/>
                    </w:rPr>
                  </w:pPr>
                  <w:r>
                    <w:rPr>
                      <w:rFonts w:hint="eastAsia" w:ascii="Times New Roman" w:hAnsi="Times New Roman" w:eastAsia="宋体" w:cs="Times New Roman"/>
                      <w:b/>
                      <w:bCs/>
                      <w:color w:val="auto"/>
                      <w:kern w:val="2"/>
                      <w:sz w:val="21"/>
                      <w:szCs w:val="21"/>
                      <w:u w:val="wave"/>
                      <w:lang w:val="en-US" w:eastAsia="zh-CN" w:bidi="ar-SA"/>
                    </w:rPr>
                    <w:t>速率kg/h</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u w:val="wave"/>
                      <w:lang w:val="en-US" w:eastAsia="zh-CN" w:bidi="ar-SA"/>
                    </w:rPr>
                  </w:pPr>
                  <w:r>
                    <w:rPr>
                      <w:rFonts w:hint="eastAsia" w:ascii="Times New Roman" w:hAnsi="Times New Roman" w:eastAsia="宋体" w:cs="Times New Roman"/>
                      <w:b/>
                      <w:bCs/>
                      <w:color w:val="auto"/>
                      <w:kern w:val="2"/>
                      <w:sz w:val="21"/>
                      <w:szCs w:val="21"/>
                      <w:u w:val="wave"/>
                      <w:lang w:val="en-US" w:eastAsia="zh-CN" w:bidi="ar-SA"/>
                    </w:rPr>
                    <w:t>浓度mg/m</w:t>
                  </w:r>
                  <w:r>
                    <w:rPr>
                      <w:rFonts w:hint="eastAsia" w:ascii="Times New Roman" w:hAnsi="Times New Roman" w:eastAsia="宋体" w:cs="Times New Roman"/>
                      <w:b/>
                      <w:bCs/>
                      <w:color w:val="auto"/>
                      <w:kern w:val="2"/>
                      <w:sz w:val="21"/>
                      <w:szCs w:val="21"/>
                      <w:u w:val="wave"/>
                      <w:vertAlign w:val="superscript"/>
                      <w:lang w:val="en-US" w:eastAsia="zh-CN" w:bidi="ar-SA"/>
                    </w:rPr>
                    <w:t>3</w:t>
                  </w:r>
                </w:p>
              </w:tc>
              <w:tc>
                <w:tcPr>
                  <w:tcW w:w="70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466"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kern w:val="2"/>
                      <w:sz w:val="21"/>
                      <w:szCs w:val="21"/>
                      <w:u w:val="wave"/>
                      <w:lang w:val="en-US" w:eastAsia="zh-CN" w:bidi="ar-SA"/>
                    </w:rPr>
                    <w:t>油液挥发</w:t>
                  </w:r>
                </w:p>
              </w:tc>
              <w:tc>
                <w:tcPr>
                  <w:tcW w:w="731"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kern w:val="2"/>
                      <w:sz w:val="21"/>
                      <w:szCs w:val="21"/>
                      <w:u w:val="wave"/>
                      <w:lang w:val="en-US" w:eastAsia="zh-CN" w:bidi="ar-SA"/>
                    </w:rPr>
                    <w:t>处理措施失效，处理效率为0</w:t>
                  </w:r>
                </w:p>
              </w:tc>
              <w:tc>
                <w:tcPr>
                  <w:tcW w:w="460"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cs="Times New Roman"/>
                      <w:color w:val="auto"/>
                      <w:kern w:val="2"/>
                      <w:sz w:val="21"/>
                      <w:szCs w:val="21"/>
                      <w:u w:val="wave"/>
                      <w:lang w:val="en-US" w:eastAsia="zh-CN" w:bidi="ar-SA"/>
                    </w:rPr>
                    <w:t>非甲烷总烃</w:t>
                  </w:r>
                </w:p>
              </w:tc>
              <w:tc>
                <w:tcPr>
                  <w:tcW w:w="511"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10min/次</w:t>
                  </w:r>
                </w:p>
              </w:tc>
              <w:tc>
                <w:tcPr>
                  <w:tcW w:w="440"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eastAsia="zh-CN"/>
                    </w:rPr>
                    <w:t>≤</w:t>
                  </w:r>
                  <w:r>
                    <w:rPr>
                      <w:rFonts w:hint="eastAsia" w:ascii="Times New Roman" w:hAnsi="Times New Roman" w:eastAsia="宋体" w:cs="Times New Roman"/>
                      <w:color w:val="auto"/>
                      <w:sz w:val="21"/>
                      <w:szCs w:val="21"/>
                      <w:u w:val="wave"/>
                      <w:lang w:val="en-US" w:eastAsia="zh-CN"/>
                    </w:rPr>
                    <w:t>2</w:t>
                  </w:r>
                </w:p>
              </w:tc>
              <w:tc>
                <w:tcPr>
                  <w:tcW w:w="54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cs="Times New Roman"/>
                      <w:color w:val="auto"/>
                      <w:kern w:val="2"/>
                      <w:sz w:val="21"/>
                      <w:szCs w:val="21"/>
                      <w:u w:val="wave"/>
                      <w:lang w:val="en-US" w:eastAsia="zh-CN" w:bidi="ar-SA"/>
                    </w:rPr>
                    <w:t>0.315</w:t>
                  </w:r>
                </w:p>
              </w:tc>
              <w:tc>
                <w:tcPr>
                  <w:tcW w:w="625"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cs="Times New Roman"/>
                      <w:color w:val="auto"/>
                      <w:kern w:val="2"/>
                      <w:sz w:val="21"/>
                      <w:szCs w:val="21"/>
                      <w:u w:val="wave"/>
                      <w:lang w:val="en-US" w:eastAsia="zh-CN" w:bidi="ar-SA"/>
                    </w:rPr>
                    <w:t>0.28</w:t>
                  </w:r>
                </w:p>
              </w:tc>
              <w:tc>
                <w:tcPr>
                  <w:tcW w:w="52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cs="Times New Roman"/>
                      <w:color w:val="auto"/>
                      <w:sz w:val="21"/>
                      <w:szCs w:val="21"/>
                      <w:u w:val="wave"/>
                      <w:lang w:val="en-US" w:eastAsia="zh-CN"/>
                    </w:rPr>
                    <w:t>31.4</w:t>
                  </w:r>
                </w:p>
              </w:tc>
              <w:tc>
                <w:tcPr>
                  <w:tcW w:w="70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sz w:val="21"/>
                      <w:szCs w:val="21"/>
                      <w:u w:val="wave"/>
                    </w:rPr>
                    <w:t>立即停止相关工序的生产，待故障解除后方可恢复生产</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466"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kern w:val="2"/>
                      <w:sz w:val="21"/>
                      <w:szCs w:val="21"/>
                      <w:u w:val="wave"/>
                      <w:lang w:val="en-US" w:eastAsia="zh-CN" w:bidi="ar-SA"/>
                    </w:rPr>
                    <w:t>切割、拆解</w:t>
                  </w:r>
                </w:p>
              </w:tc>
              <w:tc>
                <w:tcPr>
                  <w:tcW w:w="731"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kern w:val="2"/>
                      <w:sz w:val="21"/>
                      <w:szCs w:val="21"/>
                      <w:u w:val="wave"/>
                      <w:lang w:val="en-US" w:eastAsia="zh-CN" w:bidi="ar-SA"/>
                    </w:rPr>
                    <w:t>处理措施失效，处理效率为0</w:t>
                  </w:r>
                </w:p>
              </w:tc>
              <w:tc>
                <w:tcPr>
                  <w:tcW w:w="460"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kern w:val="2"/>
                      <w:sz w:val="21"/>
                      <w:szCs w:val="21"/>
                      <w:u w:val="wave"/>
                      <w:lang w:val="en-US" w:eastAsia="zh-CN" w:bidi="ar-SA"/>
                    </w:rPr>
                    <w:t>颗粒物</w:t>
                  </w:r>
                </w:p>
              </w:tc>
              <w:tc>
                <w:tcPr>
                  <w:tcW w:w="511"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10min/次</w:t>
                  </w:r>
                </w:p>
              </w:tc>
              <w:tc>
                <w:tcPr>
                  <w:tcW w:w="440"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eastAsia="zh-CN"/>
                    </w:rPr>
                    <w:t>≤</w:t>
                  </w:r>
                  <w:r>
                    <w:rPr>
                      <w:rFonts w:hint="eastAsia" w:ascii="Times New Roman" w:hAnsi="Times New Roman" w:eastAsia="宋体" w:cs="Times New Roman"/>
                      <w:color w:val="auto"/>
                      <w:sz w:val="21"/>
                      <w:szCs w:val="21"/>
                      <w:u w:val="wave"/>
                      <w:lang w:val="en-US" w:eastAsia="zh-CN"/>
                    </w:rPr>
                    <w:t>2</w:t>
                  </w:r>
                </w:p>
              </w:tc>
              <w:tc>
                <w:tcPr>
                  <w:tcW w:w="54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11.2</w:t>
                  </w:r>
                </w:p>
              </w:tc>
              <w:tc>
                <w:tcPr>
                  <w:tcW w:w="625"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4.67</w:t>
                  </w:r>
                </w:p>
              </w:tc>
              <w:tc>
                <w:tcPr>
                  <w:tcW w:w="52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w:t>
                  </w:r>
                </w:p>
              </w:tc>
              <w:tc>
                <w:tcPr>
                  <w:tcW w:w="700" w:type="pct"/>
                  <w:vMerge w:val="continue"/>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wave"/>
                      <w:lang w:val="en-US" w:eastAsia="zh-CN" w:bidi="ar-SA"/>
                    </w:rPr>
                  </w:pPr>
                </w:p>
              </w:tc>
            </w:tr>
          </w:tbl>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根据表4-2，本项目非正常排放情况下会对区域环境空气会产生一定影响。评价要求建设单位采取严格的管理措施和应急措施，当发生此种情况时，立即停止相关工序的生产，待故障解除后方可恢复生产</w:t>
            </w:r>
            <w:r>
              <w:rPr>
                <w:rFonts w:hint="eastAsia" w:cs="Times New Roman"/>
                <w:color w:val="auto"/>
                <w:sz w:val="24"/>
                <w:u w:val="none"/>
                <w:lang w:val="en-US" w:eastAsia="zh-CN"/>
              </w:rPr>
              <w:t>。</w:t>
            </w:r>
          </w:p>
          <w:p>
            <w:pPr>
              <w:pStyle w:val="59"/>
              <w:keepNext w:val="0"/>
              <w:keepLines w:val="0"/>
              <w:pageBreakBefore w:val="0"/>
              <w:widowControl w:val="0"/>
              <w:kinsoku/>
              <w:wordWrap/>
              <w:overflowPunct/>
              <w:topLinePunct w:val="0"/>
              <w:bidi w:val="0"/>
              <w:adjustRightInd/>
              <w:snapToGrid/>
              <w:spacing w:line="360" w:lineRule="auto"/>
              <w:jc w:val="both"/>
              <w:textAlignment w:val="auto"/>
              <w:rPr>
                <w:rFonts w:hint="default" w:ascii="Times New Roman" w:hAnsi="Times New Roman" w:eastAsia="宋体" w:cs="Times New Roman"/>
                <w:b/>
                <w:bCs/>
                <w:color w:val="auto"/>
                <w:sz w:val="24"/>
                <w:szCs w:val="24"/>
                <w:u w:val="wave"/>
              </w:rPr>
            </w:pPr>
            <w:r>
              <w:rPr>
                <w:rFonts w:hint="default" w:ascii="Times New Roman" w:hAnsi="Times New Roman" w:eastAsia="宋体" w:cs="Times New Roman"/>
                <w:b/>
                <w:bCs/>
                <w:color w:val="auto"/>
                <w:sz w:val="24"/>
                <w:szCs w:val="24"/>
                <w:u w:val="wave"/>
                <w:lang w:val="en-US" w:eastAsia="zh-CN"/>
              </w:rPr>
              <w:t>4、废气污染防治措施可行性分析</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wave"/>
                <w:lang w:val="zh-CN" w:eastAsia="zh-CN"/>
              </w:rPr>
            </w:pPr>
            <w:r>
              <w:rPr>
                <w:rFonts w:hint="eastAsia" w:ascii="Times New Roman" w:hAnsi="Times New Roman" w:eastAsia="宋体" w:cs="Times New Roman"/>
                <w:color w:val="auto"/>
                <w:sz w:val="24"/>
                <w:u w:val="wave"/>
                <w:lang w:val="zh-CN" w:eastAsia="zh-CN"/>
              </w:rPr>
              <w:t>项目废气主要为</w:t>
            </w:r>
            <w:r>
              <w:rPr>
                <w:rFonts w:hint="eastAsia" w:ascii="Times New Roman" w:hAnsi="Times New Roman" w:eastAsia="宋体" w:cs="Times New Roman"/>
                <w:b w:val="0"/>
                <w:bCs w:val="0"/>
                <w:color w:val="auto"/>
                <w:sz w:val="24"/>
                <w:szCs w:val="24"/>
                <w:u w:val="wave"/>
                <w:lang w:val="en-US" w:eastAsia="zh-CN"/>
              </w:rPr>
              <w:t>废油挥发废气G1、废有机溶剂挥发有机废气G2、引爆安全气囊粉尘G3、切割、拆解粉尘G4</w:t>
            </w:r>
            <w:r>
              <w:rPr>
                <w:rFonts w:hint="eastAsia" w:ascii="Times New Roman" w:hAnsi="Times New Roman" w:eastAsia="宋体" w:cs="Times New Roman"/>
                <w:color w:val="auto"/>
                <w:sz w:val="24"/>
                <w:u w:val="wave"/>
                <w:lang w:val="zh-CN" w:eastAsia="zh-CN"/>
              </w:rPr>
              <w:t>。</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wave"/>
                <w:lang w:val="zh-CN" w:eastAsia="zh-CN"/>
              </w:rPr>
            </w:pPr>
            <w:r>
              <w:rPr>
                <w:rFonts w:hint="eastAsia" w:ascii="Times New Roman" w:hAnsi="Times New Roman" w:eastAsia="宋体" w:cs="Times New Roman"/>
                <w:color w:val="auto"/>
                <w:sz w:val="24"/>
                <w:u w:val="wave"/>
                <w:lang w:val="zh-CN" w:eastAsia="zh-CN"/>
              </w:rPr>
              <w:t>（1）废气污染防治措施可行性分析</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wave"/>
                <w:lang w:val="en-US" w:eastAsia="zh-CN"/>
              </w:rPr>
            </w:pPr>
            <w:r>
              <w:rPr>
                <w:rFonts w:hint="eastAsia" w:ascii="Times New Roman" w:hAnsi="Times New Roman" w:eastAsia="宋体" w:cs="Times New Roman"/>
                <w:color w:val="auto"/>
                <w:sz w:val="24"/>
                <w:u w:val="wave"/>
                <w:lang w:val="en-US" w:eastAsia="zh-CN"/>
              </w:rPr>
              <w:t>1</w:t>
            </w:r>
            <w:r>
              <w:rPr>
                <w:rFonts w:hint="default" w:ascii="Times New Roman" w:hAnsi="Times New Roman" w:eastAsia="宋体" w:cs="Times New Roman"/>
                <w:color w:val="auto"/>
                <w:sz w:val="24"/>
                <w:u w:val="wave"/>
                <w:lang w:val="en-US" w:eastAsia="zh-CN"/>
              </w:rPr>
              <w:t>）废油液挥发性有机废气</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wave"/>
                <w:lang w:val="en-US" w:eastAsia="zh-CN"/>
              </w:rPr>
            </w:pPr>
            <w:r>
              <w:rPr>
                <w:rFonts w:hint="default" w:ascii="Times New Roman" w:hAnsi="Times New Roman" w:cs="Times New Roman"/>
                <w:b w:val="0"/>
                <w:bCs w:val="0"/>
                <w:color w:val="auto"/>
                <w:sz w:val="24"/>
                <w:szCs w:val="24"/>
                <w:highlight w:val="none"/>
                <w:u w:val="wave"/>
                <w:lang w:val="en-US" w:eastAsia="zh-CN"/>
              </w:rPr>
              <w:t>根据《排污许可证申请与核发技术规范 总则》（HJ 942-2018），</w:t>
            </w:r>
            <w:r>
              <w:rPr>
                <w:rFonts w:hint="default" w:ascii="Times New Roman" w:hAnsi="Times New Roman" w:eastAsia="宋体" w:cs="Times New Roman"/>
                <w:color w:val="auto"/>
                <w:sz w:val="24"/>
                <w:highlight w:val="none"/>
                <w:u w:val="wave"/>
              </w:rPr>
              <w:t>有机废气收集治理设施包括</w:t>
            </w:r>
            <w:r>
              <w:rPr>
                <w:rFonts w:hint="default" w:ascii="Times New Roman" w:hAnsi="Times New Roman" w:eastAsia="宋体" w:cs="Times New Roman"/>
                <w:color w:val="auto"/>
                <w:sz w:val="24"/>
                <w:szCs w:val="24"/>
                <w:highlight w:val="none"/>
                <w:u w:val="wave"/>
              </w:rPr>
              <w:t>吸附、热力燃烧、催化燃烧、低温等离子体、UV光氧化/光催化、生物法、以上组合技术</w:t>
            </w:r>
            <w:r>
              <w:rPr>
                <w:rFonts w:hint="default" w:ascii="Times New Roman" w:hAnsi="Times New Roman" w:eastAsia="宋体" w:cs="Times New Roman"/>
                <w:color w:val="auto"/>
                <w:sz w:val="24"/>
                <w:highlight w:val="none"/>
                <w:u w:val="wave"/>
              </w:rPr>
              <w:t>。本项目废油液挥发性有机废气</w:t>
            </w:r>
            <w:r>
              <w:rPr>
                <w:rFonts w:hint="default" w:ascii="Times New Roman" w:hAnsi="Times New Roman" w:eastAsia="宋体" w:cs="Times New Roman"/>
                <w:color w:val="auto"/>
                <w:sz w:val="24"/>
                <w:szCs w:val="24"/>
                <w:highlight w:val="none"/>
                <w:u w:val="wave"/>
              </w:rPr>
              <w:t>经集气</w:t>
            </w:r>
            <w:r>
              <w:rPr>
                <w:rFonts w:hint="default" w:ascii="Times New Roman" w:hAnsi="Times New Roman" w:cs="Times New Roman"/>
                <w:color w:val="auto"/>
                <w:sz w:val="24"/>
                <w:szCs w:val="24"/>
                <w:highlight w:val="none"/>
                <w:u w:val="wave"/>
                <w:lang w:val="en-US" w:eastAsia="zh-CN"/>
              </w:rPr>
              <w:t>管道</w:t>
            </w:r>
            <w:r>
              <w:rPr>
                <w:rFonts w:hint="default" w:ascii="Times New Roman" w:hAnsi="Times New Roman" w:eastAsia="宋体" w:cs="Times New Roman"/>
                <w:color w:val="auto"/>
                <w:sz w:val="24"/>
                <w:szCs w:val="24"/>
                <w:highlight w:val="none"/>
                <w:u w:val="wave"/>
              </w:rPr>
              <w:t>收集后采用“活性炭吸附装置”处理后</w:t>
            </w:r>
            <w:r>
              <w:rPr>
                <w:rFonts w:hint="default" w:ascii="Times New Roman" w:hAnsi="Times New Roman" w:eastAsia="宋体" w:cs="Times New Roman"/>
                <w:color w:val="auto"/>
                <w:sz w:val="24"/>
                <w:szCs w:val="24"/>
                <w:highlight w:val="none"/>
                <w:u w:val="wave"/>
                <w:lang w:val="en-US" w:eastAsia="zh-CN"/>
              </w:rPr>
              <w:t>由</w:t>
            </w:r>
            <w:r>
              <w:rPr>
                <w:rFonts w:hint="default" w:ascii="Times New Roman" w:hAnsi="Times New Roman" w:eastAsia="宋体" w:cs="Times New Roman"/>
                <w:color w:val="auto"/>
                <w:sz w:val="24"/>
                <w:szCs w:val="24"/>
                <w:highlight w:val="none"/>
                <w:u w:val="wave"/>
              </w:rPr>
              <w:t>15m高的</w:t>
            </w:r>
            <w:r>
              <w:rPr>
                <w:rFonts w:hint="default" w:ascii="Times New Roman" w:hAnsi="Times New Roman" w:eastAsia="宋体" w:cs="Times New Roman"/>
                <w:color w:val="auto"/>
                <w:sz w:val="24"/>
                <w:szCs w:val="24"/>
                <w:highlight w:val="none"/>
                <w:u w:val="wave"/>
                <w:lang w:val="en-US" w:eastAsia="zh-CN"/>
              </w:rPr>
              <w:t>DA00</w:t>
            </w:r>
            <w:r>
              <w:rPr>
                <w:rFonts w:hint="eastAsia" w:ascii="Times New Roman" w:hAnsi="Times New Roman" w:eastAsia="宋体" w:cs="Times New Roman"/>
                <w:color w:val="auto"/>
                <w:sz w:val="24"/>
                <w:szCs w:val="24"/>
                <w:highlight w:val="none"/>
                <w:u w:val="wave"/>
                <w:lang w:val="en-US" w:eastAsia="zh-CN"/>
              </w:rPr>
              <w:t>1</w:t>
            </w:r>
            <w:r>
              <w:rPr>
                <w:rFonts w:hint="default" w:ascii="Times New Roman" w:hAnsi="Times New Roman" w:eastAsia="宋体" w:cs="Times New Roman"/>
                <w:color w:val="auto"/>
                <w:sz w:val="24"/>
                <w:szCs w:val="24"/>
                <w:highlight w:val="none"/>
                <w:u w:val="wave"/>
              </w:rPr>
              <w:t>排气筒排放，废气采用“活性炭吸附装置”属于可行性技术中的</w:t>
            </w:r>
            <w:r>
              <w:rPr>
                <w:rFonts w:hint="default" w:ascii="Times New Roman" w:hAnsi="Times New Roman" w:eastAsia="宋体" w:cs="Times New Roman"/>
                <w:color w:val="auto"/>
                <w:sz w:val="24"/>
                <w:szCs w:val="24"/>
                <w:highlight w:val="none"/>
                <w:u w:val="wave"/>
                <w:lang w:val="en-US" w:eastAsia="zh-CN"/>
              </w:rPr>
              <w:t>“</w:t>
            </w:r>
            <w:r>
              <w:rPr>
                <w:rFonts w:hint="default" w:ascii="Times New Roman" w:hAnsi="Times New Roman" w:eastAsia="宋体" w:cs="Times New Roman"/>
                <w:color w:val="auto"/>
                <w:sz w:val="24"/>
                <w:szCs w:val="24"/>
                <w:highlight w:val="none"/>
                <w:u w:val="wave"/>
              </w:rPr>
              <w:t>吸附</w:t>
            </w:r>
            <w:r>
              <w:rPr>
                <w:rFonts w:hint="default" w:ascii="Times New Roman" w:hAnsi="Times New Roman" w:eastAsia="宋体" w:cs="Times New Roman"/>
                <w:color w:val="auto"/>
                <w:sz w:val="24"/>
                <w:szCs w:val="24"/>
                <w:highlight w:val="none"/>
                <w:u w:val="wave"/>
                <w:lang w:val="en-US" w:eastAsia="zh-CN"/>
              </w:rPr>
              <w:t>”</w:t>
            </w:r>
            <w:r>
              <w:rPr>
                <w:rFonts w:hint="default" w:ascii="Times New Roman" w:hAnsi="Times New Roman" w:eastAsia="宋体" w:cs="Times New Roman"/>
                <w:color w:val="auto"/>
                <w:sz w:val="24"/>
                <w:szCs w:val="24"/>
                <w:highlight w:val="none"/>
                <w:u w:val="wave"/>
              </w:rPr>
              <w:t>。</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wave"/>
                <w:lang w:val="en-US" w:eastAsia="zh-CN"/>
              </w:rPr>
            </w:pPr>
            <w:r>
              <w:rPr>
                <w:rFonts w:hint="eastAsia" w:ascii="Times New Roman" w:hAnsi="Times New Roman" w:eastAsia="宋体" w:cs="Times New Roman"/>
                <w:color w:val="auto"/>
                <w:sz w:val="24"/>
                <w:u w:val="wave"/>
                <w:lang w:val="en-US" w:eastAsia="zh-CN"/>
              </w:rPr>
              <w:t>活性炭吸附装置原理：利用活性炭或炭纤维表面的高比表面积对废气中挥发性有机化合物进行吸附，从而达到净化效果。</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wave"/>
                <w:lang w:val="en-US" w:eastAsia="zh-CN"/>
              </w:rPr>
            </w:pPr>
            <w:r>
              <w:rPr>
                <w:rFonts w:hint="eastAsia" w:ascii="Times New Roman" w:hAnsi="Times New Roman" w:eastAsia="宋体" w:cs="Times New Roman"/>
                <w:color w:val="auto"/>
                <w:sz w:val="24"/>
                <w:u w:val="wave"/>
                <w:lang w:val="en-US" w:eastAsia="zh-CN"/>
              </w:rPr>
              <w:t>优点：在短时间内能吸附一定的污染物，主要是针对总挥发性有机物和异味。物理吸附，产品本身无二次污染。</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wave"/>
                <w:lang w:val="en-US" w:eastAsia="zh-CN"/>
              </w:rPr>
            </w:pPr>
            <w:r>
              <w:rPr>
                <w:rFonts w:hint="eastAsia" w:ascii="Times New Roman" w:hAnsi="Times New Roman" w:eastAsia="宋体" w:cs="Times New Roman"/>
                <w:color w:val="auto"/>
                <w:sz w:val="24"/>
                <w:u w:val="wave"/>
                <w:lang w:val="en-US" w:eastAsia="zh-CN"/>
              </w:rPr>
              <w:t>缺点：活性炭很容易达到吸附饱和，吸附达到饱和不再具有吸附能力时，就必须更换过滤材料，如不及时更换，其所吸附的污染物等将随时被释放出来形成二次污染。活性吸附饱和后，需要经过活化处理才能二次使用。活性炭吸附装置由活性炭、排气管和排风机、排气筒等组成。该装置在系统主风机的作用下，废气从塔进风口处进入吸附塔体内的各吸附单元，利用高性能活性炭吸附剂固体本身的表面作用力将有机废气分子吸附质吸附附着在吸附剂表面，经吸附后干净气体透过吸附单元进入塔体内的净化室并汇集至风口排出。</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2）废有机溶剂挥发有机废气</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拆解预处理阶段采用移动冷媒回收装置对制冷剂进行回收，本项目移动冷媒回收装置由全封闭的压缩机、制冷系统（冷凝器、过滤器）及回收罐组成，主要是采用普通回收连接方式，其主要原理是空调冷媒经过视液镜进入回收系统，经过压缩机、冷凝器变成液态进入钢瓶。钢瓶回收至 80%以后液位开关开启，阀门关闭，终止回收。使用时，将回收罐的吸气连接管接在压缩机的工艺管上，连接好后开动回收液阀，利用压缩机的吸气能力将制冷系统的制冷剂通过一个较大的干燥过滤器抽吸压缩机中，并经过压缩机的压缩排到冷凝器中，经过冷凝器的放热冷凝后，排到回收气罐中，从回收罐吸出的蒸汽，又回进回收装置。回收气罐一般都放在一台电子称，以便于观察制冷剂的回收情况。该过程应察看是否有不箱或器具制冷系统中的制冷剂通过过滤器被压缩后排入回收气罐中，不明气体存在，开启不明气体放气阀，放掉不明气后再继续回收，若回收罐过热可置入冷水中加快回收。在此过程中出现压力过高过低均会报警。移动冷媒回收装置回收原理见下图4-2。</w:t>
            </w:r>
          </w:p>
          <w:p>
            <w:pPr>
              <w:pStyle w:val="87"/>
              <w:keepNext w:val="0"/>
              <w:keepLines/>
              <w:pageBreakBefore w:val="0"/>
              <w:widowControl w:val="0"/>
              <w:kinsoku/>
              <w:wordWrap/>
              <w:overflowPunct/>
              <w:topLinePunct w:val="0"/>
              <w:autoSpaceDE/>
              <w:autoSpaceDN/>
              <w:bidi w:val="0"/>
              <w:adjustRightInd/>
              <w:snapToGrid/>
              <w:spacing w:line="353" w:lineRule="auto"/>
              <w:jc w:val="center"/>
              <w:textAlignment w:val="auto"/>
              <w:rPr>
                <w:rFonts w:hint="eastAsia" w:ascii="Times New Roman" w:hAnsi="Times New Roman" w:cs="Times New Roman"/>
                <w:color w:val="auto"/>
                <w:kern w:val="2"/>
                <w:sz w:val="21"/>
                <w:szCs w:val="21"/>
                <w:lang w:val="en-US" w:eastAsia="zh-CN" w:bidi="ar-SA"/>
              </w:rPr>
            </w:pPr>
            <w:r>
              <w:drawing>
                <wp:inline distT="0" distB="0" distL="114300" distR="114300">
                  <wp:extent cx="2571750" cy="2295525"/>
                  <wp:effectExtent l="0" t="0" r="0" b="9525"/>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16"/>
                          <a:stretch>
                            <a:fillRect/>
                          </a:stretch>
                        </pic:blipFill>
                        <pic:spPr>
                          <a:xfrm>
                            <a:off x="0" y="0"/>
                            <a:ext cx="2571750" cy="229552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auto"/>
              <w:rPr>
                <w:rFonts w:ascii="Times New Roman" w:hAnsi="Times New Roman" w:eastAsia="宋体" w:cs="Times New Roman"/>
                <w:sz w:val="21"/>
                <w:szCs w:val="21"/>
              </w:rPr>
            </w:pPr>
            <w:r>
              <w:rPr>
                <w:rFonts w:hint="eastAsia" w:ascii="Times New Roman" w:hAnsi="Times New Roman" w:eastAsia="宋体" w:cs="Times New Roman"/>
                <w:b/>
                <w:bCs/>
                <w:color w:val="000000"/>
                <w:kern w:val="0"/>
                <w:sz w:val="21"/>
                <w:szCs w:val="21"/>
                <w:lang w:val="en-US" w:eastAsia="zh-CN" w:bidi="ar"/>
              </w:rPr>
              <w:t>图</w:t>
            </w:r>
            <w:r>
              <w:rPr>
                <w:rFonts w:hint="default" w:ascii="Times New Roman" w:hAnsi="Times New Roman" w:eastAsia="宋体" w:cs="Times New Roman"/>
                <w:b/>
                <w:bCs/>
                <w:color w:val="000000"/>
                <w:kern w:val="0"/>
                <w:sz w:val="21"/>
                <w:szCs w:val="21"/>
                <w:lang w:val="en-US" w:eastAsia="zh-CN" w:bidi="ar"/>
              </w:rPr>
              <w:t>4-</w:t>
            </w:r>
            <w:r>
              <w:rPr>
                <w:rFonts w:hint="eastAsia" w:ascii="Times New Roman" w:hAnsi="Times New Roman" w:eastAsia="宋体" w:cs="Times New Roman"/>
                <w:b/>
                <w:bCs/>
                <w:color w:val="000000"/>
                <w:kern w:val="0"/>
                <w:sz w:val="21"/>
                <w:szCs w:val="21"/>
                <w:lang w:val="en-US" w:eastAsia="zh-CN" w:bidi="ar"/>
              </w:rPr>
              <w:t>1</w:t>
            </w:r>
            <w:r>
              <w:rPr>
                <w:rFonts w:hint="default" w:ascii="Times New Roman" w:hAnsi="Times New Roman" w:eastAsia="宋体" w:cs="Times New Roman"/>
                <w:b/>
                <w:bCs/>
                <w:color w:val="000000"/>
                <w:kern w:val="0"/>
                <w:sz w:val="21"/>
                <w:szCs w:val="21"/>
                <w:lang w:val="en-US" w:eastAsia="zh-CN" w:bidi="ar"/>
              </w:rPr>
              <w:t xml:space="preserve"> </w:t>
            </w:r>
            <w:r>
              <w:rPr>
                <w:rFonts w:hint="eastAsia" w:ascii="Times New Roman" w:hAnsi="Times New Roman" w:eastAsia="宋体" w:cs="Times New Roman"/>
                <w:b/>
                <w:bCs/>
                <w:color w:val="000000"/>
                <w:kern w:val="0"/>
                <w:sz w:val="21"/>
                <w:szCs w:val="21"/>
                <w:lang w:val="en-US" w:eastAsia="zh-CN" w:bidi="ar"/>
              </w:rPr>
              <w:t>制冷剂回收示意图</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制冷剂回收过程产生的挥发性蒸汽均在内部进行循环，仅有极少量制冷剂挥发性气 体通过管线、阀门等以无组织形式释放到空气中，对环境影响很小，因此，该处理措施可行。</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eastAsia" w:ascii="Times New Roman" w:hAnsi="Times New Roman" w:eastAsia="宋体" w:cs="Times New Roman"/>
                <w:b w:val="0"/>
                <w:bCs w:val="0"/>
                <w:color w:val="auto"/>
                <w:sz w:val="24"/>
                <w:szCs w:val="24"/>
                <w:u w:val="none"/>
                <w:lang w:val="en-US" w:eastAsia="zh-CN"/>
              </w:rPr>
              <w:t>3）引爆安全气囊粉尘</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en-US" w:eastAsia="zh-CN"/>
              </w:rPr>
              <w:t>安全气囊在预处理车间拆除后，采用密闭式安全气囊引爆装置中进行电子引爆，引爆粉尘不对外排放。安全气囊爆破装置由箱体、防爆内衬板、引爆电控、双电源、自闭合门锁、中控自动开关锁、遥控器等组成。箱体内部空腔大，少量引爆粉尘在密闭式安全气囊引爆装置内收集后与废安全气囊一并委托处置。</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eastAsia" w:ascii="Times New Roman" w:hAnsi="Times New Roman" w:eastAsia="宋体" w:cs="Times New Roman"/>
                <w:b w:val="0"/>
                <w:bCs w:val="0"/>
                <w:color w:val="auto"/>
                <w:sz w:val="24"/>
                <w:szCs w:val="24"/>
                <w:u w:val="none"/>
                <w:lang w:val="en-US" w:eastAsia="zh-CN"/>
              </w:rPr>
              <w:t>4）切割、拆解粉尘</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zh-CN" w:eastAsia="zh-CN"/>
              </w:rPr>
            </w:pPr>
            <w:r>
              <w:rPr>
                <w:rFonts w:hint="eastAsia" w:ascii="Times New Roman" w:hAnsi="Times New Roman" w:eastAsia="宋体" w:cs="Times New Roman"/>
                <w:color w:val="auto"/>
                <w:sz w:val="24"/>
                <w:u w:val="none"/>
                <w:lang w:val="zh-CN" w:eastAsia="zh-CN"/>
              </w:rPr>
              <w:t>本项目车身及大件废钢材切割以等离子切割机或剪切机为主，切割、拆解及剪切过程产生的颗粒物废气采用移动式烟尘净化器处理。</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z w:val="24"/>
                <w:u w:val="none"/>
                <w:lang w:val="zh-CN" w:eastAsia="zh-CN"/>
              </w:rPr>
            </w:pPr>
            <w:r>
              <w:rPr>
                <w:rFonts w:hint="eastAsia" w:ascii="Times New Roman" w:hAnsi="Times New Roman" w:eastAsia="宋体" w:cs="Times New Roman"/>
                <w:color w:val="auto"/>
                <w:sz w:val="24"/>
                <w:u w:val="none"/>
                <w:lang w:val="zh-CN" w:eastAsia="zh-CN"/>
              </w:rPr>
              <w:t>A、移动式烟尘净化器工作原理</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eastAsia" w:ascii="Times New Roman" w:hAnsi="Times New Roman" w:eastAsia="宋体" w:cs="Times New Roman"/>
                <w:color w:val="auto"/>
                <w:sz w:val="24"/>
                <w:u w:val="none"/>
                <w:lang w:val="zh-CN" w:eastAsia="zh-CN"/>
              </w:rPr>
              <w:t>移动式除尘器工作原理是含尘气体由风机通过吸尘管吸入箱体，进入滤袋过滤，粉尘颗粒被滤袋阻留在表面，经过过滤的净化气体由出风口排出，可直接排放在室内循环使用，也可根据需要排出室外。整个除尘过滤是一个重力，惯性力，碰撞，静电吸附，筛滤等综合效应的结果。除尘器连续工作一段时间后，滤袋表面的粉尘不断增加，继而进行清灰，粉尘抖落在集尘器（抽屉）中，再由人工进行处理。移动式烟尘净化器结构示意图及过滤原理图见</w:t>
            </w:r>
            <w:r>
              <w:rPr>
                <w:rFonts w:hint="eastAsia" w:ascii="Times New Roman" w:hAnsi="Times New Roman" w:eastAsia="宋体" w:cs="Times New Roman"/>
                <w:color w:val="auto"/>
                <w:sz w:val="24"/>
                <w:u w:val="none"/>
                <w:lang w:val="en-US" w:eastAsia="zh-CN"/>
              </w:rPr>
              <w:t>4-</w:t>
            </w:r>
            <w:r>
              <w:rPr>
                <w:rFonts w:hint="eastAsia" w:ascii="Times New Roman" w:hAnsi="Times New Roman" w:eastAsia="宋体" w:cs="Times New Roman"/>
                <w:color w:val="auto"/>
                <w:sz w:val="24"/>
                <w:u w:val="none"/>
                <w:lang w:val="zh-CN" w:eastAsia="zh-CN"/>
              </w:rPr>
              <w:t>1。</w:t>
            </w:r>
          </w:p>
          <w:p>
            <w:pPr>
              <w:pStyle w:val="68"/>
              <w:spacing w:line="360" w:lineRule="auto"/>
              <w:jc w:val="both"/>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drawing>
                <wp:inline distT="0" distB="0" distL="114300" distR="114300">
                  <wp:extent cx="4857750" cy="2647950"/>
                  <wp:effectExtent l="0" t="0" r="0" b="0"/>
                  <wp:docPr id="22" name="图片 22" descr="1740041303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740041303956"/>
                          <pic:cNvPicPr>
                            <a:picLocks noChangeAspect="1"/>
                          </pic:cNvPicPr>
                        </pic:nvPicPr>
                        <pic:blipFill>
                          <a:blip r:embed="rId17"/>
                          <a:stretch>
                            <a:fillRect/>
                          </a:stretch>
                        </pic:blipFill>
                        <pic:spPr>
                          <a:xfrm>
                            <a:off x="0" y="0"/>
                            <a:ext cx="4857750" cy="2647950"/>
                          </a:xfrm>
                          <a:prstGeom prst="rect">
                            <a:avLst/>
                          </a:prstGeom>
                        </pic:spPr>
                      </pic:pic>
                    </a:graphicData>
                  </a:graphic>
                </wp:inline>
              </w:drawing>
            </w:r>
          </w:p>
          <w:p>
            <w:pPr>
              <w:keepNext w:val="0"/>
              <w:keepLines w:val="0"/>
              <w:widowControl/>
              <w:suppressLineNumbers w:val="0"/>
              <w:ind w:left="0" w:leftChars="0" w:firstLine="0" w:firstLineChars="0"/>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 xml:space="preserve">图 </w:t>
            </w:r>
            <w:r>
              <w:rPr>
                <w:rFonts w:hint="eastAsia" w:ascii="Times New Roman" w:hAnsi="Times New Roman" w:cs="Times New Roman"/>
                <w:b/>
                <w:bCs/>
                <w:color w:val="auto"/>
                <w:kern w:val="2"/>
                <w:sz w:val="21"/>
                <w:szCs w:val="21"/>
                <w:lang w:val="en-US" w:eastAsia="zh-CN" w:bidi="ar-SA"/>
              </w:rPr>
              <w:t>4-2</w:t>
            </w:r>
            <w:r>
              <w:rPr>
                <w:rFonts w:hint="default" w:ascii="Times New Roman" w:hAnsi="Times New Roman" w:eastAsia="宋体" w:cs="Times New Roman"/>
                <w:b/>
                <w:bCs/>
                <w:color w:val="auto"/>
                <w:kern w:val="2"/>
                <w:sz w:val="21"/>
                <w:szCs w:val="21"/>
                <w:lang w:val="en-US" w:eastAsia="zh-CN" w:bidi="ar-SA"/>
              </w:rPr>
              <w:t xml:space="preserve"> </w:t>
            </w:r>
            <w:r>
              <w:rPr>
                <w:rFonts w:hint="eastAsia" w:ascii="Times New Roman" w:hAnsi="Times New Roman" w:eastAsia="宋体" w:cs="Times New Roman"/>
                <w:b/>
                <w:bCs/>
                <w:color w:val="auto"/>
                <w:kern w:val="2"/>
                <w:sz w:val="21"/>
                <w:szCs w:val="21"/>
                <w:lang w:val="en-US" w:eastAsia="zh-CN" w:bidi="ar-SA"/>
              </w:rPr>
              <w:t>移动式烟尘净化器结构示意图及过滤原理图</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B、移动式烟尘净化器的适用范围</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移动式烟尘净化器用于焊接、抛光、切割、打磨等工序中产生烟尘和粉尘的净化以及对稀有金属、贵重物料的回收等，可净化大量悬浮在空气中对人体有害的细小金属颗粒。具有净化效率高、噪声低、使用灵活、占地面积小等特点。适用于电弧焊、二氧化碳保护焊、MAG 焊接、碳弧气刨焊、气熔割、特殊焊接等产生烟气的作业场所。根据</w:t>
            </w:r>
            <w:bookmarkStart w:id="18" w:name="OLE_LINK11"/>
            <w:r>
              <w:rPr>
                <w:rFonts w:hint="default" w:ascii="Times New Roman" w:hAnsi="Times New Roman" w:eastAsia="宋体" w:cs="Times New Roman"/>
                <w:color w:val="auto"/>
                <w:sz w:val="24"/>
                <w:u w:val="none"/>
                <w:lang w:val="en-US" w:eastAsia="zh-CN"/>
              </w:rPr>
              <w:t>移动式烟尘净化器</w:t>
            </w:r>
            <w:bookmarkEnd w:id="18"/>
            <w:r>
              <w:rPr>
                <w:rFonts w:hint="default" w:ascii="Times New Roman" w:hAnsi="Times New Roman" w:eastAsia="宋体" w:cs="Times New Roman"/>
                <w:color w:val="auto"/>
                <w:sz w:val="24"/>
                <w:u w:val="none"/>
                <w:lang w:val="en-US" w:eastAsia="zh-CN"/>
              </w:rPr>
              <w:t>说明书及相关文献中检测报告（如论文：移动式焊接烟尘净化器对焊接烟尘净化效果评价）可知烟尘去除率≥99.5%（本评价保守按90%计）。</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C、移动式烟尘净化器的优缺点</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①可灵活移动于厂房的任意位置，不受发尘点不固定的约束。</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②设备配有万向脚轮，方便设备的定位。</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③在额定处理风量下，烟尘去除率≥99.5%，处理后排出的洁净空气可以直接在车间内循环排放。</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④设备内置自动脉冲清灰装置，保持设备恒定的吸风量，和恒定的净化能力。</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⑤使用万向吸气臂，可在悬停于三维空间的任意位置，360°轻松灵活到达任意方位发尘点，工人可更有效率的工作。</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⑥设备操作简单，容易清理维护。考虑到液化气切割过程产生的切割烟尘主要是颗粒物，且切割作业的灵活性较高。</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综上，切割</w:t>
            </w:r>
            <w:r>
              <w:rPr>
                <w:rFonts w:hint="eastAsia" w:ascii="Times New Roman" w:hAnsi="Times New Roman" w:eastAsia="宋体" w:cs="Times New Roman"/>
                <w:color w:val="auto"/>
                <w:sz w:val="24"/>
                <w:u w:val="none"/>
                <w:lang w:val="en-US" w:eastAsia="zh-CN"/>
              </w:rPr>
              <w:t>、拆解</w:t>
            </w:r>
            <w:r>
              <w:rPr>
                <w:rFonts w:hint="default" w:ascii="Times New Roman" w:hAnsi="Times New Roman" w:eastAsia="宋体" w:cs="Times New Roman"/>
                <w:color w:val="auto"/>
                <w:sz w:val="24"/>
                <w:u w:val="none"/>
                <w:lang w:val="en-US" w:eastAsia="zh-CN"/>
              </w:rPr>
              <w:t>废气采取灵活方便、且废气收集效率高的移动式烟尘净化器是合理、可行的。</w:t>
            </w:r>
          </w:p>
          <w:p>
            <w:pPr>
              <w:keepNext w:val="0"/>
              <w:keepLines w:val="0"/>
              <w:pageBreakBefore w:val="0"/>
              <w:tabs>
                <w:tab w:val="left" w:pos="1020"/>
              </w:tabs>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u w:val="none"/>
                <w:lang w:val="en-US" w:eastAsia="zh-CN"/>
              </w:rPr>
            </w:pPr>
            <w:r>
              <w:rPr>
                <w:rFonts w:hint="eastAsia" w:ascii="Times New Roman" w:hAnsi="Times New Roman" w:eastAsia="宋体" w:cs="Times New Roman"/>
                <w:b/>
                <w:bCs/>
                <w:color w:val="auto"/>
                <w:sz w:val="24"/>
                <w:u w:val="none"/>
                <w:lang w:val="en-US" w:eastAsia="zh-CN"/>
              </w:rPr>
              <w:t>3、</w:t>
            </w:r>
            <w:r>
              <w:rPr>
                <w:rFonts w:hint="default" w:ascii="Times New Roman" w:hAnsi="Times New Roman" w:eastAsia="宋体" w:cs="Times New Roman"/>
                <w:b/>
                <w:bCs/>
                <w:color w:val="auto"/>
                <w:sz w:val="24"/>
                <w:u w:val="none"/>
                <w:lang w:val="en-US" w:eastAsia="zh-CN"/>
              </w:rPr>
              <w:t>大气环境影响评价</w:t>
            </w:r>
          </w:p>
          <w:p>
            <w:pPr>
              <w:keepNext w:val="0"/>
              <w:keepLines w:val="0"/>
              <w:pageBreakBefore w:val="0"/>
              <w:tabs>
                <w:tab w:val="left" w:pos="1020"/>
              </w:tabs>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lang w:val="en-US" w:eastAsia="zh-CN"/>
              </w:rPr>
            </w:pPr>
            <w:r>
              <w:rPr>
                <w:rFonts w:hint="default" w:ascii="Times New Roman" w:hAnsi="Times New Roman" w:eastAsia="宋体" w:cs="Times New Roman"/>
                <w:color w:val="auto"/>
                <w:sz w:val="24"/>
                <w:u w:val="none"/>
                <w:lang w:val="en-US" w:eastAsia="zh-CN"/>
              </w:rPr>
              <w:t>本项目排放的大气污染物为非甲烷总烃和颗粒物，本项目东面、西侧隔道路外为空地，南面隔道路为闲置厂房，北侧为湖南泰晟再生资源利用有限公司。500m评价范围内大气敏感目标为</w:t>
            </w:r>
            <w:r>
              <w:rPr>
                <w:rFonts w:hint="eastAsia" w:ascii="Times New Roman" w:hAnsi="Times New Roman" w:eastAsia="宋体" w:cs="Times New Roman"/>
                <w:color w:val="auto"/>
                <w:sz w:val="24"/>
                <w:u w:val="none"/>
                <w:lang w:val="en-US" w:eastAsia="zh-CN"/>
              </w:rPr>
              <w:t>大勇</w:t>
            </w:r>
            <w:r>
              <w:rPr>
                <w:rFonts w:hint="default" w:ascii="Times New Roman" w:hAnsi="Times New Roman" w:eastAsia="宋体" w:cs="Times New Roman"/>
                <w:color w:val="auto"/>
                <w:sz w:val="24"/>
                <w:u w:val="none"/>
                <w:lang w:val="en-US" w:eastAsia="zh-CN"/>
              </w:rPr>
              <w:t>村居民点</w:t>
            </w:r>
            <w:r>
              <w:rPr>
                <w:rFonts w:hint="eastAsia" w:ascii="Times New Roman" w:hAnsi="Times New Roman" w:eastAsia="宋体" w:cs="Times New Roman"/>
                <w:color w:val="auto"/>
                <w:sz w:val="24"/>
                <w:u w:val="none"/>
                <w:lang w:val="en-US" w:eastAsia="zh-CN"/>
              </w:rPr>
              <w:t>、常角皂组居民点</w:t>
            </w:r>
            <w:r>
              <w:rPr>
                <w:rFonts w:hint="default" w:ascii="Times New Roman" w:hAnsi="Times New Roman" w:eastAsia="宋体" w:cs="Times New Roman"/>
                <w:color w:val="auto"/>
                <w:sz w:val="24"/>
                <w:u w:val="none"/>
                <w:lang w:val="en-US" w:eastAsia="zh-CN"/>
              </w:rPr>
              <w:t>。项目在生产过程中采取合理的环保措施，加强环保管理，可有效的降低本项目大气污染物的排放量，非甲烷总烃和颗粒物均可达标排放，对周边环境影响不大。根据前文分析，项目废气处理后排放可达到《大气污染物综合排放标准》（GB16297-96）表2</w:t>
            </w:r>
            <w:r>
              <w:rPr>
                <w:rFonts w:hint="eastAsia" w:ascii="Times New Roman" w:hAnsi="Times New Roman" w:eastAsia="宋体" w:cs="Times New Roman"/>
                <w:color w:val="auto"/>
                <w:sz w:val="24"/>
                <w:u w:val="none"/>
                <w:lang w:val="en-US" w:eastAsia="zh-CN"/>
              </w:rPr>
              <w:t>中二级标准（非甲烷总烃</w:t>
            </w:r>
            <w:r>
              <w:rPr>
                <w:rFonts w:hint="default" w:ascii="Times New Roman" w:hAnsi="Times New Roman" w:eastAsia="宋体" w:cs="Times New Roman"/>
                <w:color w:val="auto"/>
                <w:sz w:val="24"/>
                <w:u w:val="none"/>
                <w:lang w:val="en-US" w:eastAsia="zh-CN"/>
              </w:rPr>
              <w:t>周界外浓度最高点浓度≤4.0mg/m</w:t>
            </w:r>
            <w:r>
              <w:rPr>
                <w:rFonts w:hint="default" w:ascii="Times New Roman" w:hAnsi="Times New Roman" w:eastAsia="宋体" w:cs="Times New Roman"/>
                <w:color w:val="auto"/>
                <w:sz w:val="24"/>
                <w:u w:val="none"/>
                <w:vertAlign w:val="superscript"/>
                <w:lang w:val="en-US" w:eastAsia="zh-CN"/>
              </w:rPr>
              <w:t>3</w:t>
            </w:r>
            <w:r>
              <w:rPr>
                <w:rFonts w:hint="default" w:ascii="Times New Roman" w:hAnsi="Times New Roman" w:eastAsia="宋体" w:cs="Times New Roman"/>
                <w:color w:val="auto"/>
                <w:sz w:val="24"/>
                <w:u w:val="none"/>
                <w:lang w:val="en-US" w:eastAsia="zh-CN"/>
              </w:rPr>
              <w:t>，颗粒物周界外浓度最高点浓度≤1.0mg/m</w:t>
            </w:r>
            <w:r>
              <w:rPr>
                <w:rFonts w:hint="default" w:ascii="Times New Roman" w:hAnsi="Times New Roman" w:eastAsia="宋体" w:cs="Times New Roman"/>
                <w:color w:val="auto"/>
                <w:sz w:val="24"/>
                <w:u w:val="none"/>
                <w:vertAlign w:val="superscript"/>
                <w:lang w:val="en-US" w:eastAsia="zh-CN"/>
              </w:rPr>
              <w:t>3</w:t>
            </w:r>
            <w:r>
              <w:rPr>
                <w:rFonts w:hint="eastAsia" w:ascii="Times New Roman" w:hAnsi="Times New Roman" w:eastAsia="宋体" w:cs="Times New Roman"/>
                <w:color w:val="auto"/>
                <w:sz w:val="24"/>
                <w:u w:val="none"/>
                <w:lang w:val="en-US" w:eastAsia="zh-CN"/>
              </w:rPr>
              <w:t>），</w:t>
            </w:r>
            <w:r>
              <w:rPr>
                <w:rFonts w:hint="eastAsia" w:ascii="Times New Roman" w:hAnsi="Times New Roman" w:eastAsia="宋体" w:cs="Times New Roman"/>
                <w:color w:val="auto"/>
                <w:kern w:val="0"/>
                <w:sz w:val="24"/>
                <w:u w:val="none"/>
                <w:lang w:val="en-US" w:eastAsia="zh-CN"/>
              </w:rPr>
              <w:t>车间外非甲烷总烃执行</w:t>
            </w:r>
            <w:r>
              <w:rPr>
                <w:rFonts w:hint="default" w:ascii="Times New Roman" w:hAnsi="Times New Roman" w:cs="Times New Roman"/>
                <w:color w:val="auto"/>
                <w:sz w:val="24"/>
                <w:szCs w:val="24"/>
                <w:u w:val="none"/>
              </w:rPr>
              <w:t>《挥发性</w:t>
            </w:r>
            <w:r>
              <w:rPr>
                <w:rFonts w:hint="eastAsia" w:ascii="Times New Roman" w:hAnsi="Times New Roman" w:cs="Times New Roman"/>
                <w:color w:val="auto"/>
                <w:sz w:val="24"/>
                <w:szCs w:val="24"/>
                <w:u w:val="none"/>
                <w:lang w:val="en-US" w:eastAsia="zh-CN"/>
              </w:rPr>
              <w:t>有机物</w:t>
            </w:r>
            <w:r>
              <w:rPr>
                <w:rFonts w:hint="default" w:ascii="Times New Roman" w:hAnsi="Times New Roman" w:cs="Times New Roman"/>
                <w:color w:val="auto"/>
                <w:sz w:val="24"/>
                <w:szCs w:val="24"/>
                <w:u w:val="none"/>
              </w:rPr>
              <w:t>无组织排放控制标准》（GB37822-2019）表A.1标准限值</w:t>
            </w:r>
            <w:r>
              <w:rPr>
                <w:rFonts w:hint="eastAsia" w:ascii="Times New Roman" w:hAnsi="Times New Roman" w:cs="Times New Roman"/>
                <w:color w:val="auto"/>
                <w:sz w:val="24"/>
                <w:szCs w:val="24"/>
                <w:u w:val="none"/>
                <w:lang w:eastAsia="zh-CN"/>
              </w:rPr>
              <w:t>（非甲烷总烃厂房外监控点处</w:t>
            </w:r>
            <w:r>
              <w:rPr>
                <w:rFonts w:hint="eastAsia" w:ascii="Times New Roman" w:hAnsi="Times New Roman" w:cs="Times New Roman"/>
                <w:color w:val="auto"/>
                <w:sz w:val="24"/>
                <w:szCs w:val="24"/>
                <w:u w:val="none"/>
                <w:lang w:val="en-US" w:eastAsia="zh-CN"/>
              </w:rPr>
              <w:t>1h平均浓度值</w:t>
            </w:r>
            <w:r>
              <w:rPr>
                <w:rFonts w:hint="default" w:ascii="Times New Roman" w:hAnsi="Times New Roman" w:eastAsia="宋体" w:cs="Times New Roman"/>
                <w:color w:val="auto"/>
                <w:sz w:val="24"/>
                <w:u w:val="none"/>
                <w:lang w:val="en-US" w:eastAsia="zh-CN"/>
              </w:rPr>
              <w:t>≤10mg/m</w:t>
            </w:r>
            <w:r>
              <w:rPr>
                <w:rFonts w:hint="default" w:ascii="Times New Roman" w:hAnsi="Times New Roman" w:eastAsia="宋体" w:cs="Times New Roman"/>
                <w:color w:val="auto"/>
                <w:sz w:val="24"/>
                <w:u w:val="none"/>
                <w:vertAlign w:val="superscript"/>
                <w:lang w:val="en-US" w:eastAsia="zh-CN"/>
              </w:rPr>
              <w:t>3</w:t>
            </w:r>
            <w:r>
              <w:rPr>
                <w:rFonts w:hint="eastAsia" w:ascii="Times New Roman" w:hAnsi="Times New Roman" w:cs="Times New Roman"/>
                <w:color w:val="auto"/>
                <w:sz w:val="24"/>
                <w:szCs w:val="24"/>
                <w:u w:val="none"/>
                <w:lang w:eastAsia="zh-CN"/>
              </w:rPr>
              <w:t>）</w:t>
            </w:r>
            <w:r>
              <w:rPr>
                <w:rFonts w:hint="eastAsia"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lang w:val="en-US" w:eastAsia="zh-CN"/>
              </w:rPr>
              <w:t>非正常排放会对周边环境产生较大影响，建设单位应定期检修设备，发现废气处理设备故障时，及时停产检修，确保废气处理后达标排放。</w:t>
            </w:r>
          </w:p>
          <w:p>
            <w:pPr>
              <w:pStyle w:val="59"/>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bCs/>
                <w:color w:val="auto"/>
                <w:sz w:val="24"/>
                <w:szCs w:val="24"/>
                <w:u w:val="none"/>
                <w:lang w:eastAsia="zh-CN"/>
              </w:rPr>
            </w:pPr>
            <w:r>
              <w:rPr>
                <w:rFonts w:hint="eastAsia" w:ascii="Times New Roman" w:hAnsi="Times New Roman" w:eastAsia="宋体" w:cs="Times New Roman"/>
                <w:b/>
                <w:bCs/>
                <w:color w:val="auto"/>
                <w:sz w:val="24"/>
                <w:szCs w:val="24"/>
                <w:u w:val="none"/>
                <w:lang w:val="en-US" w:eastAsia="zh-CN"/>
              </w:rPr>
              <w:t>4</w:t>
            </w:r>
            <w:r>
              <w:rPr>
                <w:rFonts w:hint="default" w:ascii="Times New Roman" w:hAnsi="Times New Roman" w:eastAsia="宋体" w:cs="Times New Roman"/>
                <w:b/>
                <w:bCs/>
                <w:color w:val="auto"/>
                <w:sz w:val="24"/>
                <w:szCs w:val="24"/>
                <w:u w:val="none"/>
                <w:lang w:val="en-US" w:eastAsia="zh-CN"/>
              </w:rPr>
              <w:t>、</w:t>
            </w:r>
            <w:r>
              <w:rPr>
                <w:rFonts w:hint="eastAsia" w:ascii="Times New Roman" w:hAnsi="Times New Roman" w:eastAsia="宋体" w:cs="Times New Roman"/>
                <w:b/>
                <w:bCs/>
                <w:color w:val="auto"/>
                <w:sz w:val="24"/>
                <w:szCs w:val="24"/>
                <w:u w:val="none"/>
                <w:lang w:eastAsia="zh-CN"/>
              </w:rPr>
              <w:t>自行</w:t>
            </w:r>
            <w:r>
              <w:rPr>
                <w:rFonts w:hint="default" w:ascii="Times New Roman" w:hAnsi="Times New Roman" w:eastAsia="宋体" w:cs="Times New Roman"/>
                <w:b/>
                <w:bCs/>
                <w:color w:val="auto"/>
                <w:sz w:val="24"/>
                <w:szCs w:val="24"/>
                <w:u w:val="none"/>
              </w:rPr>
              <w:t>监测</w:t>
            </w:r>
            <w:r>
              <w:rPr>
                <w:rFonts w:hint="eastAsia" w:ascii="Times New Roman" w:hAnsi="Times New Roman" w:eastAsia="宋体" w:cs="Times New Roman"/>
                <w:b/>
                <w:bCs/>
                <w:color w:val="auto"/>
                <w:sz w:val="24"/>
                <w:szCs w:val="24"/>
                <w:u w:val="none"/>
                <w:lang w:eastAsia="zh-CN"/>
              </w:rPr>
              <w:t>计划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根据</w:t>
            </w:r>
            <w:r>
              <w:rPr>
                <w:rFonts w:hint="default" w:ascii="Times New Roman" w:hAnsi="Times New Roman" w:eastAsia="宋体" w:cs="Times New Roman"/>
                <w:color w:val="auto"/>
                <w:sz w:val="24"/>
                <w:szCs w:val="24"/>
                <w:u w:val="none"/>
                <w:lang w:eastAsia="zh-CN"/>
              </w:rPr>
              <w:t>《排污许可证申请与核发技术规范</w:t>
            </w:r>
            <w:r>
              <w:rPr>
                <w:rFonts w:hint="default" w:ascii="Times New Roman" w:hAnsi="Times New Roman" w:eastAsia="宋体" w:cs="Times New Roman"/>
                <w:color w:val="auto"/>
                <w:sz w:val="24"/>
                <w:szCs w:val="24"/>
                <w:u w:val="none"/>
                <w:lang w:val="en-US" w:eastAsia="zh-CN"/>
              </w:rPr>
              <w:t xml:space="preserve"> </w:t>
            </w:r>
            <w:r>
              <w:rPr>
                <w:rFonts w:hint="eastAsia" w:ascii="Times New Roman" w:hAnsi="Times New Roman" w:eastAsia="宋体" w:cs="Times New Roman"/>
                <w:color w:val="auto"/>
                <w:sz w:val="24"/>
                <w:szCs w:val="24"/>
                <w:u w:val="none"/>
                <w:lang w:val="en-US" w:eastAsia="zh-CN"/>
              </w:rPr>
              <w:t>废弃资源加工工业</w:t>
            </w:r>
            <w:r>
              <w:rPr>
                <w:rFonts w:hint="default"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val="en-US" w:eastAsia="zh-CN"/>
              </w:rPr>
              <w:t>HJ</w:t>
            </w:r>
            <w:r>
              <w:rPr>
                <w:rFonts w:hint="eastAsia" w:ascii="Times New Roman" w:hAnsi="Times New Roman" w:eastAsia="宋体" w:cs="Times New Roman"/>
                <w:color w:val="auto"/>
                <w:sz w:val="24"/>
                <w:szCs w:val="24"/>
                <w:u w:val="none"/>
                <w:lang w:val="en-US" w:eastAsia="zh-CN"/>
              </w:rPr>
              <w:t xml:space="preserve"> </w:t>
            </w:r>
            <w:r>
              <w:rPr>
                <w:rFonts w:hint="default" w:ascii="Times New Roman" w:hAnsi="Times New Roman" w:eastAsia="宋体" w:cs="Times New Roman"/>
                <w:color w:val="auto"/>
                <w:sz w:val="24"/>
                <w:szCs w:val="24"/>
                <w:u w:val="none"/>
                <w:lang w:val="en-US" w:eastAsia="zh-CN"/>
              </w:rPr>
              <w:t>1</w:t>
            </w:r>
            <w:r>
              <w:rPr>
                <w:rFonts w:hint="eastAsia" w:ascii="Times New Roman" w:hAnsi="Times New Roman" w:eastAsia="宋体" w:cs="Times New Roman"/>
                <w:color w:val="auto"/>
                <w:sz w:val="24"/>
                <w:szCs w:val="24"/>
                <w:u w:val="none"/>
                <w:lang w:val="en-US" w:eastAsia="zh-CN"/>
              </w:rPr>
              <w:t xml:space="preserve">034 </w:t>
            </w:r>
            <w:r>
              <w:rPr>
                <w:rFonts w:hint="default" w:ascii="Times New Roman" w:hAnsi="Times New Roman" w:eastAsia="宋体" w:cs="Times New Roman"/>
                <w:color w:val="auto"/>
                <w:sz w:val="24"/>
                <w:szCs w:val="24"/>
                <w:u w:val="none"/>
                <w:lang w:val="en-US" w:eastAsia="zh-CN"/>
              </w:rPr>
              <w:t>-20</w:t>
            </w:r>
            <w:r>
              <w:rPr>
                <w:rFonts w:hint="eastAsia" w:ascii="Times New Roman" w:hAnsi="Times New Roman" w:eastAsia="宋体" w:cs="Times New Roman"/>
                <w:color w:val="auto"/>
                <w:sz w:val="24"/>
                <w:szCs w:val="24"/>
                <w:u w:val="none"/>
                <w:lang w:val="en-US" w:eastAsia="zh-CN"/>
              </w:rPr>
              <w:t>19</w:t>
            </w:r>
            <w:r>
              <w:rPr>
                <w:rFonts w:hint="default" w:ascii="Times New Roman" w:hAnsi="Times New Roman" w:eastAsia="宋体" w:cs="Times New Roman"/>
                <w:color w:val="auto"/>
                <w:sz w:val="24"/>
                <w:szCs w:val="24"/>
                <w:u w:val="none"/>
                <w:lang w:eastAsia="zh-CN"/>
              </w:rPr>
              <w:t>）</w:t>
            </w:r>
            <w:r>
              <w:rPr>
                <w:rFonts w:hint="eastAsia"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eastAsia="zh-CN"/>
              </w:rPr>
              <w:t>排污许可证申请与核发技术规范</w:t>
            </w:r>
            <w:r>
              <w:rPr>
                <w:rFonts w:hint="eastAsia" w:ascii="Times New Roman" w:hAnsi="Times New Roman" w:eastAsia="宋体" w:cs="Times New Roman"/>
                <w:color w:val="auto"/>
                <w:sz w:val="24"/>
                <w:szCs w:val="24"/>
                <w:u w:val="none"/>
                <w:lang w:val="en-US" w:eastAsia="zh-CN"/>
              </w:rPr>
              <w:t xml:space="preserve"> 总则</w:t>
            </w:r>
            <w:r>
              <w:rPr>
                <w:rFonts w:hint="eastAsia" w:ascii="Times New Roman" w:hAnsi="Times New Roman" w:eastAsia="宋体" w:cs="Times New Roman"/>
                <w:color w:val="auto"/>
                <w:sz w:val="24"/>
                <w:szCs w:val="24"/>
                <w:u w:val="none"/>
                <w:lang w:eastAsia="zh-CN"/>
              </w:rPr>
              <w:t>》</w:t>
            </w:r>
            <w:r>
              <w:rPr>
                <w:rFonts w:hint="eastAsia" w:ascii="Times New Roman" w:hAnsi="Times New Roman" w:eastAsia="宋体" w:cs="Times New Roman"/>
                <w:color w:val="auto"/>
                <w:sz w:val="24"/>
                <w:szCs w:val="24"/>
                <w:u w:val="none"/>
                <w:lang w:val="en-US" w:eastAsia="zh-CN"/>
              </w:rPr>
              <w:t>（HJ 942-2018）</w:t>
            </w:r>
            <w:r>
              <w:rPr>
                <w:rFonts w:hint="default" w:ascii="Times New Roman" w:hAnsi="Times New Roman" w:eastAsia="宋体" w:cs="Times New Roman"/>
                <w:color w:val="auto"/>
                <w:sz w:val="24"/>
                <w:szCs w:val="24"/>
                <w:u w:val="none"/>
              </w:rPr>
              <w:t>要求制定本项目污染源监测计划，具体见表</w:t>
            </w:r>
            <w:r>
              <w:rPr>
                <w:rFonts w:hint="default" w:ascii="Times New Roman" w:hAnsi="Times New Roman" w:eastAsia="宋体" w:cs="Times New Roman"/>
                <w:color w:val="auto"/>
                <w:sz w:val="24"/>
                <w:szCs w:val="24"/>
                <w:u w:val="none"/>
                <w:lang w:eastAsia="zh-CN"/>
              </w:rPr>
              <w:t>下。</w:t>
            </w:r>
          </w:p>
          <w:p>
            <w:pPr>
              <w:pStyle w:val="10"/>
              <w:keepNext w:val="0"/>
              <w:keepLines w:val="0"/>
              <w:pageBreakBefore w:val="0"/>
              <w:widowControl/>
              <w:kinsoku/>
              <w:wordWrap/>
              <w:overflowPunct/>
              <w:topLinePunct w:val="0"/>
              <w:autoSpaceDE/>
              <w:autoSpaceDN/>
              <w:bidi w:val="0"/>
              <w:adjustRightInd/>
              <w:snapToGrid/>
              <w:spacing w:before="0" w:after="0" w:line="360" w:lineRule="auto"/>
              <w:ind w:right="0"/>
              <w:jc w:val="center"/>
              <w:textAlignment w:val="auto"/>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表</w:t>
            </w:r>
            <w:r>
              <w:rPr>
                <w:rFonts w:hint="default" w:ascii="Times New Roman" w:hAnsi="Times New Roman" w:eastAsia="宋体" w:cs="Times New Roman"/>
                <w:b/>
                <w:bCs/>
                <w:color w:val="auto"/>
                <w:sz w:val="21"/>
                <w:szCs w:val="21"/>
                <w:u w:val="none"/>
                <w:lang w:val="en-US" w:eastAsia="zh-CN"/>
              </w:rPr>
              <w:t>4-</w:t>
            </w:r>
            <w:r>
              <w:rPr>
                <w:rFonts w:hint="eastAsia" w:ascii="Times New Roman" w:hAnsi="Times New Roman" w:eastAsia="宋体" w:cs="Times New Roman"/>
                <w:b/>
                <w:bCs/>
                <w:color w:val="auto"/>
                <w:sz w:val="21"/>
                <w:szCs w:val="21"/>
                <w:u w:val="none"/>
                <w:lang w:val="en-US" w:eastAsia="zh-CN"/>
              </w:rPr>
              <w:t>3</w:t>
            </w:r>
            <w:r>
              <w:rPr>
                <w:rFonts w:hint="default" w:ascii="Times New Roman" w:hAnsi="Times New Roman" w:eastAsia="宋体" w:cs="Times New Roman"/>
                <w:b/>
                <w:bCs/>
                <w:color w:val="auto"/>
                <w:sz w:val="21"/>
                <w:szCs w:val="21"/>
                <w:u w:val="none"/>
                <w:lang w:val="en-US" w:eastAsia="zh-CN"/>
              </w:rPr>
              <w:t xml:space="preserve"> </w:t>
            </w:r>
            <w:r>
              <w:rPr>
                <w:rFonts w:hint="default" w:ascii="Times New Roman" w:hAnsi="Times New Roman" w:eastAsia="宋体" w:cs="Times New Roman"/>
                <w:b/>
                <w:bCs/>
                <w:color w:val="auto"/>
                <w:sz w:val="21"/>
                <w:szCs w:val="21"/>
                <w:u w:val="none"/>
              </w:rPr>
              <w:t xml:space="preserve"> </w:t>
            </w:r>
            <w:r>
              <w:rPr>
                <w:rFonts w:hint="default" w:ascii="Times New Roman" w:hAnsi="Times New Roman" w:eastAsia="宋体" w:cs="Times New Roman"/>
                <w:b/>
                <w:bCs/>
                <w:color w:val="auto"/>
                <w:sz w:val="21"/>
                <w:szCs w:val="21"/>
                <w:u w:val="none"/>
                <w:lang w:eastAsia="zh-CN"/>
              </w:rPr>
              <w:t>大气污染物监测计划</w:t>
            </w:r>
          </w:p>
          <w:tbl>
            <w:tblPr>
              <w:tblStyle w:val="25"/>
              <w:tblW w:w="493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035"/>
              <w:gridCol w:w="889"/>
              <w:gridCol w:w="1261"/>
              <w:gridCol w:w="1094"/>
              <w:gridCol w:w="3740"/>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645" w:type="pct"/>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bCs/>
                      <w:color w:val="auto"/>
                      <w:sz w:val="21"/>
                      <w:szCs w:val="21"/>
                      <w:u w:val="wave"/>
                      <w:lang w:eastAsia="zh-CN"/>
                    </w:rPr>
                  </w:pPr>
                  <w:r>
                    <w:rPr>
                      <w:rFonts w:hint="eastAsia" w:cs="Times New Roman"/>
                      <w:b/>
                      <w:bCs/>
                      <w:color w:val="auto"/>
                      <w:sz w:val="21"/>
                      <w:szCs w:val="21"/>
                      <w:u w:val="wave"/>
                      <w:lang w:eastAsia="zh-CN"/>
                    </w:rPr>
                    <w:t>监测内容</w:t>
                  </w:r>
                </w:p>
              </w:tc>
              <w:tc>
                <w:tcPr>
                  <w:tcW w:w="554"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rPr>
                  </w:pPr>
                  <w:r>
                    <w:rPr>
                      <w:rFonts w:hint="default" w:ascii="Times New Roman" w:hAnsi="Times New Roman" w:eastAsia="宋体" w:cs="Times New Roman"/>
                      <w:b/>
                      <w:bCs/>
                      <w:color w:val="auto"/>
                      <w:sz w:val="21"/>
                      <w:szCs w:val="21"/>
                      <w:u w:val="wave"/>
                    </w:rPr>
                    <w:t>监测点位</w:t>
                  </w:r>
                </w:p>
              </w:tc>
              <w:tc>
                <w:tcPr>
                  <w:tcW w:w="78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rPr>
                  </w:pPr>
                  <w:r>
                    <w:rPr>
                      <w:rFonts w:hint="default" w:ascii="Times New Roman" w:hAnsi="Times New Roman" w:eastAsia="宋体" w:cs="Times New Roman"/>
                      <w:b/>
                      <w:bCs/>
                      <w:color w:val="auto"/>
                      <w:sz w:val="21"/>
                      <w:szCs w:val="21"/>
                      <w:u w:val="wave"/>
                    </w:rPr>
                    <w:t>监测指标</w:t>
                  </w:r>
                </w:p>
              </w:tc>
              <w:tc>
                <w:tcPr>
                  <w:tcW w:w="68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rPr>
                  </w:pPr>
                  <w:r>
                    <w:rPr>
                      <w:rFonts w:hint="default" w:ascii="Times New Roman" w:hAnsi="Times New Roman" w:eastAsia="宋体" w:cs="Times New Roman"/>
                      <w:b/>
                      <w:bCs/>
                      <w:color w:val="auto"/>
                      <w:sz w:val="21"/>
                      <w:szCs w:val="21"/>
                      <w:u w:val="wave"/>
                    </w:rPr>
                    <w:t>监测频次</w:t>
                  </w:r>
                </w:p>
              </w:tc>
              <w:tc>
                <w:tcPr>
                  <w:tcW w:w="2331"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rPr>
                  </w:pPr>
                  <w:r>
                    <w:rPr>
                      <w:rFonts w:hint="default" w:ascii="Times New Roman" w:hAnsi="Times New Roman" w:eastAsia="宋体" w:cs="Times New Roman"/>
                      <w:b/>
                      <w:bCs/>
                      <w:color w:val="auto"/>
                      <w:sz w:val="21"/>
                      <w:szCs w:val="21"/>
                      <w:u w:val="wave"/>
                    </w:rPr>
                    <w:t>执行标准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645" w:type="pct"/>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val="0"/>
                      <w:bCs w:val="0"/>
                      <w:color w:val="auto"/>
                      <w:sz w:val="21"/>
                      <w:szCs w:val="21"/>
                      <w:u w:val="wave"/>
                      <w:lang w:eastAsia="zh-CN"/>
                    </w:rPr>
                  </w:pPr>
                  <w:r>
                    <w:rPr>
                      <w:rFonts w:hint="eastAsia" w:cs="Times New Roman"/>
                      <w:b w:val="0"/>
                      <w:bCs w:val="0"/>
                      <w:color w:val="auto"/>
                      <w:sz w:val="21"/>
                      <w:szCs w:val="21"/>
                      <w:u w:val="wave"/>
                      <w:lang w:eastAsia="zh-CN"/>
                    </w:rPr>
                    <w:t>有组织</w:t>
                  </w:r>
                </w:p>
              </w:tc>
              <w:tc>
                <w:tcPr>
                  <w:tcW w:w="554"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lang w:val="en-US" w:eastAsia="zh-CN"/>
                    </w:rPr>
                  </w:pPr>
                  <w:r>
                    <w:rPr>
                      <w:rFonts w:hint="eastAsia" w:cs="Times New Roman"/>
                      <w:b w:val="0"/>
                      <w:bCs w:val="0"/>
                      <w:color w:val="auto"/>
                      <w:sz w:val="21"/>
                      <w:szCs w:val="21"/>
                      <w:u w:val="wave"/>
                      <w:lang w:val="en-US" w:eastAsia="zh-CN"/>
                    </w:rPr>
                    <w:t>DA001排气筒</w:t>
                  </w:r>
                </w:p>
              </w:tc>
              <w:tc>
                <w:tcPr>
                  <w:tcW w:w="78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rPr>
                  </w:pPr>
                  <w:r>
                    <w:rPr>
                      <w:rFonts w:hint="eastAsia" w:ascii="Times New Roman" w:hAnsi="Times New Roman" w:eastAsia="宋体" w:cs="Times New Roman"/>
                      <w:color w:val="auto"/>
                      <w:sz w:val="21"/>
                      <w:szCs w:val="21"/>
                      <w:u w:val="wave"/>
                      <w:lang w:val="en-US" w:eastAsia="zh-CN"/>
                    </w:rPr>
                    <w:t>非甲烷总烃</w:t>
                  </w:r>
                </w:p>
              </w:tc>
              <w:tc>
                <w:tcPr>
                  <w:tcW w:w="68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rPr>
                  </w:pPr>
                  <w:r>
                    <w:rPr>
                      <w:rFonts w:hint="default" w:ascii="Times New Roman" w:hAnsi="Times New Roman" w:eastAsia="宋体" w:cs="Times New Roman"/>
                      <w:color w:val="auto"/>
                      <w:sz w:val="21"/>
                      <w:szCs w:val="21"/>
                      <w:u w:val="wave"/>
                      <w:lang w:val="en-US" w:eastAsia="zh-CN"/>
                    </w:rPr>
                    <w:t>1次/年</w:t>
                  </w:r>
                </w:p>
              </w:tc>
              <w:tc>
                <w:tcPr>
                  <w:tcW w:w="2331"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rPr>
                  </w:pPr>
                  <w:r>
                    <w:rPr>
                      <w:rFonts w:hint="default" w:ascii="Times New Roman" w:hAnsi="Times New Roman" w:eastAsia="宋体" w:cs="Times New Roman"/>
                      <w:b w:val="0"/>
                      <w:bCs w:val="0"/>
                      <w:color w:val="auto"/>
                      <w:sz w:val="21"/>
                      <w:szCs w:val="21"/>
                      <w:u w:val="wave"/>
                    </w:rPr>
                    <w:t>《大气污染物综合排放标准》（GB16297-1996）表2二级标准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645" w:type="pct"/>
                  <w:vMerge w:val="restart"/>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color w:val="auto"/>
                      <w:sz w:val="21"/>
                      <w:szCs w:val="21"/>
                      <w:u w:val="wave"/>
                      <w:lang w:val="en-US" w:eastAsia="zh-CN"/>
                    </w:rPr>
                  </w:pPr>
                  <w:r>
                    <w:rPr>
                      <w:rFonts w:hint="eastAsia" w:cs="Times New Roman"/>
                      <w:color w:val="auto"/>
                      <w:sz w:val="21"/>
                      <w:szCs w:val="21"/>
                      <w:u w:val="wave"/>
                      <w:lang w:val="en-US" w:eastAsia="zh-CN"/>
                    </w:rPr>
                    <w:t>无组织</w:t>
                  </w:r>
                </w:p>
              </w:tc>
              <w:tc>
                <w:tcPr>
                  <w:tcW w:w="554" w:type="pct"/>
                  <w:vMerge w:val="restar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厂界</w:t>
                  </w:r>
                </w:p>
              </w:tc>
              <w:tc>
                <w:tcPr>
                  <w:tcW w:w="78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sz w:val="21"/>
                      <w:szCs w:val="21"/>
                      <w:u w:val="wave"/>
                      <w:lang w:val="en-US" w:eastAsia="zh-CN"/>
                    </w:rPr>
                    <w:t>颗粒物</w:t>
                  </w:r>
                </w:p>
              </w:tc>
              <w:tc>
                <w:tcPr>
                  <w:tcW w:w="68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sz w:val="21"/>
                      <w:szCs w:val="21"/>
                      <w:u w:val="wave"/>
                      <w:lang w:val="en-US" w:eastAsia="zh-CN"/>
                    </w:rPr>
                    <w:t>1次/年</w:t>
                  </w:r>
                </w:p>
              </w:tc>
              <w:tc>
                <w:tcPr>
                  <w:tcW w:w="2331"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eastAsia" w:cs="Times New Roman"/>
                      <w:b w:val="0"/>
                      <w:bCs/>
                      <w:color w:val="auto"/>
                      <w:spacing w:val="-10"/>
                      <w:sz w:val="21"/>
                      <w:szCs w:val="21"/>
                      <w:highlight w:val="none"/>
                      <w:u w:val="wave"/>
                      <w:vertAlign w:val="baseline"/>
                      <w:lang w:val="en-US" w:eastAsia="zh-CN"/>
                    </w:rPr>
                    <w:t>《大气污染物综合排放标准》（GB16297-1996）表 2中无组织排放监控浓度限值</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645" w:type="pct"/>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p>
              </w:tc>
              <w:tc>
                <w:tcPr>
                  <w:tcW w:w="554" w:type="pct"/>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p>
              </w:tc>
              <w:tc>
                <w:tcPr>
                  <w:tcW w:w="78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eastAsia" w:ascii="Times New Roman" w:hAnsi="Times New Roman" w:eastAsia="宋体" w:cs="Times New Roman"/>
                      <w:color w:val="auto"/>
                      <w:sz w:val="21"/>
                      <w:szCs w:val="21"/>
                      <w:u w:val="wave"/>
                      <w:lang w:val="en-US" w:eastAsia="zh-CN"/>
                    </w:rPr>
                    <w:t>非甲烷总烃</w:t>
                  </w:r>
                </w:p>
              </w:tc>
              <w:tc>
                <w:tcPr>
                  <w:tcW w:w="68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default" w:ascii="Times New Roman" w:hAnsi="Times New Roman" w:eastAsia="宋体" w:cs="Times New Roman"/>
                      <w:color w:val="auto"/>
                      <w:sz w:val="21"/>
                      <w:szCs w:val="21"/>
                      <w:u w:val="wave"/>
                      <w:lang w:val="en-US" w:eastAsia="zh-CN"/>
                    </w:rPr>
                    <w:t>1次/年</w:t>
                  </w:r>
                </w:p>
              </w:tc>
              <w:tc>
                <w:tcPr>
                  <w:tcW w:w="2331"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kern w:val="2"/>
                      <w:sz w:val="21"/>
                      <w:szCs w:val="21"/>
                      <w:u w:val="wave"/>
                      <w:lang w:val="en-US" w:eastAsia="zh-CN" w:bidi="ar-SA"/>
                    </w:rPr>
                  </w:pPr>
                  <w:r>
                    <w:rPr>
                      <w:rFonts w:hint="eastAsia"/>
                      <w:color w:val="auto"/>
                      <w:szCs w:val="21"/>
                      <w:highlight w:val="none"/>
                      <w:u w:val="wave"/>
                      <w:lang w:eastAsia="zh-CN"/>
                    </w:rPr>
                    <w:t>《大气污染物综合排放标准》（GB16297-1996）表2二级标准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645" w:type="pct"/>
                  <w:vMerge w:val="continue"/>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color w:val="auto"/>
                      <w:sz w:val="21"/>
                      <w:szCs w:val="21"/>
                      <w:u w:val="wave"/>
                      <w:lang w:val="en-US" w:eastAsia="zh-CN"/>
                    </w:rPr>
                  </w:pPr>
                </w:p>
              </w:tc>
              <w:tc>
                <w:tcPr>
                  <w:tcW w:w="554"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lang w:val="en-US" w:eastAsia="zh-CN"/>
                    </w:rPr>
                  </w:pPr>
                  <w:r>
                    <w:rPr>
                      <w:rFonts w:hint="eastAsia" w:ascii="Times New Roman" w:hAnsi="Times New Roman" w:eastAsia="宋体" w:cs="Times New Roman"/>
                      <w:color w:val="auto"/>
                      <w:sz w:val="21"/>
                      <w:szCs w:val="21"/>
                      <w:u w:val="wave"/>
                      <w:lang w:val="en-US" w:eastAsia="zh-CN"/>
                    </w:rPr>
                    <w:t>车间外</w:t>
                  </w:r>
                </w:p>
              </w:tc>
              <w:tc>
                <w:tcPr>
                  <w:tcW w:w="78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lang w:val="en-US" w:eastAsia="zh-CN"/>
                    </w:rPr>
                  </w:pPr>
                  <w:r>
                    <w:rPr>
                      <w:rFonts w:hint="eastAsia" w:ascii="Times New Roman" w:hAnsi="Times New Roman" w:eastAsia="宋体" w:cs="Times New Roman"/>
                      <w:color w:val="auto"/>
                      <w:sz w:val="21"/>
                      <w:szCs w:val="21"/>
                      <w:u w:val="wave"/>
                      <w:lang w:val="en-US" w:eastAsia="zh-CN"/>
                    </w:rPr>
                    <w:t>非甲烷总烃</w:t>
                  </w:r>
                </w:p>
              </w:tc>
              <w:tc>
                <w:tcPr>
                  <w:tcW w:w="68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rPr>
                  </w:pPr>
                  <w:r>
                    <w:rPr>
                      <w:rFonts w:hint="default" w:ascii="Times New Roman" w:hAnsi="Times New Roman" w:eastAsia="宋体" w:cs="Times New Roman"/>
                      <w:color w:val="auto"/>
                      <w:sz w:val="21"/>
                      <w:szCs w:val="21"/>
                      <w:u w:val="wave"/>
                      <w:lang w:val="en-US" w:eastAsia="zh-CN"/>
                    </w:rPr>
                    <w:t>1次/年</w:t>
                  </w:r>
                </w:p>
              </w:tc>
              <w:tc>
                <w:tcPr>
                  <w:tcW w:w="2331"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rPr>
                  </w:pPr>
                  <w:r>
                    <w:rPr>
                      <w:color w:val="auto"/>
                      <w:szCs w:val="21"/>
                      <w:highlight w:val="none"/>
                      <w:u w:val="wave"/>
                    </w:rPr>
                    <w:t>《挥发性有机物无组织排放控制标准》（GB37822-2019）表A.1厂区内VOC</w:t>
                  </w:r>
                  <w:r>
                    <w:rPr>
                      <w:color w:val="auto"/>
                      <w:szCs w:val="21"/>
                      <w:highlight w:val="none"/>
                      <w:u w:val="wave"/>
                      <w:vertAlign w:val="subscript"/>
                    </w:rPr>
                    <w:t>S</w:t>
                  </w:r>
                  <w:r>
                    <w:rPr>
                      <w:color w:val="auto"/>
                      <w:szCs w:val="21"/>
                      <w:highlight w:val="none"/>
                      <w:u w:val="wave"/>
                    </w:rPr>
                    <w:t>无组织排放限值要求</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562" w:firstLineChars="200"/>
              <w:jc w:val="both"/>
              <w:textAlignment w:val="auto"/>
              <w:rPr>
                <w:rFonts w:hint="default" w:ascii="Times New Roman" w:hAnsi="Times New Roman" w:eastAsia="宋体" w:cs="Times New Roman"/>
                <w:b/>
                <w:bCs/>
                <w:color w:val="auto"/>
                <w:sz w:val="28"/>
                <w:szCs w:val="28"/>
                <w:u w:val="none"/>
                <w:lang w:val="en-US" w:eastAsia="zh-CN"/>
              </w:rPr>
            </w:pPr>
            <w:r>
              <w:rPr>
                <w:rFonts w:hint="default" w:ascii="Times New Roman" w:hAnsi="Times New Roman" w:eastAsia="宋体" w:cs="Times New Roman"/>
                <w:b/>
                <w:bCs/>
                <w:color w:val="auto"/>
                <w:sz w:val="28"/>
                <w:szCs w:val="28"/>
                <w:u w:val="none"/>
                <w:lang w:val="en-US" w:eastAsia="zh-CN"/>
              </w:rPr>
              <w:t>（二）水环境影响和保护措施</w:t>
            </w:r>
          </w:p>
          <w:p>
            <w:pPr>
              <w:pStyle w:val="10"/>
              <w:keepNext w:val="0"/>
              <w:keepLines w:val="0"/>
              <w:pageBreakBefore w:val="0"/>
              <w:kinsoku/>
              <w:wordWrap/>
              <w:overflowPunct/>
              <w:topLinePunct w:val="0"/>
              <w:autoSpaceDE/>
              <w:autoSpaceDN/>
              <w:bidi w:val="0"/>
              <w:adjustRightInd/>
              <w:snapToGrid/>
              <w:spacing w:before="0" w:after="0" w:line="360" w:lineRule="auto"/>
              <w:ind w:right="0" w:firstLine="482" w:firstLineChars="20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1、废水源强核算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ascii="Times New Roman" w:hAnsi="Times New Roman" w:eastAsia="宋体" w:cs="Times New Roman"/>
                <w:b w:val="0"/>
                <w:bCs/>
                <w:color w:val="auto"/>
                <w:sz w:val="24"/>
                <w:szCs w:val="24"/>
                <w:u w:val="none"/>
                <w:lang w:val="en-US" w:eastAsia="zh-CN"/>
              </w:rPr>
              <w:t>（1）生活污水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本项目</w:t>
            </w:r>
            <w:r>
              <w:rPr>
                <w:rFonts w:hint="eastAsia" w:ascii="Times New Roman" w:hAnsi="Times New Roman" w:eastAsia="宋体" w:cs="Times New Roman"/>
                <w:b w:val="0"/>
                <w:bCs/>
                <w:color w:val="auto"/>
                <w:sz w:val="24"/>
                <w:szCs w:val="24"/>
                <w:u w:val="none"/>
                <w:lang w:val="en-US" w:eastAsia="zh-CN"/>
              </w:rPr>
              <w:t>劳动定员10</w:t>
            </w:r>
            <w:r>
              <w:rPr>
                <w:rFonts w:hint="default" w:ascii="Times New Roman" w:hAnsi="Times New Roman" w:eastAsia="宋体" w:cs="Times New Roman"/>
                <w:b w:val="0"/>
                <w:bCs/>
                <w:color w:val="auto"/>
                <w:sz w:val="24"/>
                <w:szCs w:val="24"/>
                <w:u w:val="none"/>
                <w:lang w:val="en-US" w:eastAsia="zh-CN"/>
              </w:rPr>
              <w:t>人，生活污水产生量为</w:t>
            </w:r>
            <w:r>
              <w:rPr>
                <w:rFonts w:hint="eastAsia" w:ascii="Times New Roman" w:hAnsi="Times New Roman" w:eastAsia="宋体" w:cs="Times New Roman"/>
                <w:b w:val="0"/>
                <w:bCs/>
                <w:color w:val="auto"/>
                <w:sz w:val="24"/>
                <w:szCs w:val="24"/>
                <w:u w:val="none"/>
                <w:lang w:val="en-US" w:eastAsia="zh-CN"/>
              </w:rPr>
              <w:t>360</w:t>
            </w:r>
            <w:r>
              <w:rPr>
                <w:rFonts w:hint="default" w:ascii="Times New Roman" w:hAnsi="Times New Roman" w:eastAsia="宋体" w:cs="Times New Roman"/>
                <w:b w:val="0"/>
                <w:bCs/>
                <w:color w:val="auto"/>
                <w:sz w:val="24"/>
                <w:szCs w:val="24"/>
                <w:u w:val="none"/>
                <w:lang w:val="en-US" w:eastAsia="zh-CN"/>
              </w:rPr>
              <w:t>t/a，参考</w:t>
            </w:r>
            <w:bookmarkStart w:id="19" w:name="OLE_LINK12"/>
            <w:r>
              <w:rPr>
                <w:rFonts w:hint="default" w:ascii="Times New Roman" w:hAnsi="Times New Roman" w:eastAsia="宋体" w:cs="Times New Roman"/>
                <w:b w:val="0"/>
                <w:bCs/>
                <w:color w:val="auto"/>
                <w:sz w:val="24"/>
                <w:szCs w:val="24"/>
                <w:u w:val="none"/>
                <w:lang w:val="en-US" w:eastAsia="zh-CN"/>
              </w:rPr>
              <w:t>《给排水设计手册》（第五册城镇排水）典型生活污水水质</w:t>
            </w:r>
            <w:bookmarkEnd w:id="19"/>
            <w:r>
              <w:rPr>
                <w:rFonts w:hint="default" w:ascii="Times New Roman" w:hAnsi="Times New Roman" w:eastAsia="宋体" w:cs="Times New Roman"/>
                <w:b w:val="0"/>
                <w:bCs/>
                <w:color w:val="auto"/>
                <w:sz w:val="24"/>
                <w:szCs w:val="24"/>
                <w:u w:val="none"/>
                <w:lang w:val="en-US" w:eastAsia="zh-CN"/>
              </w:rPr>
              <w:t>，生活污水中各主要污染物浓度为CODcr：400mg/L，BOD</w:t>
            </w:r>
            <w:r>
              <w:rPr>
                <w:rFonts w:hint="default" w:ascii="Times New Roman" w:hAnsi="Times New Roman" w:eastAsia="宋体" w:cs="Times New Roman"/>
                <w:b w:val="0"/>
                <w:bCs/>
                <w:color w:val="auto"/>
                <w:sz w:val="24"/>
                <w:szCs w:val="24"/>
                <w:u w:val="none"/>
                <w:vertAlign w:val="subscript"/>
                <w:lang w:val="en-US" w:eastAsia="zh-CN"/>
              </w:rPr>
              <w:t>5</w:t>
            </w:r>
            <w:r>
              <w:rPr>
                <w:rFonts w:hint="default" w:ascii="Times New Roman" w:hAnsi="Times New Roman" w:eastAsia="宋体" w:cs="Times New Roman"/>
                <w:b w:val="0"/>
                <w:bCs/>
                <w:color w:val="auto"/>
                <w:sz w:val="24"/>
                <w:szCs w:val="24"/>
                <w:u w:val="none"/>
                <w:lang w:val="en-US" w:eastAsia="zh-CN"/>
              </w:rPr>
              <w:t>：2</w:t>
            </w:r>
            <w:r>
              <w:rPr>
                <w:rFonts w:hint="eastAsia" w:ascii="Times New Roman" w:hAnsi="Times New Roman" w:eastAsia="宋体" w:cs="Times New Roman"/>
                <w:b w:val="0"/>
                <w:bCs/>
                <w:color w:val="auto"/>
                <w:sz w:val="24"/>
                <w:szCs w:val="24"/>
                <w:u w:val="none"/>
                <w:lang w:val="en-US" w:eastAsia="zh-CN"/>
              </w:rPr>
              <w:t>2</w:t>
            </w:r>
            <w:r>
              <w:rPr>
                <w:rFonts w:hint="default" w:ascii="Times New Roman" w:hAnsi="Times New Roman" w:eastAsia="宋体" w:cs="Times New Roman"/>
                <w:b w:val="0"/>
                <w:bCs/>
                <w:color w:val="auto"/>
                <w:sz w:val="24"/>
                <w:szCs w:val="24"/>
                <w:u w:val="none"/>
                <w:lang w:val="en-US" w:eastAsia="zh-CN"/>
              </w:rPr>
              <w:t>0mg/L，SS：2</w:t>
            </w:r>
            <w:r>
              <w:rPr>
                <w:rFonts w:hint="eastAsia" w:ascii="Times New Roman" w:hAnsi="Times New Roman" w:eastAsia="宋体" w:cs="Times New Roman"/>
                <w:b w:val="0"/>
                <w:bCs/>
                <w:color w:val="auto"/>
                <w:sz w:val="24"/>
                <w:szCs w:val="24"/>
                <w:u w:val="none"/>
                <w:lang w:val="en-US" w:eastAsia="zh-CN"/>
              </w:rPr>
              <w:t>0</w:t>
            </w:r>
            <w:r>
              <w:rPr>
                <w:rFonts w:hint="default" w:ascii="Times New Roman" w:hAnsi="Times New Roman" w:eastAsia="宋体" w:cs="Times New Roman"/>
                <w:b w:val="0"/>
                <w:bCs/>
                <w:color w:val="auto"/>
                <w:sz w:val="24"/>
                <w:szCs w:val="24"/>
                <w:u w:val="none"/>
                <w:lang w:val="en-US" w:eastAsia="zh-CN"/>
              </w:rPr>
              <w:t>0mg/L，NH</w:t>
            </w:r>
            <w:r>
              <w:rPr>
                <w:rFonts w:hint="default" w:ascii="Times New Roman" w:hAnsi="Times New Roman" w:eastAsia="宋体" w:cs="Times New Roman"/>
                <w:b w:val="0"/>
                <w:bCs/>
                <w:color w:val="auto"/>
                <w:sz w:val="24"/>
                <w:szCs w:val="24"/>
                <w:u w:val="none"/>
                <w:vertAlign w:val="subscript"/>
                <w:lang w:val="en-US" w:eastAsia="zh-CN"/>
              </w:rPr>
              <w:t>3</w:t>
            </w:r>
            <w:r>
              <w:rPr>
                <w:rFonts w:hint="default" w:ascii="Times New Roman" w:hAnsi="Times New Roman" w:eastAsia="宋体" w:cs="Times New Roman"/>
                <w:b w:val="0"/>
                <w:bCs/>
                <w:color w:val="auto"/>
                <w:sz w:val="24"/>
                <w:szCs w:val="24"/>
                <w:u w:val="none"/>
                <w:lang w:val="en-US" w:eastAsia="zh-CN"/>
              </w:rPr>
              <w:t>-N：35mg/L，</w:t>
            </w:r>
            <w:r>
              <w:rPr>
                <w:rFonts w:hint="eastAsia" w:ascii="Times New Roman" w:hAnsi="Times New Roman" w:eastAsia="宋体" w:cs="Times New Roman"/>
                <w:b w:val="0"/>
                <w:bCs/>
                <w:color w:val="auto"/>
                <w:sz w:val="24"/>
                <w:szCs w:val="24"/>
                <w:u w:val="none"/>
                <w:lang w:val="en-US" w:eastAsia="zh-CN"/>
              </w:rPr>
              <w:t>动植物油</w:t>
            </w:r>
            <w:r>
              <w:rPr>
                <w:rFonts w:hint="default" w:ascii="Times New Roman" w:hAnsi="Times New Roman" w:eastAsia="宋体" w:cs="Times New Roman"/>
                <w:b w:val="0"/>
                <w:bCs/>
                <w:color w:val="auto"/>
                <w:sz w:val="24"/>
                <w:szCs w:val="24"/>
                <w:u w:val="none"/>
                <w:lang w:val="en-US" w:eastAsia="zh-CN"/>
              </w:rPr>
              <w:t>：</w:t>
            </w:r>
            <w:r>
              <w:rPr>
                <w:rFonts w:hint="eastAsia" w:ascii="Times New Roman" w:hAnsi="Times New Roman" w:eastAsia="宋体" w:cs="Times New Roman"/>
                <w:b w:val="0"/>
                <w:bCs/>
                <w:color w:val="auto"/>
                <w:sz w:val="24"/>
                <w:szCs w:val="24"/>
                <w:u w:val="none"/>
                <w:lang w:val="en-US" w:eastAsia="zh-CN"/>
              </w:rPr>
              <w:t>25</w:t>
            </w:r>
            <w:r>
              <w:rPr>
                <w:rFonts w:hint="default" w:ascii="Times New Roman" w:hAnsi="Times New Roman" w:eastAsia="宋体" w:cs="Times New Roman"/>
                <w:b w:val="0"/>
                <w:bCs/>
                <w:color w:val="auto"/>
                <w:sz w:val="24"/>
                <w:szCs w:val="24"/>
                <w:u w:val="none"/>
                <w:lang w:val="en-US" w:eastAsia="zh-CN"/>
              </w:rPr>
              <w:t>mg/L。生活污水经化粪池（TW00</w:t>
            </w:r>
            <w:r>
              <w:rPr>
                <w:rFonts w:hint="eastAsia" w:ascii="Times New Roman" w:hAnsi="Times New Roman" w:eastAsia="宋体" w:cs="Times New Roman"/>
                <w:b w:val="0"/>
                <w:bCs/>
                <w:color w:val="auto"/>
                <w:sz w:val="24"/>
                <w:szCs w:val="24"/>
                <w:u w:val="none"/>
                <w:lang w:val="en-US" w:eastAsia="zh-CN"/>
              </w:rPr>
              <w:t>1</w:t>
            </w:r>
            <w:r>
              <w:rPr>
                <w:rFonts w:hint="default" w:ascii="Times New Roman" w:hAnsi="Times New Roman" w:eastAsia="宋体" w:cs="Times New Roman"/>
                <w:b w:val="0"/>
                <w:bCs/>
                <w:color w:val="auto"/>
                <w:sz w:val="24"/>
                <w:szCs w:val="24"/>
                <w:u w:val="none"/>
                <w:lang w:val="en-US" w:eastAsia="zh-CN"/>
              </w:rPr>
              <w:t>）处理</w:t>
            </w:r>
            <w:r>
              <w:rPr>
                <w:rFonts w:hint="eastAsia" w:ascii="Times New Roman" w:hAnsi="Times New Roman" w:eastAsia="宋体" w:cs="Times New Roman"/>
                <w:b w:val="0"/>
                <w:bCs/>
                <w:color w:val="auto"/>
                <w:sz w:val="24"/>
                <w:szCs w:val="24"/>
                <w:u w:val="none"/>
                <w:lang w:val="en-US" w:eastAsia="zh-CN"/>
              </w:rPr>
              <w:t>后，由生活污水排放口（DW001）排入市政管网，纳入</w:t>
            </w:r>
            <w:r>
              <w:rPr>
                <w:rFonts w:hint="default" w:ascii="Times New Roman" w:hAnsi="Times New Roman" w:eastAsia="宋体" w:cs="Times New Roman"/>
                <w:b w:val="0"/>
                <w:bCs/>
                <w:color w:val="auto"/>
                <w:sz w:val="24"/>
                <w:szCs w:val="24"/>
                <w:u w:val="none"/>
                <w:lang w:val="en-US" w:eastAsia="zh-CN"/>
              </w:rPr>
              <w:t>衡阳县西渡高新区污水处理厂</w:t>
            </w:r>
            <w:r>
              <w:rPr>
                <w:rFonts w:hint="eastAsia" w:ascii="Times New Roman" w:hAnsi="Times New Roman" w:eastAsia="宋体" w:cs="Times New Roman"/>
                <w:b w:val="0"/>
                <w:bCs/>
                <w:color w:val="auto"/>
                <w:sz w:val="24"/>
                <w:szCs w:val="24"/>
                <w:u w:val="none"/>
                <w:lang w:val="en-US" w:eastAsia="zh-CN"/>
              </w:rPr>
              <w:t>深度处理，处理达标后外排至蒸水</w:t>
            </w:r>
            <w:r>
              <w:rPr>
                <w:rFonts w:hint="default" w:ascii="Times New Roman" w:hAnsi="Times New Roman" w:eastAsia="宋体" w:cs="Times New Roman"/>
                <w:b w:val="0"/>
                <w:bCs/>
                <w:color w:val="auto"/>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ascii="Times New Roman" w:hAnsi="Times New Roman" w:eastAsia="宋体" w:cs="Times New Roman"/>
                <w:b w:val="0"/>
                <w:bCs/>
                <w:color w:val="auto"/>
                <w:sz w:val="24"/>
                <w:szCs w:val="24"/>
                <w:u w:val="none"/>
                <w:lang w:val="en-US" w:eastAsia="zh-CN"/>
              </w:rPr>
              <w:t>（2）车间地面拖洗废水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none"/>
                <w:lang w:val="en-US" w:eastAsia="zh-CN"/>
              </w:rPr>
              <w:t>为保证车间地面清洁，防止废油液对地面的侵蚀渗透，项目定期对拆解车间和含油零部件仓库地面进行清洁，车间地面在清洁时会产生废水，要求在进行地面冲洗之前，先对地面进行清扫并用抹布擦去地面有明显油渍的地方，以达到有效清洁地面积降低后续废水处理工艺的负荷的目的。车间地面拖洗年</w:t>
            </w:r>
            <w:r>
              <w:rPr>
                <w:rFonts w:hint="eastAsia" w:ascii="Times New Roman" w:hAnsi="Times New Roman" w:eastAsia="宋体" w:cs="Times New Roman"/>
                <w:b w:val="0"/>
                <w:bCs/>
                <w:color w:val="auto"/>
                <w:sz w:val="24"/>
                <w:szCs w:val="24"/>
                <w:u w:val="none"/>
                <w:lang w:val="en-US" w:eastAsia="zh-CN"/>
              </w:rPr>
              <w:t>产生</w:t>
            </w:r>
            <w:r>
              <w:rPr>
                <w:rFonts w:hint="default" w:ascii="Times New Roman" w:hAnsi="Times New Roman" w:eastAsia="宋体" w:cs="Times New Roman"/>
                <w:b w:val="0"/>
                <w:bCs/>
                <w:color w:val="auto"/>
                <w:sz w:val="24"/>
                <w:szCs w:val="24"/>
                <w:u w:val="none"/>
                <w:lang w:val="en-US" w:eastAsia="zh-CN"/>
              </w:rPr>
              <w:t>量</w:t>
            </w:r>
            <w:r>
              <w:rPr>
                <w:rFonts w:hint="eastAsia" w:ascii="Times New Roman" w:hAnsi="Times New Roman" w:eastAsia="宋体" w:cs="Times New Roman"/>
                <w:b w:val="0"/>
                <w:bCs/>
                <w:color w:val="auto"/>
                <w:sz w:val="24"/>
                <w:szCs w:val="24"/>
                <w:u w:val="none"/>
                <w:lang w:val="en-US" w:eastAsia="zh-CN"/>
              </w:rPr>
              <w:t>3699</w:t>
            </w:r>
            <w:r>
              <w:rPr>
                <w:rFonts w:hint="default" w:ascii="Times New Roman" w:hAnsi="Times New Roman" w:eastAsia="宋体" w:cs="Times New Roman"/>
                <w:b w:val="0"/>
                <w:bCs/>
                <w:color w:val="auto"/>
                <w:sz w:val="24"/>
                <w:szCs w:val="24"/>
                <w:u w:val="none"/>
                <w:lang w:val="en-US" w:eastAsia="zh-CN"/>
              </w:rPr>
              <w:t>m</w:t>
            </w:r>
            <w:r>
              <w:rPr>
                <w:rFonts w:hint="default" w:ascii="Times New Roman" w:hAnsi="Times New Roman" w:eastAsia="宋体" w:cs="Times New Roman"/>
                <w:b w:val="0"/>
                <w:bCs/>
                <w:color w:val="auto"/>
                <w:sz w:val="24"/>
                <w:szCs w:val="24"/>
                <w:u w:val="none"/>
                <w:vertAlign w:val="superscript"/>
                <w:lang w:val="en-US" w:eastAsia="zh-CN"/>
              </w:rPr>
              <w:t>3</w:t>
            </w:r>
            <w:r>
              <w:rPr>
                <w:rFonts w:hint="default" w:ascii="Times New Roman" w:hAnsi="Times New Roman" w:eastAsia="宋体" w:cs="Times New Roman"/>
                <w:b w:val="0"/>
                <w:bCs/>
                <w:color w:val="auto"/>
                <w:sz w:val="24"/>
                <w:szCs w:val="24"/>
                <w:u w:val="none"/>
                <w:lang w:val="en-US" w:eastAsia="zh-CN"/>
              </w:rPr>
              <w:t>/a。</w:t>
            </w:r>
            <w:r>
              <w:rPr>
                <w:rFonts w:hint="default" w:ascii="Times New Roman" w:hAnsi="Times New Roman" w:eastAsia="宋体" w:cs="Times New Roman"/>
                <w:b w:val="0"/>
                <w:bCs/>
                <w:color w:val="auto"/>
                <w:sz w:val="24"/>
                <w:szCs w:val="24"/>
                <w:u w:val="wave"/>
                <w:lang w:val="en-US" w:eastAsia="zh-CN"/>
              </w:rPr>
              <w:t>拖洗废水产生源强参考《浅析报废汽车拆解厂废水循环处理技术的应用现状》（陈清后等）的实验水质数据，报废汽车拆解厂的废水水质范围约为COD 283～562mg/L、SS50～73mg/L、石油类130～380mg/L。项目清洗废水水质取其中间值进行核算，则产生浓度分别为423mg/L、62mg/L、255mg/L。具体详见下表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收集的车间地面拖洗废水经过收集</w:t>
            </w:r>
            <w:r>
              <w:rPr>
                <w:rFonts w:hint="eastAsia" w:cs="Times New Roman"/>
                <w:b w:val="0"/>
                <w:bCs/>
                <w:color w:val="auto"/>
                <w:sz w:val="24"/>
                <w:szCs w:val="24"/>
                <w:u w:val="wave"/>
                <w:lang w:val="en-US" w:eastAsia="zh-CN"/>
              </w:rPr>
              <w:t>池</w:t>
            </w:r>
            <w:r>
              <w:rPr>
                <w:rFonts w:hint="default" w:ascii="Times New Roman" w:hAnsi="Times New Roman" w:eastAsia="宋体" w:cs="Times New Roman"/>
                <w:b w:val="0"/>
                <w:bCs/>
                <w:color w:val="auto"/>
                <w:sz w:val="24"/>
                <w:szCs w:val="24"/>
                <w:u w:val="wave"/>
                <w:lang w:val="en-US" w:eastAsia="zh-CN"/>
              </w:rPr>
              <w:t>+</w:t>
            </w:r>
            <w:r>
              <w:rPr>
                <w:rFonts w:hint="eastAsia" w:cs="Times New Roman"/>
                <w:b w:val="0"/>
                <w:bCs/>
                <w:color w:val="auto"/>
                <w:sz w:val="24"/>
                <w:szCs w:val="24"/>
                <w:u w:val="wave"/>
                <w:lang w:val="en-US" w:eastAsia="zh-CN"/>
              </w:rPr>
              <w:t>三级</w:t>
            </w:r>
            <w:r>
              <w:rPr>
                <w:rFonts w:hint="default" w:ascii="Times New Roman" w:hAnsi="Times New Roman" w:eastAsia="宋体" w:cs="Times New Roman"/>
                <w:b w:val="0"/>
                <w:bCs/>
                <w:color w:val="auto"/>
                <w:sz w:val="24"/>
                <w:szCs w:val="24"/>
                <w:u w:val="wave"/>
                <w:lang w:val="en-US" w:eastAsia="zh-CN"/>
              </w:rPr>
              <w:t>隔油</w:t>
            </w:r>
            <w:r>
              <w:rPr>
                <w:rFonts w:hint="eastAsia" w:cs="Times New Roman"/>
                <w:b w:val="0"/>
                <w:bCs/>
                <w:color w:val="auto"/>
                <w:sz w:val="24"/>
                <w:szCs w:val="24"/>
                <w:u w:val="wave"/>
                <w:lang w:val="en-US" w:eastAsia="zh-CN"/>
              </w:rPr>
              <w:t>沉淀池</w:t>
            </w:r>
            <w:r>
              <w:rPr>
                <w:rFonts w:hint="default" w:ascii="Times New Roman" w:hAnsi="Times New Roman" w:eastAsia="宋体" w:cs="Times New Roman"/>
                <w:b w:val="0"/>
                <w:bCs/>
                <w:color w:val="auto"/>
                <w:sz w:val="24"/>
                <w:szCs w:val="24"/>
                <w:u w:val="wave"/>
                <w:lang w:val="en-US" w:eastAsia="zh-CN"/>
              </w:rPr>
              <w:t>+</w:t>
            </w:r>
            <w:r>
              <w:rPr>
                <w:rFonts w:hint="eastAsia" w:cs="Times New Roman"/>
                <w:b w:val="0"/>
                <w:bCs/>
                <w:color w:val="auto"/>
                <w:sz w:val="24"/>
                <w:szCs w:val="24"/>
                <w:u w:val="wave"/>
                <w:lang w:val="en-US" w:eastAsia="zh-CN"/>
              </w:rPr>
              <w:t>高效油水分离设施处理后，通过市政污水管网排入衡阳县西渡高新区污水处理厂深度处理后排入蒸水</w:t>
            </w:r>
            <w:r>
              <w:rPr>
                <w:rFonts w:hint="default" w:ascii="Times New Roman" w:hAnsi="Times New Roman" w:eastAsia="宋体" w:cs="Times New Roman"/>
                <w:b w:val="0"/>
                <w:bCs/>
                <w:color w:val="auto"/>
                <w:sz w:val="24"/>
                <w:szCs w:val="24"/>
                <w:u w:val="wav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ascii="Times New Roman" w:hAnsi="Times New Roman" w:eastAsia="宋体" w:cs="Times New Roman"/>
                <w:b w:val="0"/>
                <w:bCs/>
                <w:color w:val="auto"/>
                <w:sz w:val="24"/>
                <w:szCs w:val="24"/>
                <w:u w:val="none"/>
                <w:lang w:val="en-US" w:eastAsia="zh-CN"/>
              </w:rPr>
              <w:t>（3）初期雨水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ascii="Times New Roman" w:hAnsi="Times New Roman" w:eastAsia="宋体" w:cs="Times New Roman"/>
                <w:b w:val="0"/>
                <w:bCs/>
                <w:color w:val="auto"/>
                <w:sz w:val="24"/>
                <w:szCs w:val="24"/>
                <w:u w:val="none"/>
                <w:lang w:val="en-US" w:eastAsia="zh-CN"/>
              </w:rPr>
              <w:t>初期雨水收集量为2593.52m</w:t>
            </w:r>
            <w:r>
              <w:rPr>
                <w:rFonts w:hint="eastAsia" w:ascii="Times New Roman" w:hAnsi="Times New Roman" w:eastAsia="宋体" w:cs="Times New Roman"/>
                <w:b w:val="0"/>
                <w:bCs/>
                <w:color w:val="auto"/>
                <w:sz w:val="24"/>
                <w:szCs w:val="24"/>
                <w:u w:val="none"/>
                <w:vertAlign w:val="superscript"/>
                <w:lang w:val="en-US" w:eastAsia="zh-CN"/>
              </w:rPr>
              <w:t>3</w:t>
            </w:r>
            <w:r>
              <w:rPr>
                <w:rFonts w:hint="eastAsia" w:ascii="Times New Roman" w:hAnsi="Times New Roman" w:eastAsia="宋体" w:cs="Times New Roman"/>
                <w:b w:val="0"/>
                <w:bCs/>
                <w:color w:val="auto"/>
                <w:sz w:val="24"/>
                <w:szCs w:val="24"/>
                <w:u w:val="none"/>
                <w:lang w:val="en-US" w:eastAsia="zh-CN"/>
              </w:rPr>
              <w:t>/a，初期雨水冲刷主要产生COD、SS、石油类等污染因子，产生浓度一般为250mg/L、500mg/L、110mg/L。SS粒径较大，容易自然沉降，石油类需经高效油水分离设施处理。排水沟末端拟设初期雨水收集池来收集初期雨水，经</w:t>
            </w:r>
            <w:r>
              <w:rPr>
                <w:rFonts w:hint="eastAsia" w:cs="Times New Roman"/>
                <w:b w:val="0"/>
                <w:bCs/>
                <w:color w:val="auto"/>
                <w:sz w:val="24"/>
                <w:szCs w:val="24"/>
                <w:u w:val="none"/>
                <w:lang w:val="en-US" w:eastAsia="zh-CN"/>
              </w:rPr>
              <w:t>初期</w:t>
            </w:r>
            <w:r>
              <w:rPr>
                <w:rFonts w:hint="default" w:ascii="Times New Roman" w:hAnsi="Times New Roman" w:eastAsia="宋体" w:cs="Times New Roman"/>
                <w:b w:val="0"/>
                <w:bCs/>
                <w:color w:val="auto"/>
                <w:sz w:val="24"/>
                <w:szCs w:val="24"/>
                <w:u w:val="wave"/>
                <w:lang w:val="en-US" w:eastAsia="zh-CN"/>
              </w:rPr>
              <w:t>收集</w:t>
            </w:r>
            <w:r>
              <w:rPr>
                <w:rFonts w:hint="eastAsia" w:cs="Times New Roman"/>
                <w:b w:val="0"/>
                <w:bCs/>
                <w:color w:val="auto"/>
                <w:sz w:val="24"/>
                <w:szCs w:val="24"/>
                <w:u w:val="wave"/>
                <w:lang w:val="en-US" w:eastAsia="zh-CN"/>
              </w:rPr>
              <w:t>池</w:t>
            </w:r>
            <w:r>
              <w:rPr>
                <w:rFonts w:hint="default" w:ascii="Times New Roman" w:hAnsi="Times New Roman" w:eastAsia="宋体" w:cs="Times New Roman"/>
                <w:b w:val="0"/>
                <w:bCs/>
                <w:color w:val="auto"/>
                <w:sz w:val="24"/>
                <w:szCs w:val="24"/>
                <w:u w:val="wave"/>
                <w:lang w:val="en-US" w:eastAsia="zh-CN"/>
              </w:rPr>
              <w:t>+</w:t>
            </w:r>
            <w:r>
              <w:rPr>
                <w:rFonts w:hint="eastAsia" w:cs="Times New Roman"/>
                <w:b w:val="0"/>
                <w:bCs/>
                <w:color w:val="auto"/>
                <w:sz w:val="24"/>
                <w:szCs w:val="24"/>
                <w:u w:val="wave"/>
                <w:lang w:val="en-US" w:eastAsia="zh-CN"/>
              </w:rPr>
              <w:t>三级</w:t>
            </w:r>
            <w:r>
              <w:rPr>
                <w:rFonts w:hint="default" w:ascii="Times New Roman" w:hAnsi="Times New Roman" w:eastAsia="宋体" w:cs="Times New Roman"/>
                <w:b w:val="0"/>
                <w:bCs/>
                <w:color w:val="auto"/>
                <w:sz w:val="24"/>
                <w:szCs w:val="24"/>
                <w:u w:val="wave"/>
                <w:lang w:val="en-US" w:eastAsia="zh-CN"/>
              </w:rPr>
              <w:t>隔油</w:t>
            </w:r>
            <w:r>
              <w:rPr>
                <w:rFonts w:hint="eastAsia" w:cs="Times New Roman"/>
                <w:b w:val="0"/>
                <w:bCs/>
                <w:color w:val="auto"/>
                <w:sz w:val="24"/>
                <w:szCs w:val="24"/>
                <w:u w:val="wave"/>
                <w:lang w:val="en-US" w:eastAsia="zh-CN"/>
              </w:rPr>
              <w:t>沉淀池</w:t>
            </w:r>
            <w:r>
              <w:rPr>
                <w:rFonts w:hint="default" w:ascii="Times New Roman" w:hAnsi="Times New Roman" w:eastAsia="宋体" w:cs="Times New Roman"/>
                <w:b w:val="0"/>
                <w:bCs/>
                <w:color w:val="auto"/>
                <w:sz w:val="24"/>
                <w:szCs w:val="24"/>
                <w:u w:val="wave"/>
                <w:lang w:val="en-US" w:eastAsia="zh-CN"/>
              </w:rPr>
              <w:t>+</w:t>
            </w:r>
            <w:r>
              <w:rPr>
                <w:rFonts w:hint="eastAsia" w:cs="Times New Roman"/>
                <w:b w:val="0"/>
                <w:bCs/>
                <w:color w:val="auto"/>
                <w:sz w:val="24"/>
                <w:szCs w:val="24"/>
                <w:u w:val="wave"/>
                <w:lang w:val="en-US" w:eastAsia="zh-CN"/>
              </w:rPr>
              <w:t>高效油水分离设施处理后，通过市政污水管网排入衡阳县西渡高新区污水处理厂深度处理后排入蒸水</w:t>
            </w:r>
            <w:r>
              <w:rPr>
                <w:rFonts w:hint="eastAsia" w:ascii="Times New Roman" w:hAnsi="Times New Roman" w:eastAsia="宋体" w:cs="Times New Roman"/>
                <w:b w:val="0"/>
                <w:bCs/>
                <w:color w:val="auto"/>
                <w:sz w:val="24"/>
                <w:szCs w:val="24"/>
                <w:u w:val="none"/>
                <w:lang w:val="en-US" w:eastAsia="zh-CN"/>
              </w:rPr>
              <w:t>。池体进水口处设三通阀，降雨15min后人工关闭收集池进水口阀门，15min后的雨水径流沿雨水沟通过雨水排放口直接排入园区雨水管网。</w:t>
            </w:r>
          </w:p>
          <w:p>
            <w:pPr>
              <w:pStyle w:val="69"/>
              <w:ind w:firstLine="480"/>
              <w:rPr>
                <w:rFonts w:hint="eastAsia"/>
                <w:color w:val="auto"/>
                <w:sz w:val="24"/>
                <w:u w:val="wave" w:color="auto"/>
                <w:lang w:eastAsia="zh-CN"/>
              </w:rPr>
            </w:pPr>
            <w:r>
              <w:rPr>
                <w:rFonts w:hint="eastAsia"/>
                <w:color w:val="auto"/>
                <w:sz w:val="24"/>
                <w:u w:val="wave" w:color="auto"/>
                <w:lang w:eastAsia="zh-CN"/>
              </w:rPr>
              <w:t>本项目废水源强核算汇总见下表。</w:t>
            </w:r>
          </w:p>
          <w:p>
            <w:pPr>
              <w:pStyle w:val="69"/>
              <w:ind w:left="0" w:leftChars="0" w:firstLine="0" w:firstLineChars="0"/>
              <w:jc w:val="center"/>
              <w:rPr>
                <w:rFonts w:hint="default"/>
                <w:b/>
                <w:bCs/>
                <w:color w:val="auto"/>
                <w:sz w:val="21"/>
                <w:szCs w:val="21"/>
                <w:u w:val="wave" w:color="auto"/>
                <w:lang w:val="en-US" w:eastAsia="zh-CN"/>
              </w:rPr>
            </w:pPr>
            <w:r>
              <w:rPr>
                <w:rFonts w:hint="eastAsia"/>
                <w:b/>
                <w:bCs/>
                <w:color w:val="auto"/>
                <w:sz w:val="21"/>
                <w:szCs w:val="21"/>
                <w:u w:val="wave" w:color="auto"/>
                <w:lang w:val="en-US" w:eastAsia="zh-CN"/>
              </w:rPr>
              <w:t>表4-4 废水污染源源强核算一览表</w:t>
            </w:r>
          </w:p>
          <w:tbl>
            <w:tblPr>
              <w:tblStyle w:val="26"/>
              <w:tblW w:w="501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0"/>
              <w:gridCol w:w="650"/>
              <w:gridCol w:w="765"/>
              <w:gridCol w:w="941"/>
              <w:gridCol w:w="763"/>
              <w:gridCol w:w="698"/>
              <w:gridCol w:w="1278"/>
              <w:gridCol w:w="689"/>
              <w:gridCol w:w="689"/>
              <w:gridCol w:w="613"/>
              <w:gridCol w:w="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序号</w:t>
                  </w:r>
                </w:p>
              </w:tc>
              <w:tc>
                <w:tcPr>
                  <w:tcW w:w="39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产污环节</w:t>
                  </w:r>
                </w:p>
              </w:tc>
              <w:tc>
                <w:tcPr>
                  <w:tcW w:w="47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类别</w:t>
                  </w:r>
                </w:p>
              </w:tc>
              <w:tc>
                <w:tcPr>
                  <w:tcW w:w="578"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污染物种类</w:t>
                  </w:r>
                </w:p>
              </w:tc>
              <w:tc>
                <w:tcPr>
                  <w:tcW w:w="897" w:type="pct"/>
                  <w:gridSpan w:val="2"/>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污染物</w:t>
                  </w:r>
                </w:p>
              </w:tc>
              <w:tc>
                <w:tcPr>
                  <w:tcW w:w="785"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污染治理设施名称</w:t>
                  </w:r>
                </w:p>
              </w:tc>
              <w:tc>
                <w:tcPr>
                  <w:tcW w:w="423"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eastAsia" w:cs="Times New Roman"/>
                      <w:b/>
                      <w:bCs w:val="0"/>
                      <w:color w:val="auto"/>
                      <w:sz w:val="21"/>
                      <w:szCs w:val="21"/>
                      <w:u w:val="wave" w:color="auto"/>
                      <w:lang w:val="en-US" w:eastAsia="zh-CN"/>
                    </w:rPr>
                    <w:t>处理效率</w:t>
                  </w:r>
                </w:p>
              </w:tc>
              <w:tc>
                <w:tcPr>
                  <w:tcW w:w="423"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污染物排放量</w:t>
                  </w:r>
                </w:p>
              </w:tc>
              <w:tc>
                <w:tcPr>
                  <w:tcW w:w="376"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污染物排放浓度</w:t>
                  </w:r>
                </w:p>
              </w:tc>
              <w:tc>
                <w:tcPr>
                  <w:tcW w:w="326"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产生量t/a</w:t>
                  </w:r>
                </w:p>
              </w:tc>
              <w:tc>
                <w:tcPr>
                  <w:tcW w:w="42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浓度mg/L</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76"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26"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W1</w:t>
                  </w:r>
                </w:p>
              </w:tc>
              <w:tc>
                <w:tcPr>
                  <w:tcW w:w="39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员工办公生活</w:t>
                  </w:r>
                </w:p>
              </w:tc>
              <w:tc>
                <w:tcPr>
                  <w:tcW w:w="47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生活污水（19053m3/a）</w:t>
                  </w: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pH</w:t>
                  </w:r>
                </w:p>
              </w:tc>
              <w:tc>
                <w:tcPr>
                  <w:tcW w:w="468" w:type="pc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w:t>
                  </w:r>
                </w:p>
              </w:tc>
              <w:tc>
                <w:tcPr>
                  <w:tcW w:w="428" w:type="pc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6-9</w:t>
                  </w:r>
                </w:p>
              </w:tc>
              <w:tc>
                <w:tcPr>
                  <w:tcW w:w="785"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化粪池（TW001)</w:t>
                  </w: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15%</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6-9</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COD</w:t>
                  </w:r>
                  <w:r>
                    <w:rPr>
                      <w:rFonts w:hint="eastAsia" w:ascii="Times New Roman" w:hAnsi="Times New Roman" w:eastAsia="宋体" w:cs="Times New Roman"/>
                      <w:b w:val="0"/>
                      <w:bCs/>
                      <w:color w:val="auto"/>
                      <w:sz w:val="21"/>
                      <w:szCs w:val="21"/>
                      <w:u w:val="wave" w:color="auto"/>
                      <w:vertAlign w:val="subscript"/>
                      <w:lang w:val="en-US" w:eastAsia="zh-CN"/>
                    </w:rPr>
                    <w:t>C</w:t>
                  </w:r>
                  <w:r>
                    <w:rPr>
                      <w:rFonts w:hint="default" w:ascii="Times New Roman" w:hAnsi="Times New Roman" w:eastAsia="宋体" w:cs="Times New Roman"/>
                      <w:b w:val="0"/>
                      <w:bCs/>
                      <w:color w:val="auto"/>
                      <w:sz w:val="21"/>
                      <w:szCs w:val="21"/>
                      <w:u w:val="wave" w:color="auto"/>
                      <w:vertAlign w:val="subscript"/>
                      <w:lang w:val="en-US" w:eastAsia="zh-CN"/>
                    </w:rPr>
                    <w:t>r</w:t>
                  </w:r>
                </w:p>
              </w:tc>
              <w:tc>
                <w:tcPr>
                  <w:tcW w:w="46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0.144</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400</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10%</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0.122</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340</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BOD</w:t>
                  </w:r>
                  <w:r>
                    <w:rPr>
                      <w:rFonts w:hint="default" w:ascii="Times New Roman" w:hAnsi="Times New Roman" w:eastAsia="宋体" w:cs="Times New Roman"/>
                      <w:b w:val="0"/>
                      <w:bCs/>
                      <w:color w:val="auto"/>
                      <w:sz w:val="21"/>
                      <w:szCs w:val="21"/>
                      <w:u w:val="wave" w:color="auto"/>
                      <w:vertAlign w:val="subscript"/>
                      <w:lang w:val="en-US" w:eastAsia="zh-CN"/>
                    </w:rPr>
                    <w:t>5</w:t>
                  </w:r>
                </w:p>
              </w:tc>
              <w:tc>
                <w:tcPr>
                  <w:tcW w:w="46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0.079</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220</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30%</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0.071</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198</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300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SS</w:t>
                  </w:r>
                </w:p>
              </w:tc>
              <w:tc>
                <w:tcPr>
                  <w:tcW w:w="46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0.072</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200</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20%</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0.050</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140</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NH</w:t>
                  </w:r>
                  <w:r>
                    <w:rPr>
                      <w:rFonts w:hint="default" w:ascii="Times New Roman" w:hAnsi="Times New Roman" w:eastAsia="宋体" w:cs="Times New Roman"/>
                      <w:b w:val="0"/>
                      <w:bCs/>
                      <w:color w:val="auto"/>
                      <w:sz w:val="21"/>
                      <w:szCs w:val="21"/>
                      <w:u w:val="wave" w:color="auto"/>
                      <w:vertAlign w:val="subscript"/>
                      <w:lang w:val="en-US" w:eastAsia="zh-CN"/>
                    </w:rPr>
                    <w:t>3</w:t>
                  </w:r>
                  <w:r>
                    <w:rPr>
                      <w:rFonts w:hint="default" w:ascii="Times New Roman" w:hAnsi="Times New Roman" w:eastAsia="宋体" w:cs="Times New Roman"/>
                      <w:b w:val="0"/>
                      <w:bCs/>
                      <w:color w:val="auto"/>
                      <w:sz w:val="21"/>
                      <w:szCs w:val="21"/>
                      <w:u w:val="wave" w:color="auto"/>
                      <w:lang w:val="en-US" w:eastAsia="zh-CN"/>
                    </w:rPr>
                    <w:t>-N</w:t>
                  </w:r>
                </w:p>
              </w:tc>
              <w:tc>
                <w:tcPr>
                  <w:tcW w:w="46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0.011</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30</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10%</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0.009</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24</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石油类</w:t>
                  </w:r>
                </w:p>
              </w:tc>
              <w:tc>
                <w:tcPr>
                  <w:tcW w:w="46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0.009</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25</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15%</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0.008</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22.5</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W2</w:t>
                  </w:r>
                </w:p>
              </w:tc>
              <w:tc>
                <w:tcPr>
                  <w:tcW w:w="39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地面拖洗</w:t>
                  </w:r>
                </w:p>
              </w:tc>
              <w:tc>
                <w:tcPr>
                  <w:tcW w:w="47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车间地面拖洗废水（3699</w:t>
                  </w:r>
                  <w:r>
                    <w:rPr>
                      <w:rFonts w:hint="default" w:ascii="Times New Roman" w:hAnsi="Times New Roman" w:eastAsia="宋体" w:cs="Times New Roman"/>
                      <w:b w:val="0"/>
                      <w:bCs/>
                      <w:color w:val="auto"/>
                      <w:sz w:val="21"/>
                      <w:szCs w:val="21"/>
                      <w:u w:val="wave" w:color="auto"/>
                      <w:lang w:val="en-US" w:eastAsia="zh-CN"/>
                    </w:rPr>
                    <w:t>m3/a</w:t>
                  </w:r>
                  <w:r>
                    <w:rPr>
                      <w:rFonts w:hint="eastAsia" w:ascii="Times New Roman" w:hAnsi="Times New Roman" w:eastAsia="宋体" w:cs="Times New Roman"/>
                      <w:b w:val="0"/>
                      <w:bCs/>
                      <w:color w:val="auto"/>
                      <w:sz w:val="21"/>
                      <w:szCs w:val="21"/>
                      <w:u w:val="wave" w:color="auto"/>
                      <w:lang w:val="en-US" w:eastAsia="zh-CN"/>
                    </w:rPr>
                    <w:t>）</w:t>
                  </w: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COD</w:t>
                  </w:r>
                  <w:r>
                    <w:rPr>
                      <w:rFonts w:hint="eastAsia" w:ascii="Times New Roman" w:hAnsi="Times New Roman" w:eastAsia="宋体" w:cs="Times New Roman"/>
                      <w:b w:val="0"/>
                      <w:bCs/>
                      <w:color w:val="auto"/>
                      <w:sz w:val="21"/>
                      <w:szCs w:val="21"/>
                      <w:u w:val="wave" w:color="auto"/>
                      <w:vertAlign w:val="subscript"/>
                      <w:lang w:val="en-US" w:eastAsia="zh-CN"/>
                    </w:rPr>
                    <w:t>C</w:t>
                  </w:r>
                  <w:r>
                    <w:rPr>
                      <w:rFonts w:hint="default" w:ascii="Times New Roman" w:hAnsi="Times New Roman" w:eastAsia="宋体" w:cs="Times New Roman"/>
                      <w:b w:val="0"/>
                      <w:bCs/>
                      <w:color w:val="auto"/>
                      <w:sz w:val="21"/>
                      <w:szCs w:val="21"/>
                      <w:u w:val="wave" w:color="auto"/>
                      <w:vertAlign w:val="subscript"/>
                      <w:lang w:val="en-US" w:eastAsia="zh-CN"/>
                    </w:rPr>
                    <w:t>r</w:t>
                  </w:r>
                </w:p>
              </w:tc>
              <w:tc>
                <w:tcPr>
                  <w:tcW w:w="46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1.565</w:t>
                  </w:r>
                </w:p>
              </w:tc>
              <w:tc>
                <w:tcPr>
                  <w:tcW w:w="42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423</w:t>
                  </w:r>
                </w:p>
              </w:tc>
              <w:tc>
                <w:tcPr>
                  <w:tcW w:w="785"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r>
                    <w:rPr>
                      <w:rFonts w:hint="eastAsia" w:cs="Times New Roman"/>
                      <w:b w:val="0"/>
                      <w:bCs/>
                      <w:color w:val="auto"/>
                      <w:sz w:val="21"/>
                      <w:szCs w:val="21"/>
                      <w:u w:val="wave" w:color="auto"/>
                      <w:lang w:val="en-US" w:eastAsia="zh-CN"/>
                    </w:rPr>
                    <w:t>三级隔油沉淀池</w:t>
                  </w:r>
                  <w:r>
                    <w:rPr>
                      <w:rFonts w:hint="eastAsia" w:ascii="Times New Roman" w:hAnsi="Times New Roman" w:eastAsia="宋体" w:cs="Times New Roman"/>
                      <w:b w:val="0"/>
                      <w:bCs/>
                      <w:color w:val="auto"/>
                      <w:sz w:val="21"/>
                      <w:szCs w:val="21"/>
                      <w:u w:val="wave" w:color="auto"/>
                      <w:lang w:val="en-US" w:eastAsia="zh-CN"/>
                    </w:rPr>
                    <w:t>（TW002）</w:t>
                  </w:r>
                  <w:r>
                    <w:rPr>
                      <w:rFonts w:hint="eastAsia" w:cs="Times New Roman"/>
                      <w:b w:val="0"/>
                      <w:bCs/>
                      <w:color w:val="auto"/>
                      <w:sz w:val="21"/>
                      <w:szCs w:val="21"/>
                      <w:u w:val="wave" w:color="auto"/>
                      <w:lang w:val="en-US" w:eastAsia="zh-CN"/>
                    </w:rPr>
                    <w:t>+</w:t>
                  </w:r>
                  <w:r>
                    <w:rPr>
                      <w:rFonts w:hint="eastAsia" w:ascii="Times New Roman" w:hAnsi="Times New Roman" w:eastAsia="宋体" w:cs="Times New Roman"/>
                      <w:b w:val="0"/>
                      <w:bCs/>
                      <w:color w:val="auto"/>
                      <w:sz w:val="21"/>
                      <w:szCs w:val="21"/>
                      <w:u w:val="wave" w:color="auto"/>
                      <w:lang w:val="en-US" w:eastAsia="zh-CN"/>
                    </w:rPr>
                    <w:t>油水分离器</w:t>
                  </w: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25%</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1.174</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317.25</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SS</w:t>
                  </w:r>
                </w:p>
              </w:tc>
              <w:tc>
                <w:tcPr>
                  <w:tcW w:w="46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0.229</w:t>
                  </w:r>
                </w:p>
              </w:tc>
              <w:tc>
                <w:tcPr>
                  <w:tcW w:w="42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62</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70%</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0.069</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18.6</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eastAsia" w:ascii="Times New Roman" w:hAnsi="Times New Roman" w:eastAsia="宋体" w:cs="Times New Roman"/>
                      <w:b w:val="0"/>
                      <w:bCs/>
                      <w:color w:val="auto"/>
                      <w:sz w:val="21"/>
                      <w:szCs w:val="21"/>
                      <w:u w:val="wave" w:color="auto"/>
                      <w:lang w:val="en-US" w:eastAsia="zh-CN"/>
                    </w:rPr>
                    <w:t>石油类</w:t>
                  </w:r>
                </w:p>
              </w:tc>
              <w:tc>
                <w:tcPr>
                  <w:tcW w:w="46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0.943</w:t>
                  </w:r>
                </w:p>
              </w:tc>
              <w:tc>
                <w:tcPr>
                  <w:tcW w:w="42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255</w:t>
                  </w:r>
                </w:p>
              </w:tc>
              <w:tc>
                <w:tcPr>
                  <w:tcW w:w="785"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95%</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0.047</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12.75</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w:t>
                  </w:r>
                </w:p>
              </w:tc>
              <w:tc>
                <w:tcPr>
                  <w:tcW w:w="39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初期雨水</w:t>
                  </w:r>
                </w:p>
              </w:tc>
              <w:tc>
                <w:tcPr>
                  <w:tcW w:w="47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初期雨水（2593.52</w:t>
                  </w:r>
                  <w:r>
                    <w:rPr>
                      <w:rFonts w:hint="default" w:ascii="Times New Roman" w:hAnsi="Times New Roman" w:eastAsia="宋体" w:cs="Times New Roman"/>
                      <w:b w:val="0"/>
                      <w:bCs/>
                      <w:color w:val="auto"/>
                      <w:sz w:val="21"/>
                      <w:szCs w:val="21"/>
                      <w:u w:val="wave" w:color="auto"/>
                      <w:lang w:val="en-US" w:eastAsia="zh-CN"/>
                    </w:rPr>
                    <w:t>m3/a</w:t>
                  </w:r>
                  <w:r>
                    <w:rPr>
                      <w:rFonts w:hint="eastAsia" w:ascii="Times New Roman" w:hAnsi="Times New Roman" w:eastAsia="宋体" w:cs="Times New Roman"/>
                      <w:b w:val="0"/>
                      <w:bCs/>
                      <w:color w:val="auto"/>
                      <w:sz w:val="21"/>
                      <w:szCs w:val="21"/>
                      <w:u w:val="wave" w:color="auto"/>
                      <w:lang w:val="en-US" w:eastAsia="zh-CN"/>
                    </w:rPr>
                    <w:t>）</w:t>
                  </w:r>
                </w:p>
              </w:tc>
              <w:tc>
                <w:tcPr>
                  <w:tcW w:w="578" w:type="pct"/>
                  <w:shd w:val="clear" w:color="auto" w:fill="auto"/>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COD</w:t>
                  </w:r>
                  <w:r>
                    <w:rPr>
                      <w:rFonts w:hint="eastAsia" w:ascii="Times New Roman" w:hAnsi="Times New Roman" w:eastAsia="宋体" w:cs="Times New Roman"/>
                      <w:b w:val="0"/>
                      <w:bCs/>
                      <w:color w:val="auto"/>
                      <w:sz w:val="21"/>
                      <w:szCs w:val="21"/>
                      <w:u w:val="wave" w:color="auto"/>
                      <w:vertAlign w:val="subscript"/>
                      <w:lang w:val="en-US" w:eastAsia="zh-CN"/>
                    </w:rPr>
                    <w:t>C</w:t>
                  </w:r>
                  <w:r>
                    <w:rPr>
                      <w:rFonts w:hint="default" w:ascii="Times New Roman" w:hAnsi="Times New Roman" w:eastAsia="宋体" w:cs="Times New Roman"/>
                      <w:b w:val="0"/>
                      <w:bCs/>
                      <w:color w:val="auto"/>
                      <w:sz w:val="21"/>
                      <w:szCs w:val="21"/>
                      <w:u w:val="wave" w:color="auto"/>
                      <w:vertAlign w:val="subscript"/>
                      <w:lang w:val="en-US" w:eastAsia="zh-CN"/>
                    </w:rPr>
                    <w:t>r</w:t>
                  </w:r>
                </w:p>
              </w:tc>
              <w:tc>
                <w:tcPr>
                  <w:tcW w:w="468" w:type="pct"/>
                  <w:shd w:val="clear" w:color="auto" w:fill="auto"/>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pacing w:val="0"/>
                      <w:kern w:val="2"/>
                      <w:sz w:val="21"/>
                      <w:szCs w:val="21"/>
                      <w:u w:val="wave" w:color="auto"/>
                      <w:vertAlign w:val="baseline"/>
                      <w:lang w:val="en-US" w:eastAsia="zh-CN" w:bidi="ar-SA"/>
                    </w:rPr>
                  </w:pPr>
                  <w:r>
                    <w:rPr>
                      <w:rFonts w:hint="default" w:ascii="Times New Roman" w:hAnsi="Times New Roman" w:eastAsia="宋体" w:cs="Times New Roman"/>
                      <w:i w:val="0"/>
                      <w:iCs w:val="0"/>
                      <w:color w:val="000000"/>
                      <w:kern w:val="0"/>
                      <w:sz w:val="21"/>
                      <w:szCs w:val="21"/>
                      <w:u w:val="wave" w:color="auto"/>
                      <w:lang w:val="en-US" w:eastAsia="zh-CN" w:bidi="ar"/>
                    </w:rPr>
                    <w:t>0.648</w:t>
                  </w:r>
                </w:p>
              </w:tc>
              <w:tc>
                <w:tcPr>
                  <w:tcW w:w="428" w:type="pct"/>
                  <w:shd w:val="clear" w:color="auto" w:fill="auto"/>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pacing w:val="0"/>
                      <w:kern w:val="2"/>
                      <w:sz w:val="21"/>
                      <w:szCs w:val="21"/>
                      <w:u w:val="wave" w:color="auto"/>
                      <w:vertAlign w:val="baseline"/>
                      <w:lang w:val="en-US" w:eastAsia="zh-CN" w:bidi="ar-SA"/>
                    </w:rPr>
                  </w:pPr>
                  <w:r>
                    <w:rPr>
                      <w:rFonts w:hint="default" w:ascii="Times New Roman" w:hAnsi="Times New Roman" w:eastAsia="宋体" w:cs="Times New Roman"/>
                      <w:i w:val="0"/>
                      <w:iCs w:val="0"/>
                      <w:color w:val="000000"/>
                      <w:kern w:val="0"/>
                      <w:sz w:val="21"/>
                      <w:szCs w:val="21"/>
                      <w:u w:val="wave" w:color="auto"/>
                      <w:lang w:val="en-US" w:eastAsia="zh-CN" w:bidi="ar"/>
                    </w:rPr>
                    <w:t>250</w:t>
                  </w:r>
                </w:p>
              </w:tc>
              <w:tc>
                <w:tcPr>
                  <w:tcW w:w="785"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sz w:val="21"/>
                      <w:szCs w:val="21"/>
                      <w:u w:val="wave" w:color="auto"/>
                      <w:lang w:val="en-US" w:eastAsia="zh-CN"/>
                    </w:rPr>
                  </w:pPr>
                  <w:r>
                    <w:rPr>
                      <w:rFonts w:hint="eastAsia" w:cs="Times New Roman"/>
                      <w:b w:val="0"/>
                      <w:bCs/>
                      <w:color w:val="auto"/>
                      <w:sz w:val="21"/>
                      <w:szCs w:val="21"/>
                      <w:u w:val="wave" w:color="auto"/>
                      <w:lang w:val="en-US" w:eastAsia="zh-CN"/>
                    </w:rPr>
                    <w:t>初期</w:t>
                  </w:r>
                  <w:r>
                    <w:rPr>
                      <w:rFonts w:hint="eastAsia" w:ascii="Times New Roman" w:hAnsi="Times New Roman" w:eastAsia="宋体" w:cs="Times New Roman"/>
                      <w:b w:val="0"/>
                      <w:bCs/>
                      <w:color w:val="auto"/>
                      <w:sz w:val="21"/>
                      <w:szCs w:val="21"/>
                      <w:u w:val="wave" w:color="auto"/>
                      <w:lang w:val="en-US" w:eastAsia="zh-CN"/>
                    </w:rPr>
                    <w:t>收集池</w:t>
                  </w:r>
                  <w:r>
                    <w:rPr>
                      <w:rFonts w:hint="eastAsia" w:cs="Times New Roman"/>
                      <w:b w:val="0"/>
                      <w:bCs/>
                      <w:color w:val="auto"/>
                      <w:sz w:val="21"/>
                      <w:szCs w:val="21"/>
                      <w:u w:val="wave" w:color="auto"/>
                      <w:lang w:val="en-US" w:eastAsia="zh-CN"/>
                    </w:rPr>
                    <w:t>+三级隔油沉淀池</w:t>
                  </w:r>
                  <w:r>
                    <w:rPr>
                      <w:rFonts w:hint="eastAsia" w:ascii="Times New Roman" w:hAnsi="Times New Roman" w:eastAsia="宋体" w:cs="Times New Roman"/>
                      <w:b w:val="0"/>
                      <w:bCs/>
                      <w:color w:val="auto"/>
                      <w:sz w:val="21"/>
                      <w:szCs w:val="21"/>
                      <w:u w:val="wave" w:color="auto"/>
                      <w:lang w:val="en-US" w:eastAsia="zh-CN"/>
                    </w:rPr>
                    <w:t>（TW002）</w:t>
                  </w:r>
                  <w:r>
                    <w:rPr>
                      <w:rFonts w:hint="eastAsia" w:cs="Times New Roman"/>
                      <w:b w:val="0"/>
                      <w:bCs/>
                      <w:color w:val="auto"/>
                      <w:sz w:val="21"/>
                      <w:szCs w:val="21"/>
                      <w:u w:val="wave" w:color="auto"/>
                      <w:lang w:val="en-US" w:eastAsia="zh-CN"/>
                    </w:rPr>
                    <w:t>+</w:t>
                  </w:r>
                  <w:r>
                    <w:rPr>
                      <w:rFonts w:hint="eastAsia" w:ascii="Times New Roman" w:hAnsi="Times New Roman" w:eastAsia="宋体" w:cs="Times New Roman"/>
                      <w:b w:val="0"/>
                      <w:bCs/>
                      <w:color w:val="auto"/>
                      <w:sz w:val="21"/>
                      <w:szCs w:val="21"/>
                      <w:u w:val="wave" w:color="auto"/>
                      <w:lang w:val="en-US" w:eastAsia="zh-CN"/>
                    </w:rPr>
                    <w:t>油水分离器</w:t>
                  </w: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25%</w:t>
                  </w: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0.486</w:t>
                  </w:r>
                </w:p>
              </w:tc>
              <w:tc>
                <w:tcPr>
                  <w:tcW w:w="3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187.5</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SS</w:t>
                  </w:r>
                </w:p>
              </w:tc>
              <w:tc>
                <w:tcPr>
                  <w:tcW w:w="46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1.297</w:t>
                  </w:r>
                </w:p>
              </w:tc>
              <w:tc>
                <w:tcPr>
                  <w:tcW w:w="42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500</w:t>
                  </w:r>
                </w:p>
              </w:tc>
              <w:tc>
                <w:tcPr>
                  <w:tcW w:w="785"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color w:val="auto"/>
                      <w:sz w:val="21"/>
                      <w:szCs w:val="21"/>
                      <w:u w:val="wave" w:color="auto"/>
                      <w:vertAlign w:val="baseline"/>
                      <w:lang w:val="en-US" w:eastAsia="zh-CN"/>
                    </w:rPr>
                  </w:pP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70%</w:t>
                  </w: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0.389</w:t>
                  </w:r>
                </w:p>
              </w:tc>
              <w:tc>
                <w:tcPr>
                  <w:tcW w:w="3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150</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31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39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47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578"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eastAsia" w:ascii="Times New Roman" w:hAnsi="Times New Roman" w:eastAsia="宋体" w:cs="Times New Roman"/>
                      <w:b w:val="0"/>
                      <w:bCs/>
                      <w:color w:val="auto"/>
                      <w:sz w:val="21"/>
                      <w:szCs w:val="21"/>
                      <w:u w:val="wave" w:color="auto"/>
                      <w:lang w:val="en-US" w:eastAsia="zh-CN"/>
                    </w:rPr>
                    <w:t>石油类</w:t>
                  </w:r>
                </w:p>
              </w:tc>
              <w:tc>
                <w:tcPr>
                  <w:tcW w:w="46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0.285</w:t>
                  </w:r>
                </w:p>
              </w:tc>
              <w:tc>
                <w:tcPr>
                  <w:tcW w:w="428"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i w:val="0"/>
                      <w:iCs w:val="0"/>
                      <w:color w:val="000000"/>
                      <w:kern w:val="0"/>
                      <w:sz w:val="21"/>
                      <w:szCs w:val="21"/>
                      <w:u w:val="wave" w:color="auto"/>
                      <w:lang w:val="en-US" w:eastAsia="zh-CN" w:bidi="ar"/>
                    </w:rPr>
                    <w:t>110</w:t>
                  </w:r>
                </w:p>
              </w:tc>
              <w:tc>
                <w:tcPr>
                  <w:tcW w:w="785"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eastAsia="宋体" w:cs="Times New Roman"/>
                      <w:color w:val="auto"/>
                      <w:sz w:val="21"/>
                      <w:szCs w:val="21"/>
                      <w:u w:val="wave" w:color="auto"/>
                      <w:vertAlign w:val="baseline"/>
                      <w:lang w:val="en-US" w:eastAsia="zh-CN"/>
                    </w:rPr>
                  </w:pP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95%</w:t>
                  </w:r>
                </w:p>
              </w:tc>
              <w:tc>
                <w:tcPr>
                  <w:tcW w:w="423"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0.014</w:t>
                  </w:r>
                </w:p>
              </w:tc>
              <w:tc>
                <w:tcPr>
                  <w:tcW w:w="376" w:type="pct"/>
                  <w:noWrap w:val="0"/>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1"/>
                      <w:szCs w:val="21"/>
                      <w:u w:val="wave" w:color="auto"/>
                      <w:lang w:val="en-US" w:eastAsia="zh-CN" w:bidi="ar"/>
                    </w:rPr>
                  </w:pPr>
                  <w:r>
                    <w:rPr>
                      <w:rFonts w:hint="default" w:ascii="Times New Roman" w:hAnsi="Times New Roman" w:eastAsia="宋体" w:cs="Times New Roman"/>
                      <w:i w:val="0"/>
                      <w:iCs w:val="0"/>
                      <w:color w:val="000000"/>
                      <w:kern w:val="0"/>
                      <w:sz w:val="21"/>
                      <w:szCs w:val="21"/>
                      <w:u w:val="wave" w:color="auto"/>
                      <w:lang w:val="en-US" w:eastAsia="zh-CN" w:bidi="ar"/>
                    </w:rPr>
                    <w:t>5.5</w:t>
                  </w:r>
                </w:p>
              </w:tc>
              <w:tc>
                <w:tcPr>
                  <w:tcW w:w="3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color="auto"/>
                      <w:lang w:val="en-US" w:eastAsia="zh-CN" w:bidi="ar"/>
                    </w:rPr>
                  </w:pPr>
                  <w:r>
                    <w:rPr>
                      <w:rFonts w:hint="eastAsia" w:ascii="Times New Roman" w:hAnsi="Times New Roman" w:eastAsia="宋体" w:cs="Times New Roman"/>
                      <w:i w:val="0"/>
                      <w:iCs w:val="0"/>
                      <w:color w:val="000000"/>
                      <w:kern w:val="0"/>
                      <w:sz w:val="21"/>
                      <w:szCs w:val="21"/>
                      <w:u w:val="wave" w:color="auto"/>
                      <w:lang w:val="en-US" w:eastAsia="zh-CN" w:bidi="ar"/>
                    </w:rPr>
                    <w:t>20</w:t>
                  </w:r>
                </w:p>
              </w:tc>
            </w:tr>
          </w:tbl>
          <w:p>
            <w:pPr>
              <w:pStyle w:val="68"/>
              <w:keepNext w:val="0"/>
              <w:keepLines w:val="0"/>
              <w:pageBreakBefore w:val="0"/>
              <w:widowControl w:val="0"/>
              <w:kinsoku/>
              <w:wordWrap/>
              <w:overflowPunct/>
              <w:topLinePunct w:val="0"/>
              <w:bidi w:val="0"/>
              <w:adjustRightInd/>
              <w:snapToGrid/>
              <w:spacing w:line="360" w:lineRule="auto"/>
              <w:ind w:leftChars="0" w:firstLine="480" w:firstLineChars="200"/>
              <w:jc w:val="both"/>
              <w:textAlignment w:val="auto"/>
              <w:rPr>
                <w:rFonts w:hint="default" w:ascii="Times New Roman" w:hAnsi="Times New Roman" w:eastAsia="宋体" w:cs="Times New Roman"/>
                <w:b/>
                <w:bCs/>
                <w:color w:val="auto"/>
                <w:sz w:val="24"/>
                <w:szCs w:val="24"/>
                <w:u w:val="wave" w:color="auto"/>
                <w:lang w:val="en-US" w:eastAsia="zh-CN"/>
              </w:rPr>
            </w:pPr>
            <w:r>
              <w:rPr>
                <w:rFonts w:hint="eastAsia"/>
                <w:color w:val="auto"/>
                <w:u w:val="wave" w:color="auto"/>
                <w:lang w:eastAsia="zh-CN"/>
              </w:rPr>
              <w:t>本项目废水排放信息见下表。</w:t>
            </w:r>
          </w:p>
          <w:p>
            <w:pPr>
              <w:pStyle w:val="69"/>
              <w:ind w:left="0" w:leftChars="0" w:firstLine="0" w:firstLineChars="0"/>
              <w:jc w:val="center"/>
              <w:rPr>
                <w:rFonts w:hint="default" w:ascii="Times New Roman" w:hAnsi="Times New Roman" w:cs="Times New Roman"/>
                <w:b/>
                <w:bCs/>
                <w:color w:val="auto"/>
                <w:sz w:val="21"/>
                <w:szCs w:val="21"/>
                <w:u w:val="wave" w:color="auto"/>
                <w:lang w:val="en-US" w:eastAsia="zh-CN"/>
              </w:rPr>
            </w:pPr>
            <w:r>
              <w:rPr>
                <w:rFonts w:hint="default" w:ascii="Times New Roman" w:hAnsi="Times New Roman" w:cs="Times New Roman"/>
                <w:b/>
                <w:bCs/>
                <w:color w:val="auto"/>
                <w:sz w:val="21"/>
                <w:szCs w:val="21"/>
                <w:u w:val="wave" w:color="auto"/>
                <w:lang w:val="en-US" w:eastAsia="zh-CN"/>
              </w:rPr>
              <w:t>表4-</w:t>
            </w:r>
            <w:r>
              <w:rPr>
                <w:rFonts w:hint="eastAsia" w:ascii="Times New Roman" w:hAnsi="Times New Roman" w:cs="Times New Roman"/>
                <w:b/>
                <w:bCs/>
                <w:color w:val="auto"/>
                <w:sz w:val="21"/>
                <w:szCs w:val="21"/>
                <w:u w:val="wave" w:color="auto"/>
                <w:lang w:val="en-US" w:eastAsia="zh-CN"/>
              </w:rPr>
              <w:t xml:space="preserve">5 </w:t>
            </w:r>
            <w:r>
              <w:rPr>
                <w:rFonts w:hint="default" w:ascii="Times New Roman" w:hAnsi="Times New Roman" w:cs="Times New Roman"/>
                <w:b/>
                <w:bCs/>
                <w:color w:val="auto"/>
                <w:sz w:val="21"/>
                <w:szCs w:val="21"/>
                <w:u w:val="wave" w:color="auto"/>
                <w:lang w:val="en-US" w:eastAsia="zh-CN"/>
              </w:rPr>
              <w:t xml:space="preserve"> 废水排放信息一览表</w:t>
            </w:r>
          </w:p>
          <w:tbl>
            <w:tblPr>
              <w:tblStyle w:val="26"/>
              <w:tblW w:w="8058" w:type="dxa"/>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8"/>
              <w:gridCol w:w="742"/>
              <w:gridCol w:w="977"/>
              <w:gridCol w:w="636"/>
              <w:gridCol w:w="786"/>
              <w:gridCol w:w="826"/>
              <w:gridCol w:w="773"/>
              <w:gridCol w:w="951"/>
              <w:gridCol w:w="677"/>
              <w:gridCol w:w="9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43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产污环节</w:t>
                  </w:r>
                </w:p>
              </w:tc>
              <w:tc>
                <w:tcPr>
                  <w:tcW w:w="46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类别</w:t>
                  </w:r>
                </w:p>
              </w:tc>
              <w:tc>
                <w:tcPr>
                  <w:tcW w:w="606"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污染物种类</w:t>
                  </w:r>
                </w:p>
              </w:tc>
              <w:tc>
                <w:tcPr>
                  <w:tcW w:w="394"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排放方式</w:t>
                  </w:r>
                </w:p>
              </w:tc>
              <w:tc>
                <w:tcPr>
                  <w:tcW w:w="487"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排放去向</w:t>
                  </w:r>
                </w:p>
              </w:tc>
              <w:tc>
                <w:tcPr>
                  <w:tcW w:w="512"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排放规律</w:t>
                  </w:r>
                </w:p>
              </w:tc>
              <w:tc>
                <w:tcPr>
                  <w:tcW w:w="2099" w:type="pct"/>
                  <w:gridSpan w:val="4"/>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firstLine="0" w:firstLineChars="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排放口基本情况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394"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p>
              </w:tc>
              <w:tc>
                <w:tcPr>
                  <w:tcW w:w="487"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编号</w:t>
                  </w:r>
                </w:p>
              </w:tc>
              <w:tc>
                <w:tcPr>
                  <w:tcW w:w="590"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名称</w:t>
                  </w:r>
                </w:p>
              </w:tc>
              <w:tc>
                <w:tcPr>
                  <w:tcW w:w="420"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类型</w:t>
                  </w:r>
                </w:p>
              </w:tc>
              <w:tc>
                <w:tcPr>
                  <w:tcW w:w="609"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bCs w:val="0"/>
                      <w:color w:val="auto"/>
                      <w:sz w:val="21"/>
                      <w:szCs w:val="21"/>
                      <w:u w:val="wave" w:color="auto"/>
                      <w:lang w:val="en-US" w:eastAsia="zh-CN"/>
                    </w:rPr>
                  </w:pPr>
                  <w:r>
                    <w:rPr>
                      <w:rFonts w:hint="default" w:ascii="Times New Roman" w:hAnsi="Times New Roman" w:eastAsia="宋体" w:cs="Times New Roman"/>
                      <w:b/>
                      <w:bCs w:val="0"/>
                      <w:color w:val="auto"/>
                      <w:sz w:val="21"/>
                      <w:szCs w:val="21"/>
                      <w:u w:val="wave" w:color="auto"/>
                      <w:lang w:val="en-US" w:eastAsia="zh-CN"/>
                    </w:rPr>
                    <w:t>坐标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restart"/>
                  <w:noWrap w:val="0"/>
                  <w:vAlign w:val="center"/>
                </w:tcPr>
                <w:p>
                  <w:pPr>
                    <w:pStyle w:val="10"/>
                    <w:keepNext w:val="0"/>
                    <w:keepLines w:val="0"/>
                    <w:pageBreakBefore w:val="0"/>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员工生活</w:t>
                  </w:r>
                </w:p>
              </w:tc>
              <w:tc>
                <w:tcPr>
                  <w:tcW w:w="460" w:type="pct"/>
                  <w:vMerge w:val="restart"/>
                  <w:noWrap w:val="0"/>
                  <w:vAlign w:val="center"/>
                </w:tcPr>
                <w:p>
                  <w:pPr>
                    <w:pStyle w:val="10"/>
                    <w:keepNext w:val="0"/>
                    <w:keepLines w:val="0"/>
                    <w:pageBreakBefore w:val="0"/>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生活污水</w:t>
                  </w: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eastAsia" w:ascii="Times New Roman" w:hAnsi="Times New Roman" w:eastAsia="宋体" w:cs="Times New Roman"/>
                      <w:b w:val="0"/>
                      <w:bCs/>
                      <w:color w:val="auto"/>
                      <w:kern w:val="0"/>
                      <w:sz w:val="21"/>
                      <w:szCs w:val="21"/>
                      <w:u w:val="wave" w:color="auto"/>
                      <w:lang w:val="en-US" w:eastAsia="zh-CN" w:bidi="ar-SA"/>
                    </w:rPr>
                    <w:t>pH</w:t>
                  </w:r>
                </w:p>
              </w:tc>
              <w:tc>
                <w:tcPr>
                  <w:tcW w:w="394" w:type="pct"/>
                  <w:vMerge w:val="restar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kern w:val="0"/>
                      <w:sz w:val="21"/>
                      <w:szCs w:val="21"/>
                      <w:u w:val="wave" w:color="auto"/>
                      <w:lang w:val="en-US" w:eastAsia="zh-CN" w:bidi="ar-SA"/>
                    </w:rPr>
                    <w:t>间接排放</w:t>
                  </w:r>
                </w:p>
              </w:tc>
              <w:tc>
                <w:tcPr>
                  <w:tcW w:w="487" w:type="pct"/>
                  <w:vMerge w:val="restar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cs="Times New Roman"/>
                      <w:color w:val="auto"/>
                      <w:sz w:val="21"/>
                      <w:szCs w:val="21"/>
                      <w:u w:val="wave" w:color="auto"/>
                      <w:lang w:eastAsia="zh-CN"/>
                    </w:rPr>
                    <w:t>衡阳西渡高新区污水处理厂</w:t>
                  </w:r>
                </w:p>
              </w:tc>
              <w:tc>
                <w:tcPr>
                  <w:tcW w:w="512"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间接排放，排放流量不稳定，有周</w:t>
                  </w:r>
                </w:p>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期性规律，不属于冲击型排放</w:t>
                  </w:r>
                </w:p>
              </w:tc>
              <w:tc>
                <w:tcPr>
                  <w:tcW w:w="479" w:type="pct"/>
                  <w:vMerge w:val="restar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r>
                    <w:rPr>
                      <w:rFonts w:hint="default" w:ascii="Times New Roman" w:hAnsi="Times New Roman" w:cs="Times New Roman"/>
                      <w:color w:val="auto"/>
                      <w:spacing w:val="0"/>
                      <w:kern w:val="2"/>
                      <w:sz w:val="21"/>
                      <w:szCs w:val="21"/>
                      <w:u w:val="wave" w:color="auto"/>
                      <w:vertAlign w:val="baseline"/>
                      <w:lang w:val="en-US" w:eastAsia="zh-CN" w:bidi="ar-SA"/>
                    </w:rPr>
                    <w:t>DW001</w:t>
                  </w:r>
                </w:p>
              </w:tc>
              <w:tc>
                <w:tcPr>
                  <w:tcW w:w="590" w:type="pct"/>
                  <w:vMerge w:val="restar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r>
                    <w:rPr>
                      <w:rFonts w:hint="eastAsia" w:ascii="Times New Roman" w:hAnsi="Times New Roman" w:cs="Times New Roman"/>
                      <w:color w:val="auto"/>
                      <w:spacing w:val="0"/>
                      <w:kern w:val="2"/>
                      <w:sz w:val="21"/>
                      <w:szCs w:val="21"/>
                      <w:u w:val="wave" w:color="auto"/>
                      <w:vertAlign w:val="baseline"/>
                      <w:lang w:val="en-US" w:eastAsia="zh-CN" w:bidi="ar-SA"/>
                    </w:rPr>
                    <w:t>生活污水</w:t>
                  </w:r>
                  <w:r>
                    <w:rPr>
                      <w:rFonts w:hint="default" w:ascii="Times New Roman" w:hAnsi="Times New Roman" w:cs="Times New Roman"/>
                      <w:color w:val="auto"/>
                      <w:spacing w:val="0"/>
                      <w:kern w:val="2"/>
                      <w:sz w:val="21"/>
                      <w:szCs w:val="21"/>
                      <w:u w:val="wave" w:color="auto"/>
                      <w:vertAlign w:val="baseline"/>
                      <w:lang w:val="en-US" w:eastAsia="zh-CN" w:bidi="ar-SA"/>
                    </w:rPr>
                    <w:t>排放口</w:t>
                  </w:r>
                </w:p>
              </w:tc>
              <w:tc>
                <w:tcPr>
                  <w:tcW w:w="420" w:type="pct"/>
                  <w:vMerge w:val="restart"/>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r>
                    <w:rPr>
                      <w:rFonts w:hint="eastAsia" w:ascii="Times New Roman" w:hAnsi="Times New Roman" w:cs="Times New Roman"/>
                      <w:color w:val="auto"/>
                      <w:sz w:val="21"/>
                      <w:szCs w:val="21"/>
                      <w:u w:val="wave" w:color="auto"/>
                      <w:vertAlign w:val="baseline"/>
                      <w:lang w:val="en-US" w:eastAsia="zh-CN"/>
                    </w:rPr>
                    <w:t>-</w:t>
                  </w:r>
                </w:p>
              </w:tc>
              <w:tc>
                <w:tcPr>
                  <w:tcW w:w="60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112.</w:t>
                  </w:r>
                  <w:r>
                    <w:rPr>
                      <w:rFonts w:hint="eastAsia" w:ascii="Times New Roman" w:hAnsi="Times New Roman" w:eastAsia="宋体" w:cs="Times New Roman"/>
                      <w:b w:val="0"/>
                      <w:bCs/>
                      <w:color w:val="auto"/>
                      <w:sz w:val="21"/>
                      <w:szCs w:val="21"/>
                      <w:u w:val="wave" w:color="auto"/>
                      <w:lang w:val="en-US" w:eastAsia="zh-CN"/>
                    </w:rPr>
                    <w:t>455343</w:t>
                  </w:r>
                  <w:r>
                    <w:rPr>
                      <w:rFonts w:hint="default" w:ascii="Times New Roman" w:hAnsi="Times New Roman" w:eastAsia="宋体" w:cs="Times New Roman"/>
                      <w:b w:val="0"/>
                      <w:bCs/>
                      <w:color w:val="auto"/>
                      <w:sz w:val="21"/>
                      <w:szCs w:val="21"/>
                      <w:u w:val="wave" w:color="auto"/>
                      <w:lang w:val="en-US" w:eastAsia="zh-CN"/>
                    </w:rPr>
                    <w:t>°E</w:t>
                  </w:r>
                </w:p>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26.</w:t>
                  </w:r>
                  <w:r>
                    <w:rPr>
                      <w:rFonts w:hint="eastAsia" w:ascii="Times New Roman" w:hAnsi="Times New Roman" w:eastAsia="宋体" w:cs="Times New Roman"/>
                      <w:b w:val="0"/>
                      <w:bCs/>
                      <w:color w:val="auto"/>
                      <w:sz w:val="21"/>
                      <w:szCs w:val="21"/>
                      <w:u w:val="wave" w:color="auto"/>
                      <w:lang w:val="en-US" w:eastAsia="zh-CN"/>
                    </w:rPr>
                    <w:t>943319</w:t>
                  </w:r>
                  <w:r>
                    <w:rPr>
                      <w:rFonts w:hint="default" w:ascii="Times New Roman" w:hAnsi="Times New Roman" w:eastAsia="宋体" w:cs="Times New Roman"/>
                      <w:b w:val="0"/>
                      <w:bCs/>
                      <w:color w:val="auto"/>
                      <w:sz w:val="21"/>
                      <w:szCs w:val="21"/>
                      <w:u w:val="wave" w:color="auto"/>
                      <w:lang w:val="en-US" w:eastAsia="zh-CN"/>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kinsoku/>
                    <w:wordWrap/>
                    <w:overflowPunct/>
                    <w:topLinePunct w:val="0"/>
                    <w:autoSpaceDE/>
                    <w:autoSpaceDN/>
                    <w:bidi w:val="0"/>
                    <w:adjustRightInd/>
                    <w:spacing w:before="0" w:after="0" w:line="240" w:lineRule="auto"/>
                    <w:ind w:right="0"/>
                    <w:jc w:val="center"/>
                    <w:textAlignment w:val="auto"/>
                    <w:rPr>
                      <w:rFonts w:hint="eastAsia" w:ascii="Times New Roman" w:hAnsi="Times New Roman" w:eastAsia="宋体" w:cs="Times New Roman"/>
                      <w:b w:val="0"/>
                      <w:bCs/>
                      <w:color w:val="auto"/>
                      <w:sz w:val="21"/>
                      <w:szCs w:val="21"/>
                      <w:u w:val="wave" w:color="auto"/>
                      <w:lang w:val="en-US" w:eastAsia="zh-CN"/>
                    </w:rPr>
                  </w:pP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CODcr</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lang w:eastAsia="zh-CN"/>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BOD</w:t>
                  </w:r>
                  <w:r>
                    <w:rPr>
                      <w:rFonts w:hint="default" w:ascii="Times New Roman" w:hAnsi="Times New Roman" w:eastAsia="宋体" w:cs="Times New Roman"/>
                      <w:b w:val="0"/>
                      <w:bCs/>
                      <w:color w:val="auto"/>
                      <w:sz w:val="21"/>
                      <w:szCs w:val="21"/>
                      <w:u w:val="wave" w:color="auto"/>
                      <w:vertAlign w:val="subscript"/>
                      <w:lang w:val="en-US" w:eastAsia="zh-CN"/>
                    </w:rPr>
                    <w:t>5</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SS</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NH</w:t>
                  </w:r>
                  <w:r>
                    <w:rPr>
                      <w:rFonts w:hint="default" w:ascii="Times New Roman" w:hAnsi="Times New Roman" w:eastAsia="宋体" w:cs="Times New Roman"/>
                      <w:b w:val="0"/>
                      <w:bCs/>
                      <w:color w:val="auto"/>
                      <w:sz w:val="21"/>
                      <w:szCs w:val="21"/>
                      <w:u w:val="wave" w:color="auto"/>
                      <w:vertAlign w:val="subscript"/>
                      <w:lang w:val="en-US" w:eastAsia="zh-CN"/>
                    </w:rPr>
                    <w:t>3</w:t>
                  </w:r>
                  <w:r>
                    <w:rPr>
                      <w:rFonts w:hint="default" w:ascii="Times New Roman" w:hAnsi="Times New Roman" w:eastAsia="宋体" w:cs="Times New Roman"/>
                      <w:b w:val="0"/>
                      <w:bCs/>
                      <w:color w:val="auto"/>
                      <w:sz w:val="21"/>
                      <w:szCs w:val="21"/>
                      <w:u w:val="wave" w:color="auto"/>
                      <w:lang w:val="en-US" w:eastAsia="zh-CN"/>
                    </w:rPr>
                    <w:t>-N</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动植物油</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生产</w:t>
                  </w:r>
                </w:p>
              </w:tc>
              <w:tc>
                <w:tcPr>
                  <w:tcW w:w="46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车间地面拖洗废水</w:t>
                  </w: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COD</w:t>
                  </w:r>
                  <w:r>
                    <w:rPr>
                      <w:rFonts w:hint="eastAsia" w:ascii="Times New Roman" w:hAnsi="Times New Roman" w:eastAsia="宋体" w:cs="Times New Roman"/>
                      <w:b w:val="0"/>
                      <w:bCs/>
                      <w:color w:val="auto"/>
                      <w:sz w:val="21"/>
                      <w:szCs w:val="21"/>
                      <w:u w:val="wave" w:color="auto"/>
                      <w:vertAlign w:val="subscript"/>
                      <w:lang w:val="en-US" w:eastAsia="zh-CN"/>
                    </w:rPr>
                    <w:t>C</w:t>
                  </w:r>
                  <w:r>
                    <w:rPr>
                      <w:rFonts w:hint="default" w:ascii="Times New Roman" w:hAnsi="Times New Roman" w:eastAsia="宋体" w:cs="Times New Roman"/>
                      <w:b w:val="0"/>
                      <w:bCs/>
                      <w:color w:val="auto"/>
                      <w:sz w:val="21"/>
                      <w:szCs w:val="21"/>
                      <w:u w:val="wave" w:color="auto"/>
                      <w:vertAlign w:val="subscript"/>
                      <w:lang w:val="en-US" w:eastAsia="zh-CN"/>
                    </w:rPr>
                    <w:t>r</w:t>
                  </w:r>
                </w:p>
              </w:tc>
              <w:tc>
                <w:tcPr>
                  <w:tcW w:w="394" w:type="pct"/>
                  <w:vMerge w:val="continue"/>
                  <w:shd w:val="clear" w:color="auto" w:fill="auto"/>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spacing w:val="0"/>
                      <w:kern w:val="2"/>
                      <w:sz w:val="21"/>
                      <w:szCs w:val="21"/>
                      <w:u w:val="wave" w:color="auto"/>
                      <w:lang w:val="en-US" w:eastAsia="zh-CN" w:bidi="ar-SA"/>
                    </w:rPr>
                  </w:pPr>
                </w:p>
              </w:tc>
              <w:tc>
                <w:tcPr>
                  <w:tcW w:w="487" w:type="pct"/>
                  <w:vMerge w:val="continue"/>
                  <w:shd w:val="clear" w:color="auto" w:fill="auto"/>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spacing w:val="0"/>
                      <w:kern w:val="0"/>
                      <w:sz w:val="21"/>
                      <w:szCs w:val="21"/>
                      <w:u w:val="wave" w:color="auto"/>
                      <w:lang w:val="en-US" w:eastAsia="zh-CN" w:bidi="ar-SA"/>
                    </w:rPr>
                  </w:pPr>
                </w:p>
              </w:tc>
              <w:tc>
                <w:tcPr>
                  <w:tcW w:w="512" w:type="pct"/>
                  <w:vMerge w:val="continue"/>
                  <w:shd w:val="clear" w:color="auto" w:fill="auto"/>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79" w:type="pct"/>
                  <w:vMerge w:val="restart"/>
                  <w:shd w:val="clear" w:color="auto" w:fill="auto"/>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spacing w:val="0"/>
                      <w:kern w:val="2"/>
                      <w:sz w:val="21"/>
                      <w:szCs w:val="21"/>
                      <w:u w:val="wave" w:color="auto"/>
                      <w:vertAlign w:val="baseline"/>
                      <w:lang w:val="en-US" w:eastAsia="zh-CN" w:bidi="ar-SA"/>
                    </w:rPr>
                  </w:pPr>
                  <w:r>
                    <w:rPr>
                      <w:rFonts w:hint="default" w:ascii="Times New Roman" w:hAnsi="Times New Roman" w:cs="Times New Roman"/>
                      <w:color w:val="auto"/>
                      <w:spacing w:val="0"/>
                      <w:kern w:val="2"/>
                      <w:sz w:val="21"/>
                      <w:szCs w:val="21"/>
                      <w:u w:val="wave" w:color="auto"/>
                      <w:vertAlign w:val="baseline"/>
                      <w:lang w:val="en-US" w:eastAsia="zh-CN" w:bidi="ar-SA"/>
                    </w:rPr>
                    <w:t>DW00</w:t>
                  </w:r>
                  <w:r>
                    <w:rPr>
                      <w:rFonts w:hint="eastAsia" w:ascii="Times New Roman" w:hAnsi="Times New Roman" w:cs="Times New Roman"/>
                      <w:color w:val="auto"/>
                      <w:spacing w:val="0"/>
                      <w:kern w:val="2"/>
                      <w:sz w:val="21"/>
                      <w:szCs w:val="21"/>
                      <w:u w:val="wave" w:color="auto"/>
                      <w:vertAlign w:val="baseline"/>
                      <w:lang w:val="en-US" w:eastAsia="zh-CN" w:bidi="ar-SA"/>
                    </w:rPr>
                    <w:t>2</w:t>
                  </w:r>
                </w:p>
              </w:tc>
              <w:tc>
                <w:tcPr>
                  <w:tcW w:w="590" w:type="pct"/>
                  <w:vMerge w:val="restart"/>
                  <w:shd w:val="clear" w:color="auto" w:fill="auto"/>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spacing w:val="0"/>
                      <w:kern w:val="2"/>
                      <w:sz w:val="21"/>
                      <w:szCs w:val="21"/>
                      <w:u w:val="wave" w:color="auto"/>
                      <w:vertAlign w:val="baseline"/>
                      <w:lang w:val="en-US" w:eastAsia="zh-CN" w:bidi="ar-SA"/>
                    </w:rPr>
                  </w:pPr>
                  <w:r>
                    <w:rPr>
                      <w:rFonts w:hint="eastAsia" w:ascii="Times New Roman" w:hAnsi="Times New Roman" w:cs="Times New Roman"/>
                      <w:color w:val="auto"/>
                      <w:spacing w:val="0"/>
                      <w:kern w:val="2"/>
                      <w:sz w:val="21"/>
                      <w:szCs w:val="21"/>
                      <w:u w:val="wave" w:color="auto"/>
                      <w:vertAlign w:val="baseline"/>
                      <w:lang w:val="en-US" w:eastAsia="zh-CN" w:bidi="ar-SA"/>
                    </w:rPr>
                    <w:t>生产废水</w:t>
                  </w:r>
                  <w:r>
                    <w:rPr>
                      <w:rFonts w:hint="default" w:ascii="Times New Roman" w:hAnsi="Times New Roman" w:cs="Times New Roman"/>
                      <w:color w:val="auto"/>
                      <w:spacing w:val="0"/>
                      <w:kern w:val="2"/>
                      <w:sz w:val="21"/>
                      <w:szCs w:val="21"/>
                      <w:u w:val="wave" w:color="auto"/>
                      <w:vertAlign w:val="baseline"/>
                      <w:lang w:val="en-US" w:eastAsia="zh-CN" w:bidi="ar-SA"/>
                    </w:rPr>
                    <w:t>排放口</w:t>
                  </w:r>
                </w:p>
              </w:tc>
              <w:tc>
                <w:tcPr>
                  <w:tcW w:w="420" w:type="pct"/>
                  <w:vMerge w:val="restart"/>
                  <w:shd w:val="clear" w:color="auto" w:fill="auto"/>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auto"/>
                      <w:spacing w:val="0"/>
                      <w:kern w:val="2"/>
                      <w:sz w:val="21"/>
                      <w:szCs w:val="21"/>
                      <w:u w:val="wave" w:color="auto"/>
                      <w:vertAlign w:val="baseline"/>
                      <w:lang w:val="en-US" w:eastAsia="zh-CN" w:bidi="ar-SA"/>
                    </w:rPr>
                  </w:pPr>
                  <w:r>
                    <w:rPr>
                      <w:rFonts w:hint="eastAsia" w:ascii="Times New Roman" w:hAnsi="Times New Roman" w:cs="Times New Roman"/>
                      <w:color w:val="auto"/>
                      <w:sz w:val="21"/>
                      <w:szCs w:val="21"/>
                      <w:u w:val="wave" w:color="auto"/>
                      <w:vertAlign w:val="baseline"/>
                      <w:lang w:val="en-US" w:eastAsia="zh-CN"/>
                    </w:rPr>
                    <w:t>-</w:t>
                  </w:r>
                </w:p>
              </w:tc>
              <w:tc>
                <w:tcPr>
                  <w:tcW w:w="609" w:type="pct"/>
                  <w:vMerge w:val="restart"/>
                  <w:shd w:val="clear" w:color="auto" w:fill="auto"/>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default" w:ascii="Times New Roman" w:hAnsi="Times New Roman" w:eastAsia="宋体" w:cs="Times New Roman"/>
                      <w:b w:val="0"/>
                      <w:bCs/>
                      <w:color w:val="auto"/>
                      <w:sz w:val="21"/>
                      <w:szCs w:val="21"/>
                      <w:u w:val="wave" w:color="auto"/>
                      <w:lang w:val="en-US" w:eastAsia="zh-CN"/>
                    </w:rPr>
                    <w:t>112.</w:t>
                  </w:r>
                  <w:r>
                    <w:rPr>
                      <w:rFonts w:hint="eastAsia" w:ascii="Times New Roman" w:hAnsi="Times New Roman" w:cs="Times New Roman"/>
                      <w:b w:val="0"/>
                      <w:bCs/>
                      <w:color w:val="auto"/>
                      <w:sz w:val="21"/>
                      <w:szCs w:val="21"/>
                      <w:u w:val="wave" w:color="auto"/>
                      <w:lang w:val="en-US" w:eastAsia="zh-CN"/>
                    </w:rPr>
                    <w:t>454648</w:t>
                  </w:r>
                  <w:r>
                    <w:rPr>
                      <w:rFonts w:hint="default" w:ascii="Times New Roman" w:hAnsi="Times New Roman" w:eastAsia="宋体" w:cs="Times New Roman"/>
                      <w:b w:val="0"/>
                      <w:bCs/>
                      <w:color w:val="auto"/>
                      <w:sz w:val="21"/>
                      <w:szCs w:val="21"/>
                      <w:u w:val="wave" w:color="auto"/>
                      <w:lang w:val="en-US" w:eastAsia="zh-CN"/>
                    </w:rPr>
                    <w:t>°E</w:t>
                  </w:r>
                </w:p>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26.</w:t>
                  </w:r>
                  <w:r>
                    <w:rPr>
                      <w:rFonts w:hint="eastAsia" w:ascii="Times New Roman" w:hAnsi="Times New Roman" w:cs="Times New Roman"/>
                      <w:b w:val="0"/>
                      <w:bCs/>
                      <w:color w:val="auto"/>
                      <w:sz w:val="21"/>
                      <w:szCs w:val="21"/>
                      <w:u w:val="wave" w:color="auto"/>
                      <w:lang w:val="en-US" w:eastAsia="zh-CN"/>
                    </w:rPr>
                    <w:t>946358</w:t>
                  </w:r>
                  <w:r>
                    <w:rPr>
                      <w:rFonts w:hint="default" w:ascii="Times New Roman" w:hAnsi="Times New Roman" w:eastAsia="宋体" w:cs="Times New Roman"/>
                      <w:b w:val="0"/>
                      <w:bCs/>
                      <w:color w:val="auto"/>
                      <w:sz w:val="21"/>
                      <w:szCs w:val="21"/>
                      <w:u w:val="wave" w:color="auto"/>
                      <w:lang w:val="en-US" w:eastAsia="zh-CN"/>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shd w:val="clear" w:color="auto" w:fill="auto"/>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SS</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r>
                    <w:rPr>
                      <w:rFonts w:hint="eastAsia" w:ascii="Times New Roman" w:hAnsi="Times New Roman" w:eastAsia="宋体" w:cs="Times New Roman"/>
                      <w:b w:val="0"/>
                      <w:bCs/>
                      <w:color w:val="auto"/>
                      <w:sz w:val="21"/>
                      <w:szCs w:val="21"/>
                      <w:u w:val="wave" w:color="auto"/>
                      <w:lang w:val="en-US" w:eastAsia="zh-CN"/>
                    </w:rPr>
                    <w:t>石油类</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雨水</w:t>
                  </w:r>
                </w:p>
              </w:tc>
              <w:tc>
                <w:tcPr>
                  <w:tcW w:w="460" w:type="pct"/>
                  <w:vMerge w:val="restart"/>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r>
                    <w:rPr>
                      <w:rFonts w:hint="eastAsia" w:ascii="Times New Roman" w:hAnsi="Times New Roman" w:eastAsia="宋体" w:cs="Times New Roman"/>
                      <w:b w:val="0"/>
                      <w:bCs/>
                      <w:color w:val="auto"/>
                      <w:sz w:val="21"/>
                      <w:szCs w:val="21"/>
                      <w:u w:val="wave" w:color="auto"/>
                      <w:lang w:val="en-US" w:eastAsia="zh-CN"/>
                    </w:rPr>
                    <w:t>初期雨水</w:t>
                  </w:r>
                </w:p>
              </w:tc>
              <w:tc>
                <w:tcPr>
                  <w:tcW w:w="606" w:type="pct"/>
                  <w:shd w:val="clear" w:color="auto" w:fill="auto"/>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COD</w:t>
                  </w:r>
                  <w:r>
                    <w:rPr>
                      <w:rFonts w:hint="eastAsia" w:ascii="Times New Roman" w:hAnsi="Times New Roman" w:eastAsia="宋体" w:cs="Times New Roman"/>
                      <w:b w:val="0"/>
                      <w:bCs/>
                      <w:color w:val="auto"/>
                      <w:sz w:val="21"/>
                      <w:szCs w:val="21"/>
                      <w:u w:val="wave" w:color="auto"/>
                      <w:vertAlign w:val="subscript"/>
                      <w:lang w:val="en-US" w:eastAsia="zh-CN"/>
                    </w:rPr>
                    <w:t>C</w:t>
                  </w:r>
                  <w:r>
                    <w:rPr>
                      <w:rFonts w:hint="default" w:ascii="Times New Roman" w:hAnsi="Times New Roman" w:eastAsia="宋体" w:cs="Times New Roman"/>
                      <w:b w:val="0"/>
                      <w:bCs/>
                      <w:color w:val="auto"/>
                      <w:sz w:val="21"/>
                      <w:szCs w:val="21"/>
                      <w:u w:val="wave" w:color="auto"/>
                      <w:vertAlign w:val="subscript"/>
                      <w:lang w:val="en-US" w:eastAsia="zh-CN"/>
                    </w:rPr>
                    <w:t>r</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shd w:val="clear" w:color="auto" w:fill="auto"/>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kern w:val="0"/>
                      <w:sz w:val="21"/>
                      <w:szCs w:val="21"/>
                      <w:u w:val="wave" w:color="auto"/>
                      <w:lang w:val="en-US" w:eastAsia="zh-CN" w:bidi="ar-SA"/>
                    </w:rPr>
                  </w:pPr>
                  <w:r>
                    <w:rPr>
                      <w:rFonts w:hint="default" w:ascii="Times New Roman" w:hAnsi="Times New Roman" w:eastAsia="宋体" w:cs="Times New Roman"/>
                      <w:b w:val="0"/>
                      <w:bCs/>
                      <w:color w:val="auto"/>
                      <w:sz w:val="21"/>
                      <w:szCs w:val="21"/>
                      <w:u w:val="wave" w:color="auto"/>
                      <w:lang w:val="en-US" w:eastAsia="zh-CN"/>
                    </w:rPr>
                    <w:t>SS</w:t>
                  </w:r>
                </w:p>
              </w:tc>
              <w:tc>
                <w:tcPr>
                  <w:tcW w:w="394"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noWrap w:val="0"/>
                  <w:vAlign w:val="center"/>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noWrap w:val="0"/>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39" w:type="pct"/>
                  <w:vMerge w:val="continue"/>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60" w:type="pct"/>
                  <w:vMerge w:val="continue"/>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606" w:type="pct"/>
                  <w:shd w:val="clear" w:color="auto" w:fill="auto"/>
                  <w:vAlign w:val="center"/>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color w:val="auto"/>
                      <w:kern w:val="0"/>
                      <w:sz w:val="21"/>
                      <w:szCs w:val="21"/>
                      <w:u w:val="wave" w:color="auto"/>
                      <w:lang w:val="en-US" w:eastAsia="zh-CN" w:bidi="ar-SA"/>
                    </w:rPr>
                  </w:pPr>
                  <w:r>
                    <w:rPr>
                      <w:rFonts w:hint="eastAsia" w:ascii="Times New Roman" w:hAnsi="Times New Roman" w:eastAsia="宋体" w:cs="Times New Roman"/>
                      <w:b w:val="0"/>
                      <w:bCs/>
                      <w:color w:val="auto"/>
                      <w:sz w:val="21"/>
                      <w:szCs w:val="21"/>
                      <w:u w:val="wave" w:color="auto"/>
                      <w:lang w:val="en-US" w:eastAsia="zh-CN"/>
                    </w:rPr>
                    <w:t>石油类</w:t>
                  </w:r>
                </w:p>
              </w:tc>
              <w:tc>
                <w:tcPr>
                  <w:tcW w:w="394" w:type="pct"/>
                  <w:vMerge w:val="continue"/>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487" w:type="pct"/>
                  <w:vMerge w:val="continue"/>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b w:val="0"/>
                      <w:bCs/>
                      <w:color w:val="auto"/>
                      <w:kern w:val="0"/>
                      <w:sz w:val="21"/>
                      <w:szCs w:val="21"/>
                      <w:u w:val="wave" w:color="auto"/>
                      <w:lang w:val="en-US" w:eastAsia="zh-CN" w:bidi="ar-SA"/>
                    </w:rPr>
                  </w:pPr>
                </w:p>
              </w:tc>
              <w:tc>
                <w:tcPr>
                  <w:tcW w:w="512" w:type="pct"/>
                  <w:vMerge w:val="continue"/>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c>
                <w:tcPr>
                  <w:tcW w:w="479" w:type="pct"/>
                  <w:vMerge w:val="continue"/>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590" w:type="pct"/>
                  <w:vMerge w:val="continue"/>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pacing w:val="0"/>
                      <w:kern w:val="2"/>
                      <w:sz w:val="21"/>
                      <w:szCs w:val="21"/>
                      <w:u w:val="wave" w:color="auto"/>
                      <w:vertAlign w:val="baseline"/>
                      <w:lang w:val="en-US" w:eastAsia="zh-CN" w:bidi="ar-SA"/>
                    </w:rPr>
                  </w:pPr>
                </w:p>
              </w:tc>
              <w:tc>
                <w:tcPr>
                  <w:tcW w:w="420" w:type="pct"/>
                  <w:vMerge w:val="continue"/>
                </w:tcPr>
                <w:p>
                  <w:pPr>
                    <w:pStyle w:val="69"/>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cs="Times New Roman"/>
                      <w:color w:val="auto"/>
                      <w:sz w:val="21"/>
                      <w:szCs w:val="21"/>
                      <w:u w:val="wave" w:color="auto"/>
                      <w:vertAlign w:val="baseline"/>
                      <w:lang w:val="en-US" w:eastAsia="zh-CN"/>
                    </w:rPr>
                  </w:pPr>
                </w:p>
              </w:tc>
              <w:tc>
                <w:tcPr>
                  <w:tcW w:w="609" w:type="pct"/>
                  <w:vMerge w:val="continue"/>
                </w:tcPr>
                <w:p>
                  <w:pPr>
                    <w:pStyle w:val="10"/>
                    <w:keepNext w:val="0"/>
                    <w:keepLines w:val="0"/>
                    <w:pageBreakBefore w:val="0"/>
                    <w:numPr>
                      <w:ilvl w:val="0"/>
                      <w:numId w:val="0"/>
                    </w:numPr>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b w:val="0"/>
                      <w:bCs/>
                      <w:color w:val="auto"/>
                      <w:sz w:val="21"/>
                      <w:szCs w:val="21"/>
                      <w:u w:val="wave" w:color="auto"/>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val="0"/>
                <w:color w:val="auto"/>
                <w:sz w:val="24"/>
                <w:szCs w:val="24"/>
                <w:u w:val="wave" w:color="auto"/>
                <w:lang w:val="en-US" w:eastAsia="zh-CN"/>
              </w:rPr>
            </w:pPr>
            <w:r>
              <w:rPr>
                <w:rFonts w:hint="eastAsia" w:ascii="Times New Roman" w:hAnsi="Times New Roman" w:eastAsia="宋体" w:cs="Times New Roman"/>
                <w:b/>
                <w:bCs w:val="0"/>
                <w:color w:val="auto"/>
                <w:sz w:val="24"/>
                <w:szCs w:val="24"/>
                <w:u w:val="wave" w:color="auto"/>
                <w:lang w:val="en-US" w:eastAsia="zh-CN"/>
              </w:rPr>
              <w:t>2.4污染物排放量核算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color w:val="auto"/>
                <w:sz w:val="24"/>
                <w:szCs w:val="24"/>
                <w:u w:val="none"/>
                <w:lang w:val="en-US" w:eastAsia="zh-CN"/>
              </w:rPr>
            </w:pPr>
            <w:r>
              <w:rPr>
                <w:rFonts w:hint="eastAsia" w:ascii="Times New Roman" w:hAnsi="Times New Roman" w:eastAsia="宋体" w:cs="Times New Roman"/>
                <w:b w:val="0"/>
                <w:bCs/>
                <w:color w:val="auto"/>
                <w:sz w:val="24"/>
                <w:szCs w:val="24"/>
                <w:u w:val="none"/>
                <w:lang w:val="en-US" w:eastAsia="zh-CN"/>
              </w:rPr>
              <w:t>本项目废水经厂区内污水处理设施处置后能够达到衡阳西渡高新区污水处理厂进水水质标准。根据《环境影响评价技术导则 地表水环境》（HJ 2.3-2018）：间接排放建设项目污染源排放量核算根据依托污水处理设施的控制要求核算确定。项目废水最终纳入衡阳西渡高新区污水处理厂处置，则项目废水污染排放量按照《城镇污水处理厂污染物排放标准》（GB18918-2002）一级A标准进行核算。详见表4-6。</w:t>
            </w:r>
          </w:p>
          <w:p>
            <w:pPr>
              <w:pStyle w:val="69"/>
              <w:ind w:left="0" w:leftChars="0" w:firstLine="0" w:firstLineChars="0"/>
              <w:jc w:val="center"/>
              <w:rPr>
                <w:rFonts w:hint="eastAsia" w:ascii="Times New Roman" w:hAnsi="Times New Roman" w:eastAsia="宋体" w:cs="Times New Roman"/>
                <w:b/>
                <w:bCs/>
                <w:color w:val="auto"/>
                <w:sz w:val="21"/>
                <w:szCs w:val="21"/>
                <w:u w:val="none" w:color="auto"/>
                <w:lang w:val="en-US" w:eastAsia="zh-CN"/>
              </w:rPr>
            </w:pPr>
            <w:r>
              <w:rPr>
                <w:rFonts w:hint="eastAsia" w:ascii="Times New Roman" w:hAnsi="Times New Roman" w:eastAsia="宋体" w:cs="Times New Roman"/>
                <w:b/>
                <w:bCs/>
                <w:color w:val="auto"/>
                <w:sz w:val="21"/>
                <w:szCs w:val="21"/>
                <w:u w:val="none" w:color="auto"/>
                <w:lang w:val="en-US" w:eastAsia="zh-CN"/>
              </w:rPr>
              <w:t>表4-6  废水污染物产排情况核算表</w:t>
            </w:r>
          </w:p>
          <w:tbl>
            <w:tblPr>
              <w:tblStyle w:val="26"/>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011"/>
              <w:gridCol w:w="1019"/>
              <w:gridCol w:w="1011"/>
              <w:gridCol w:w="1014"/>
              <w:gridCol w:w="1014"/>
              <w:gridCol w:w="1020"/>
              <w:gridCol w:w="10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排放口编号</w:t>
                  </w: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污水名称</w:t>
                  </w:r>
                </w:p>
              </w:tc>
              <w:tc>
                <w:tcPr>
                  <w:tcW w:w="628"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污水量t/a</w:t>
                  </w: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污染物名称</w:t>
                  </w:r>
                </w:p>
              </w:tc>
              <w:tc>
                <w:tcPr>
                  <w:tcW w:w="625"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产生浓度mg/L</w:t>
                  </w:r>
                </w:p>
              </w:tc>
              <w:tc>
                <w:tcPr>
                  <w:tcW w:w="625"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产生量t/a</w:t>
                  </w:r>
                </w:p>
              </w:tc>
              <w:tc>
                <w:tcPr>
                  <w:tcW w:w="628"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排放浓度mg/L</w:t>
                  </w:r>
                </w:p>
              </w:tc>
              <w:tc>
                <w:tcPr>
                  <w:tcW w:w="627"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sz w:val="21"/>
                      <w:szCs w:val="21"/>
                      <w:u w:val="wave"/>
                      <w:lang w:val="en-US" w:eastAsia="zh-CN"/>
                    </w:rPr>
                  </w:pPr>
                  <w:r>
                    <w:rPr>
                      <w:rFonts w:hint="default" w:ascii="Times New Roman" w:hAnsi="Times New Roman" w:eastAsia="宋体" w:cs="Times New Roman"/>
                      <w:b/>
                      <w:bCs w:val="0"/>
                      <w:color w:val="auto"/>
                      <w:sz w:val="21"/>
                      <w:szCs w:val="21"/>
                      <w:u w:val="wave"/>
                      <w:lang w:val="en-US" w:eastAsia="zh-CN"/>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DW001</w:t>
                  </w:r>
                </w:p>
              </w:tc>
              <w:tc>
                <w:tcPr>
                  <w:tcW w:w="623" w:type="pct"/>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生活污水</w:t>
                  </w:r>
                </w:p>
              </w:tc>
              <w:tc>
                <w:tcPr>
                  <w:tcW w:w="628" w:type="pct"/>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ascii="Times New Roman" w:hAnsi="Times New Roman" w:eastAsia="宋体" w:cs="Times New Roman"/>
                      <w:b w:val="0"/>
                      <w:bCs/>
                      <w:color w:val="auto"/>
                      <w:sz w:val="21"/>
                      <w:szCs w:val="21"/>
                      <w:u w:val="wave"/>
                      <w:lang w:val="en-US" w:eastAsia="zh-CN"/>
                    </w:rPr>
                    <w:t>360</w:t>
                  </w: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COD</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400</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0.144</w:t>
                  </w:r>
                </w:p>
              </w:tc>
              <w:tc>
                <w:tcPr>
                  <w:tcW w:w="62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50</w:t>
                  </w:r>
                </w:p>
              </w:tc>
              <w:tc>
                <w:tcPr>
                  <w:tcW w:w="62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BOD</w:t>
                  </w:r>
                  <w:r>
                    <w:rPr>
                      <w:rFonts w:hint="default" w:ascii="Times New Roman" w:hAnsi="Times New Roman" w:eastAsia="宋体" w:cs="Times New Roman"/>
                      <w:b w:val="0"/>
                      <w:bCs/>
                      <w:color w:val="auto"/>
                      <w:sz w:val="21"/>
                      <w:szCs w:val="21"/>
                      <w:u w:val="wave"/>
                      <w:vertAlign w:val="subscript"/>
                      <w:lang w:val="en-US" w:eastAsia="zh-CN"/>
                    </w:rPr>
                    <w:t>5</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220</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0.079</w:t>
                  </w:r>
                </w:p>
              </w:tc>
              <w:tc>
                <w:tcPr>
                  <w:tcW w:w="62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10</w:t>
                  </w:r>
                </w:p>
              </w:tc>
              <w:tc>
                <w:tcPr>
                  <w:tcW w:w="62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SS</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200</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0.072</w:t>
                  </w:r>
                </w:p>
              </w:tc>
              <w:tc>
                <w:tcPr>
                  <w:tcW w:w="62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10</w:t>
                  </w:r>
                </w:p>
              </w:tc>
              <w:tc>
                <w:tcPr>
                  <w:tcW w:w="62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NH</w:t>
                  </w:r>
                  <w:r>
                    <w:rPr>
                      <w:rFonts w:hint="default" w:ascii="Times New Roman" w:hAnsi="Times New Roman" w:eastAsia="宋体" w:cs="Times New Roman"/>
                      <w:b w:val="0"/>
                      <w:bCs/>
                      <w:color w:val="auto"/>
                      <w:sz w:val="21"/>
                      <w:szCs w:val="21"/>
                      <w:u w:val="wave"/>
                      <w:vertAlign w:val="subscript"/>
                      <w:lang w:val="en-US" w:eastAsia="zh-CN"/>
                    </w:rPr>
                    <w:t>3</w:t>
                  </w:r>
                  <w:r>
                    <w:rPr>
                      <w:rFonts w:hint="default" w:ascii="Times New Roman" w:hAnsi="Times New Roman" w:eastAsia="宋体" w:cs="Times New Roman"/>
                      <w:b w:val="0"/>
                      <w:bCs/>
                      <w:color w:val="auto"/>
                      <w:sz w:val="21"/>
                      <w:szCs w:val="21"/>
                      <w:u w:val="wave"/>
                      <w:lang w:val="en-US" w:eastAsia="zh-CN"/>
                    </w:rPr>
                    <w:t>-N</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30</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0.011</w:t>
                  </w:r>
                </w:p>
              </w:tc>
              <w:tc>
                <w:tcPr>
                  <w:tcW w:w="62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8</w:t>
                  </w:r>
                </w:p>
              </w:tc>
              <w:tc>
                <w:tcPr>
                  <w:tcW w:w="62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ascii="Times New Roman" w:hAnsi="Times New Roman" w:eastAsia="宋体" w:cs="Times New Roman"/>
                      <w:b w:val="0"/>
                      <w:bCs/>
                      <w:color w:val="auto"/>
                      <w:sz w:val="21"/>
                      <w:szCs w:val="21"/>
                      <w:u w:val="wave"/>
                      <w:lang w:val="en-US" w:eastAsia="zh-CN"/>
                    </w:rPr>
                    <w:t>动植物油</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25</w:t>
                  </w:r>
                </w:p>
              </w:tc>
              <w:tc>
                <w:tcPr>
                  <w:tcW w:w="625"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0.009</w:t>
                  </w:r>
                </w:p>
              </w:tc>
              <w:tc>
                <w:tcPr>
                  <w:tcW w:w="628"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627"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i w:val="0"/>
                      <w:iCs w:val="0"/>
                      <w:color w:val="000000"/>
                      <w:kern w:val="0"/>
                      <w:sz w:val="21"/>
                      <w:szCs w:val="21"/>
                      <w:u w:val="wave"/>
                      <w:lang w:val="en-US" w:eastAsia="zh-CN" w:bidi="ar"/>
                    </w:rPr>
                    <w:t>0.0004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DW002</w:t>
                  </w:r>
                </w:p>
              </w:tc>
              <w:tc>
                <w:tcPr>
                  <w:tcW w:w="623" w:type="pct"/>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拖洗废水、初期雨水</w:t>
                  </w:r>
                </w:p>
              </w:tc>
              <w:tc>
                <w:tcPr>
                  <w:tcW w:w="628" w:type="pct"/>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6292.52</w:t>
                  </w: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COD</w:t>
                  </w:r>
                </w:p>
              </w:tc>
              <w:tc>
                <w:tcPr>
                  <w:tcW w:w="101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351.7</w:t>
                  </w:r>
                </w:p>
              </w:tc>
              <w:tc>
                <w:tcPr>
                  <w:tcW w:w="101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2.213</w:t>
                  </w:r>
                </w:p>
              </w:tc>
              <w:tc>
                <w:tcPr>
                  <w:tcW w:w="102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50</w:t>
                  </w:r>
                </w:p>
              </w:tc>
              <w:tc>
                <w:tcPr>
                  <w:tcW w:w="101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0.315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SS</w:t>
                  </w:r>
                </w:p>
              </w:tc>
              <w:tc>
                <w:tcPr>
                  <w:tcW w:w="101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242.5</w:t>
                  </w:r>
                </w:p>
              </w:tc>
              <w:tc>
                <w:tcPr>
                  <w:tcW w:w="101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1.526</w:t>
                  </w:r>
                </w:p>
              </w:tc>
              <w:tc>
                <w:tcPr>
                  <w:tcW w:w="102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10</w:t>
                  </w:r>
                </w:p>
              </w:tc>
              <w:tc>
                <w:tcPr>
                  <w:tcW w:w="101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0.063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1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8" w:type="pct"/>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623" w:type="pc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石油类</w:t>
                  </w:r>
                </w:p>
              </w:tc>
              <w:tc>
                <w:tcPr>
                  <w:tcW w:w="101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195.2</w:t>
                  </w:r>
                </w:p>
              </w:tc>
              <w:tc>
                <w:tcPr>
                  <w:tcW w:w="101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1.229</w:t>
                  </w:r>
                </w:p>
              </w:tc>
              <w:tc>
                <w:tcPr>
                  <w:tcW w:w="102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1</w:t>
                  </w:r>
                </w:p>
              </w:tc>
              <w:tc>
                <w:tcPr>
                  <w:tcW w:w="101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default" w:ascii="Times New Roman" w:hAnsi="Times New Roman" w:eastAsia="宋体" w:cs="Times New Roman"/>
                      <w:i w:val="0"/>
                      <w:iCs w:val="0"/>
                      <w:color w:val="000000"/>
                      <w:kern w:val="0"/>
                      <w:sz w:val="21"/>
                      <w:szCs w:val="21"/>
                      <w:u w:val="wave"/>
                      <w:lang w:val="en-US" w:eastAsia="zh-CN" w:bidi="ar"/>
                    </w:rPr>
                    <w:t>0.006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870" w:type="pct"/>
                  <w:gridSpan w:val="3"/>
                  <w:vMerge w:val="restart"/>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全厂合计</w:t>
                  </w:r>
                </w:p>
              </w:tc>
              <w:tc>
                <w:tcPr>
                  <w:tcW w:w="2502" w:type="pct"/>
                  <w:gridSpan w:val="4"/>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COD</w:t>
                  </w:r>
                </w:p>
              </w:tc>
              <w:tc>
                <w:tcPr>
                  <w:tcW w:w="6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kern w:val="2"/>
                      <w:sz w:val="21"/>
                      <w:szCs w:val="21"/>
                      <w:u w:val="wave"/>
                      <w:lang w:val="en-US" w:eastAsia="zh-CN" w:bidi="ar-SA"/>
                    </w:rPr>
                  </w:pPr>
                  <w:r>
                    <w:rPr>
                      <w:rFonts w:hint="eastAsia" w:cs="Times New Roman"/>
                      <w:i w:val="0"/>
                      <w:iCs w:val="0"/>
                      <w:color w:val="000000"/>
                      <w:kern w:val="0"/>
                      <w:sz w:val="21"/>
                      <w:szCs w:val="21"/>
                      <w:u w:val="wave"/>
                      <w:lang w:val="en-US" w:eastAsia="zh-CN" w:bidi="ar"/>
                    </w:rPr>
                    <w:t>0.333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0" w:type="pct"/>
                  <w:gridSpan w:val="3"/>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2502" w:type="pct"/>
                  <w:gridSpan w:val="4"/>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BOD</w:t>
                  </w:r>
                  <w:r>
                    <w:rPr>
                      <w:rFonts w:hint="default" w:ascii="Times New Roman" w:hAnsi="Times New Roman" w:eastAsia="宋体" w:cs="Times New Roman"/>
                      <w:b w:val="0"/>
                      <w:bCs/>
                      <w:color w:val="auto"/>
                      <w:sz w:val="21"/>
                      <w:szCs w:val="21"/>
                      <w:u w:val="wave"/>
                      <w:vertAlign w:val="subscript"/>
                      <w:lang w:val="en-US" w:eastAsia="zh-CN"/>
                    </w:rPr>
                    <w:t>5</w:t>
                  </w:r>
                </w:p>
              </w:tc>
              <w:tc>
                <w:tcPr>
                  <w:tcW w:w="6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kern w:val="2"/>
                      <w:sz w:val="21"/>
                      <w:szCs w:val="21"/>
                      <w:u w:val="wave"/>
                      <w:lang w:val="en-US" w:eastAsia="zh-CN" w:bidi="ar-SA"/>
                    </w:rPr>
                  </w:pPr>
                  <w:r>
                    <w:rPr>
                      <w:rFonts w:hint="default" w:ascii="Times New Roman" w:hAnsi="Times New Roman" w:eastAsia="宋体" w:cs="Times New Roman"/>
                      <w:i w:val="0"/>
                      <w:iCs w:val="0"/>
                      <w:color w:val="000000"/>
                      <w:kern w:val="0"/>
                      <w:sz w:val="21"/>
                      <w:szCs w:val="21"/>
                      <w:u w:val="wave"/>
                      <w:lang w:val="en-US" w:eastAsia="zh-CN" w:bidi="ar"/>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0" w:type="pct"/>
                  <w:gridSpan w:val="3"/>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2502" w:type="pct"/>
                  <w:gridSpan w:val="4"/>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SS</w:t>
                  </w:r>
                </w:p>
              </w:tc>
              <w:tc>
                <w:tcPr>
                  <w:tcW w:w="6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kern w:val="2"/>
                      <w:sz w:val="21"/>
                      <w:szCs w:val="21"/>
                      <w:u w:val="wave"/>
                      <w:lang w:val="en-US" w:eastAsia="zh-CN" w:bidi="ar-SA"/>
                    </w:rPr>
                  </w:pPr>
                  <w:r>
                    <w:rPr>
                      <w:rFonts w:hint="eastAsia" w:cs="Times New Roman"/>
                      <w:i w:val="0"/>
                      <w:iCs w:val="0"/>
                      <w:color w:val="000000"/>
                      <w:kern w:val="0"/>
                      <w:sz w:val="21"/>
                      <w:szCs w:val="21"/>
                      <w:u w:val="wave"/>
                      <w:lang w:val="en-US" w:eastAsia="zh-CN" w:bidi="ar"/>
                    </w:rPr>
                    <w:t>0.067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0" w:type="pct"/>
                  <w:gridSpan w:val="3"/>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2502" w:type="pct"/>
                  <w:gridSpan w:val="4"/>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default" w:ascii="Times New Roman" w:hAnsi="Times New Roman" w:eastAsia="宋体" w:cs="Times New Roman"/>
                      <w:b w:val="0"/>
                      <w:bCs/>
                      <w:color w:val="auto"/>
                      <w:sz w:val="21"/>
                      <w:szCs w:val="21"/>
                      <w:u w:val="wave"/>
                      <w:lang w:val="en-US" w:eastAsia="zh-CN"/>
                    </w:rPr>
                    <w:t>NH</w:t>
                  </w:r>
                  <w:r>
                    <w:rPr>
                      <w:rFonts w:hint="default" w:ascii="Times New Roman" w:hAnsi="Times New Roman" w:eastAsia="宋体" w:cs="Times New Roman"/>
                      <w:b w:val="0"/>
                      <w:bCs/>
                      <w:color w:val="auto"/>
                      <w:sz w:val="21"/>
                      <w:szCs w:val="21"/>
                      <w:u w:val="wave"/>
                      <w:vertAlign w:val="subscript"/>
                      <w:lang w:val="en-US" w:eastAsia="zh-CN"/>
                    </w:rPr>
                    <w:t>3</w:t>
                  </w:r>
                  <w:r>
                    <w:rPr>
                      <w:rFonts w:hint="default" w:ascii="Times New Roman" w:hAnsi="Times New Roman" w:eastAsia="宋体" w:cs="Times New Roman"/>
                      <w:b w:val="0"/>
                      <w:bCs/>
                      <w:color w:val="auto"/>
                      <w:sz w:val="21"/>
                      <w:szCs w:val="21"/>
                      <w:u w:val="wave"/>
                      <w:lang w:val="en-US" w:eastAsia="zh-CN"/>
                    </w:rPr>
                    <w:t>-N</w:t>
                  </w:r>
                </w:p>
              </w:tc>
              <w:tc>
                <w:tcPr>
                  <w:tcW w:w="6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kern w:val="2"/>
                      <w:sz w:val="21"/>
                      <w:szCs w:val="21"/>
                      <w:u w:val="wave"/>
                      <w:lang w:val="en-US" w:eastAsia="zh-CN" w:bidi="ar-SA"/>
                    </w:rPr>
                  </w:pPr>
                  <w:r>
                    <w:rPr>
                      <w:rFonts w:hint="default" w:ascii="Times New Roman" w:hAnsi="Times New Roman" w:eastAsia="宋体" w:cs="Times New Roman"/>
                      <w:i w:val="0"/>
                      <w:iCs w:val="0"/>
                      <w:color w:val="000000"/>
                      <w:kern w:val="0"/>
                      <w:sz w:val="21"/>
                      <w:szCs w:val="21"/>
                      <w:u w:val="wave"/>
                      <w:lang w:val="en-US" w:eastAsia="zh-CN" w:bidi="ar"/>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0" w:type="pct"/>
                  <w:gridSpan w:val="3"/>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2502" w:type="pct"/>
                  <w:gridSpan w:val="4"/>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cs="Times New Roman"/>
                      <w:b w:val="0"/>
                      <w:bCs/>
                      <w:color w:val="auto"/>
                      <w:sz w:val="21"/>
                      <w:szCs w:val="21"/>
                      <w:u w:val="wave"/>
                      <w:lang w:val="en-US" w:eastAsia="zh-CN"/>
                    </w:rPr>
                    <w:t>石油类</w:t>
                  </w:r>
                </w:p>
              </w:tc>
              <w:tc>
                <w:tcPr>
                  <w:tcW w:w="6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wave"/>
                      <w:lang w:val="en-US" w:eastAsia="zh-CN" w:bidi="ar"/>
                    </w:rPr>
                  </w:pPr>
                  <w:r>
                    <w:rPr>
                      <w:rFonts w:hint="eastAsia" w:cs="Times New Roman"/>
                      <w:i w:val="0"/>
                      <w:iCs w:val="0"/>
                      <w:color w:val="000000"/>
                      <w:kern w:val="0"/>
                      <w:sz w:val="21"/>
                      <w:szCs w:val="21"/>
                      <w:u w:val="wave"/>
                      <w:lang w:val="en-US" w:eastAsia="zh-CN" w:bidi="ar"/>
                    </w:rPr>
                    <w:t>0.006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870" w:type="pct"/>
                  <w:gridSpan w:val="3"/>
                  <w:vMerge w:val="continue"/>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p>
              </w:tc>
              <w:tc>
                <w:tcPr>
                  <w:tcW w:w="2502" w:type="pct"/>
                  <w:gridSpan w:val="4"/>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auto"/>
                      <w:sz w:val="21"/>
                      <w:szCs w:val="21"/>
                      <w:u w:val="wave"/>
                      <w:lang w:val="en-US" w:eastAsia="zh-CN"/>
                    </w:rPr>
                  </w:pPr>
                  <w:r>
                    <w:rPr>
                      <w:rFonts w:hint="eastAsia" w:ascii="Times New Roman" w:hAnsi="Times New Roman" w:eastAsia="宋体" w:cs="Times New Roman"/>
                      <w:b w:val="0"/>
                      <w:bCs/>
                      <w:color w:val="auto"/>
                      <w:sz w:val="21"/>
                      <w:szCs w:val="21"/>
                      <w:u w:val="wave"/>
                      <w:lang w:val="en-US" w:eastAsia="zh-CN"/>
                    </w:rPr>
                    <w:t>动植物油</w:t>
                  </w:r>
                </w:p>
              </w:tc>
              <w:tc>
                <w:tcPr>
                  <w:tcW w:w="62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val="0"/>
                      <w:bCs/>
                      <w:color w:val="auto"/>
                      <w:kern w:val="2"/>
                      <w:sz w:val="21"/>
                      <w:szCs w:val="21"/>
                      <w:u w:val="wave"/>
                      <w:lang w:val="en-US" w:eastAsia="zh-CN" w:bidi="ar-SA"/>
                    </w:rPr>
                  </w:pPr>
                  <w:r>
                    <w:rPr>
                      <w:rFonts w:hint="default" w:ascii="Times New Roman" w:hAnsi="Times New Roman" w:eastAsia="宋体" w:cs="Times New Roman"/>
                      <w:i w:val="0"/>
                      <w:iCs w:val="0"/>
                      <w:color w:val="000000"/>
                      <w:kern w:val="0"/>
                      <w:sz w:val="21"/>
                      <w:szCs w:val="21"/>
                      <w:u w:val="wave"/>
                      <w:lang w:val="en-US" w:eastAsia="zh-CN" w:bidi="ar"/>
                    </w:rPr>
                    <w:t>0.0004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val="0"/>
                <w:color w:val="auto"/>
                <w:sz w:val="24"/>
                <w:szCs w:val="24"/>
                <w:u w:val="none"/>
                <w:lang w:val="en-US" w:eastAsia="zh-CN"/>
              </w:rPr>
            </w:pPr>
            <w:r>
              <w:rPr>
                <w:rFonts w:hint="eastAsia" w:ascii="Times New Roman" w:hAnsi="Times New Roman" w:eastAsia="宋体" w:cs="Times New Roman"/>
                <w:b/>
                <w:bCs w:val="0"/>
                <w:color w:val="auto"/>
                <w:sz w:val="24"/>
                <w:szCs w:val="24"/>
                <w:u w:val="none"/>
                <w:lang w:val="en-US" w:eastAsia="zh-CN"/>
              </w:rPr>
              <w:t>2、</w:t>
            </w:r>
            <w:r>
              <w:rPr>
                <w:rFonts w:hint="default" w:ascii="Times New Roman" w:hAnsi="Times New Roman" w:eastAsia="宋体" w:cs="Times New Roman"/>
                <w:b/>
                <w:bCs w:val="0"/>
                <w:color w:val="auto"/>
                <w:sz w:val="24"/>
                <w:szCs w:val="24"/>
                <w:u w:val="none"/>
                <w:lang w:val="en-US" w:eastAsia="zh-CN"/>
              </w:rPr>
              <w:t>污水治理可行性分析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ascii="Times New Roman" w:hAnsi="Times New Roman" w:eastAsia="宋体" w:cs="Times New Roman"/>
                <w:b w:val="0"/>
                <w:bCs/>
                <w:color w:val="auto"/>
                <w:sz w:val="24"/>
                <w:szCs w:val="24"/>
                <w:u w:val="none"/>
                <w:lang w:val="en-US" w:eastAsia="zh-CN"/>
              </w:rPr>
              <w:t>（1）</w:t>
            </w:r>
            <w:r>
              <w:rPr>
                <w:rFonts w:hint="default" w:ascii="Times New Roman" w:hAnsi="Times New Roman" w:eastAsia="宋体" w:cs="Times New Roman"/>
                <w:b w:val="0"/>
                <w:bCs/>
                <w:color w:val="auto"/>
                <w:sz w:val="24"/>
                <w:szCs w:val="24"/>
                <w:u w:val="none"/>
                <w:lang w:val="en-US" w:eastAsia="zh-CN"/>
              </w:rPr>
              <w:t>厂内污水处理措施可行性分析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cs="Times New Roman"/>
                <w:b w:val="0"/>
                <w:bCs/>
                <w:color w:val="auto"/>
                <w:sz w:val="24"/>
                <w:szCs w:val="24"/>
                <w:u w:val="none"/>
                <w:lang w:val="en-US" w:eastAsia="zh-CN"/>
              </w:rPr>
              <w:t>1）生活污水处理可行性分析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员工生活污水排放量约为</w:t>
            </w:r>
            <w:r>
              <w:rPr>
                <w:rFonts w:hint="eastAsia" w:ascii="Times New Roman" w:hAnsi="Times New Roman" w:eastAsia="宋体" w:cs="Times New Roman"/>
                <w:b w:val="0"/>
                <w:bCs/>
                <w:color w:val="auto"/>
                <w:sz w:val="24"/>
                <w:szCs w:val="24"/>
                <w:u w:val="none"/>
                <w:lang w:val="en-US" w:eastAsia="zh-CN"/>
              </w:rPr>
              <w:t>360</w:t>
            </w:r>
            <w:r>
              <w:rPr>
                <w:rFonts w:hint="default" w:ascii="Times New Roman" w:hAnsi="Times New Roman" w:eastAsia="宋体" w:cs="Times New Roman"/>
                <w:b w:val="0"/>
                <w:bCs/>
                <w:color w:val="auto"/>
                <w:sz w:val="24"/>
                <w:szCs w:val="24"/>
                <w:u w:val="none"/>
                <w:lang w:val="en-US" w:eastAsia="zh-CN"/>
              </w:rPr>
              <w:t>t/a，依托化粪池处理后通过市政管网进入衡阳西渡高新区污水处理厂进行处理达到《城镇污水处理厂污染物排放标准》（GB18918-2002）中一级A标准排入</w:t>
            </w:r>
            <w:r>
              <w:rPr>
                <w:rFonts w:hint="eastAsia" w:ascii="Times New Roman" w:hAnsi="Times New Roman" w:eastAsia="宋体" w:cs="Times New Roman"/>
                <w:b w:val="0"/>
                <w:bCs/>
                <w:color w:val="auto"/>
                <w:sz w:val="24"/>
                <w:szCs w:val="24"/>
                <w:u w:val="none"/>
                <w:lang w:val="en-US" w:eastAsia="zh-CN"/>
              </w:rPr>
              <w:t>蒸水</w:t>
            </w:r>
            <w:r>
              <w:rPr>
                <w:rFonts w:hint="default" w:ascii="Times New Roman" w:hAnsi="Times New Roman" w:eastAsia="宋体" w:cs="Times New Roman"/>
                <w:b w:val="0"/>
                <w:bCs/>
                <w:color w:val="auto"/>
                <w:sz w:val="24"/>
                <w:szCs w:val="24"/>
                <w:u w:val="none"/>
                <w:lang w:val="en-US" w:eastAsia="zh-CN"/>
              </w:rPr>
              <w:t>，最终排至湘江。目前有完善的污水管网，污水处理设施可行。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default" w:ascii="Times New Roman" w:hAnsi="Times New Roman" w:eastAsia="宋体" w:cs="Times New Roman"/>
                <w:b w:val="0"/>
                <w:bCs/>
                <w:color w:val="auto"/>
                <w:sz w:val="24"/>
                <w:szCs w:val="24"/>
                <w:u w:val="none"/>
                <w:lang w:val="en-US" w:eastAsia="zh-CN"/>
              </w:rPr>
              <w:t>三级化粪池工作原理：新鲜粪便由进粪口进入第一池，池内粪便开始发酵分解、因比重不同粪液可自然分为三层，上层为糊状粪皮，下层为块状或颗状粪渣，中层为比较澄清的粪液。在上层粪皮和下层粪渣中含细菌和寄生虫卵最多，中层含虫卵最少，初步发酵的中层粪液经过粪管溢流至第二池，而将大部分未经充分发酵的粪皮和粪渣阻留在第一池内继续发酵。流入第二池的粪液进一步发酵分解，虫卵继续下沉，病原体逐渐死亡，粪液得到进一步无害化，产生的粪皮和粪厚度比第一池显著减少。流入第三池的粪液一般已经腐熟，其中病菌和寄生虫卵已基本杀灭。第三池功能主要起贮存已基本无害化的粪液作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cs="Times New Roman"/>
                <w:b w:val="0"/>
                <w:bCs/>
                <w:color w:val="auto"/>
                <w:sz w:val="24"/>
                <w:szCs w:val="24"/>
                <w:u w:val="none"/>
                <w:lang w:val="en-US" w:eastAsia="zh-CN"/>
              </w:rPr>
              <w:t>2）拖洗废水、初期雨水处理可行性分析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none"/>
                <w:lang w:val="en-US" w:eastAsia="zh-CN"/>
              </w:rPr>
            </w:pPr>
            <w:r>
              <w:rPr>
                <w:rFonts w:hint="eastAsia" w:cs="Times New Roman"/>
                <w:b w:val="0"/>
                <w:bCs/>
                <w:color w:val="auto"/>
                <w:sz w:val="24"/>
                <w:szCs w:val="24"/>
                <w:u w:val="none"/>
                <w:lang w:val="en-US" w:eastAsia="zh-CN"/>
              </w:rPr>
              <w:t>项目采用三级隔油沉淀池+高效油水分离设施，工艺流程如下：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rPr>
                <w:rFonts w:hint="default" w:ascii="Times New Roman" w:hAnsi="Times New Roman" w:eastAsia="宋体" w:cs="Times New Roman"/>
                <w:b w:val="0"/>
                <w:bCs/>
                <w:color w:val="auto"/>
                <w:sz w:val="24"/>
                <w:szCs w:val="24"/>
                <w:u w:val="none"/>
                <w:lang w:val="en-US" w:eastAsia="zh-CN"/>
              </w:rPr>
            </w:pPr>
            <w:r>
              <w:rPr>
                <w:u w:val="wave"/>
              </w:rPr>
              <w:object>
                <v:shape id="_x0000_i1026" o:spt="75" type="#_x0000_t75" style="height:133.85pt;width:401.55pt;" o:ole="t" filled="f" o:preferrelative="t" stroked="f" coordsize="21600,21600">
                  <v:path/>
                  <v:fill on="f" focussize="0,0"/>
                  <v:stroke on="f"/>
                  <v:imagedata r:id="rId19" cropleft="5637f" croptop="16394f" cropbottom="12342f" o:title=""/>
                  <o:lock v:ext="edit" aspectratio="t"/>
                  <w10:wrap type="none"/>
                  <w10:anchorlock/>
                </v:shape>
                <o:OLEObject Type="Embed" ProgID="Visio.Drawing.11" ShapeID="_x0000_i1026" DrawAspect="Content" ObjectID="_1468075726" r:id="rId18">
                  <o:LockedField>false</o:LockedField>
                </o:OLEObject>
              </w:object>
            </w:r>
          </w:p>
          <w:p>
            <w:pPr>
              <w:pStyle w:val="69"/>
              <w:ind w:left="0" w:leftChars="0" w:firstLine="0" w:firstLineChars="0"/>
              <w:jc w:val="center"/>
              <w:rPr>
                <w:rFonts w:hint="eastAsia" w:ascii="Times New Roman" w:hAnsi="Times New Roman" w:eastAsia="宋体" w:cs="Times New Roman"/>
                <w:b/>
                <w:bCs/>
                <w:color w:val="auto"/>
                <w:sz w:val="21"/>
                <w:szCs w:val="21"/>
                <w:u w:val="none" w:color="auto"/>
                <w:lang w:val="en-US" w:eastAsia="zh-CN"/>
              </w:rPr>
            </w:pPr>
            <w:r>
              <w:rPr>
                <w:rFonts w:hint="eastAsia" w:ascii="Times New Roman" w:hAnsi="Times New Roman" w:cs="Times New Roman"/>
                <w:b/>
                <w:bCs/>
                <w:color w:val="auto"/>
                <w:sz w:val="21"/>
                <w:szCs w:val="21"/>
                <w:u w:val="none" w:color="auto"/>
                <w:lang w:val="en-US" w:eastAsia="zh-CN"/>
              </w:rPr>
              <w:t>图</w:t>
            </w:r>
            <w:r>
              <w:rPr>
                <w:rFonts w:hint="eastAsia" w:ascii="Times New Roman" w:hAnsi="Times New Roman" w:eastAsia="宋体" w:cs="Times New Roman"/>
                <w:b/>
                <w:bCs/>
                <w:color w:val="auto"/>
                <w:sz w:val="21"/>
                <w:szCs w:val="21"/>
                <w:u w:val="none" w:color="auto"/>
                <w:lang w:val="en-US" w:eastAsia="zh-CN"/>
              </w:rPr>
              <w:t>4-</w:t>
            </w:r>
            <w:r>
              <w:rPr>
                <w:rFonts w:hint="eastAsia" w:ascii="Times New Roman" w:hAnsi="Times New Roman" w:cs="Times New Roman"/>
                <w:b/>
                <w:bCs/>
                <w:color w:val="auto"/>
                <w:sz w:val="21"/>
                <w:szCs w:val="21"/>
                <w:u w:val="none" w:color="auto"/>
                <w:lang w:val="en-US" w:eastAsia="zh-CN"/>
              </w:rPr>
              <w:t>2</w:t>
            </w:r>
            <w:r>
              <w:rPr>
                <w:rFonts w:hint="eastAsia" w:ascii="Times New Roman" w:hAnsi="Times New Roman" w:eastAsia="宋体" w:cs="Times New Roman"/>
                <w:b/>
                <w:bCs/>
                <w:color w:val="auto"/>
                <w:sz w:val="21"/>
                <w:szCs w:val="21"/>
                <w:u w:val="none" w:color="auto"/>
                <w:lang w:val="en-US" w:eastAsia="zh-CN"/>
              </w:rPr>
              <w:t xml:space="preserve">  三级隔油沉淀池+高效油水分离工艺流程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本项目污水处理污染防治设施属于《排污许可证申请与核发技术规范废弃资源加工工业》（HJ1034-2019）中表9建议技术“均质+隔油池+絮凝+沉淀，均质+隔油池+絮凝+沉淀+过滤等组合处理技术，其他”。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lang w:val="en-US" w:eastAsia="zh-CN"/>
              </w:rPr>
            </w:pPr>
            <w:r>
              <w:rPr>
                <w:rFonts w:hint="default" w:ascii="Times New Roman" w:hAnsi="Times New Roman" w:eastAsia="宋体" w:cs="Times New Roman"/>
                <w:b w:val="0"/>
                <w:bCs/>
                <w:color w:val="auto"/>
                <w:sz w:val="24"/>
                <w:szCs w:val="24"/>
                <w:u w:val="wave"/>
                <w:lang w:val="en-US" w:eastAsia="zh-CN"/>
              </w:rPr>
              <w:t>参照《排污许可证申请与核发技术规范 废弃资源加工工业》（HJ 1034-2019）表 A.9 废机动车加工工业排污单位废水类别、污染物种类及污染防治设施一览表，本项目</w:t>
            </w:r>
            <w:r>
              <w:rPr>
                <w:rFonts w:hint="eastAsia" w:cs="Times New Roman"/>
                <w:b w:val="0"/>
                <w:bCs/>
                <w:color w:val="auto"/>
                <w:sz w:val="24"/>
                <w:szCs w:val="24"/>
                <w:u w:val="wave"/>
                <w:lang w:val="en-US" w:eastAsia="zh-CN"/>
              </w:rPr>
              <w:t>拖洗</w:t>
            </w:r>
            <w:r>
              <w:rPr>
                <w:rFonts w:hint="default" w:ascii="Times New Roman" w:hAnsi="Times New Roman" w:eastAsia="宋体" w:cs="Times New Roman"/>
                <w:b w:val="0"/>
                <w:bCs/>
                <w:color w:val="auto"/>
                <w:sz w:val="24"/>
                <w:szCs w:val="24"/>
                <w:u w:val="wave"/>
                <w:lang w:val="en-US" w:eastAsia="zh-CN"/>
              </w:rPr>
              <w:t>废水、初期雨水采用的三级隔油沉淀池+高效油水分离设施属于可行性技术。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color="auto"/>
                <w:lang w:val="en-US" w:eastAsia="zh-CN"/>
              </w:rPr>
            </w:pPr>
            <w:r>
              <w:rPr>
                <w:rFonts w:hint="default" w:ascii="Times New Roman" w:hAnsi="Times New Roman" w:eastAsia="宋体" w:cs="Times New Roman"/>
                <w:b w:val="0"/>
                <w:bCs/>
                <w:color w:val="auto"/>
                <w:sz w:val="24"/>
                <w:szCs w:val="24"/>
                <w:u w:val="wave"/>
                <w:lang w:val="en-US" w:eastAsia="zh-CN"/>
              </w:rPr>
              <w:t>本项目初期雨水设置一个</w:t>
            </w:r>
            <w:r>
              <w:rPr>
                <w:rFonts w:hint="eastAsia" w:cs="Times New Roman"/>
                <w:b w:val="0"/>
                <w:bCs/>
                <w:color w:val="auto"/>
                <w:sz w:val="24"/>
                <w:szCs w:val="24"/>
                <w:u w:val="wave"/>
                <w:lang w:val="en-US" w:eastAsia="zh-CN"/>
              </w:rPr>
              <w:t>15</w:t>
            </w:r>
            <w:r>
              <w:rPr>
                <w:rFonts w:hint="default" w:ascii="Times New Roman" w:hAnsi="Times New Roman" w:eastAsia="宋体" w:cs="Times New Roman"/>
                <w:b w:val="0"/>
                <w:bCs/>
                <w:color w:val="auto"/>
                <w:sz w:val="24"/>
                <w:szCs w:val="24"/>
                <w:u w:val="wave"/>
                <w:lang w:val="en-US" w:eastAsia="zh-CN"/>
              </w:rPr>
              <w:t>0m</w:t>
            </w:r>
            <w:r>
              <w:rPr>
                <w:rFonts w:hint="default" w:ascii="Times New Roman" w:hAnsi="Times New Roman" w:eastAsia="宋体" w:cs="Times New Roman"/>
                <w:b w:val="0"/>
                <w:bCs/>
                <w:color w:val="auto"/>
                <w:sz w:val="24"/>
                <w:szCs w:val="24"/>
                <w:u w:val="wave"/>
                <w:vertAlign w:val="superscript"/>
                <w:lang w:val="en-US" w:eastAsia="zh-CN"/>
              </w:rPr>
              <w:t>3</w:t>
            </w:r>
            <w:r>
              <w:rPr>
                <w:rFonts w:hint="eastAsia" w:cs="Times New Roman"/>
                <w:b w:val="0"/>
                <w:bCs/>
                <w:color w:val="auto"/>
                <w:sz w:val="24"/>
                <w:szCs w:val="24"/>
                <w:u w:val="wave"/>
                <w:lang w:val="en-US" w:eastAsia="zh-CN"/>
              </w:rPr>
              <w:t>初期雨水</w:t>
            </w:r>
            <w:r>
              <w:rPr>
                <w:rFonts w:hint="default" w:ascii="Times New Roman" w:hAnsi="Times New Roman" w:eastAsia="宋体" w:cs="Times New Roman"/>
                <w:b w:val="0"/>
                <w:bCs/>
                <w:color w:val="auto"/>
                <w:sz w:val="24"/>
                <w:szCs w:val="24"/>
                <w:u w:val="wave"/>
                <w:lang w:val="en-US" w:eastAsia="zh-CN"/>
              </w:rPr>
              <w:t>收集池可满足一次暴雨径流产生的初期雨水收集容积要求。本项目三级隔油沉淀池+高效油水分离日处理规模为50m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/d，初期雨水池</w:t>
            </w:r>
            <w:r>
              <w:rPr>
                <w:rFonts w:hint="eastAsia" w:cs="Times New Roman"/>
                <w:b w:val="0"/>
                <w:bCs/>
                <w:color w:val="auto"/>
                <w:sz w:val="24"/>
                <w:szCs w:val="24"/>
                <w:u w:val="wave"/>
                <w:lang w:val="en-US" w:eastAsia="zh-CN"/>
              </w:rPr>
              <w:t>最大</w:t>
            </w:r>
            <w:r>
              <w:rPr>
                <w:rFonts w:hint="default" w:ascii="Times New Roman" w:hAnsi="Times New Roman" w:eastAsia="宋体" w:cs="Times New Roman"/>
                <w:b w:val="0"/>
                <w:bCs/>
                <w:color w:val="auto"/>
                <w:sz w:val="24"/>
                <w:szCs w:val="24"/>
                <w:u w:val="wave"/>
                <w:lang w:val="en-US" w:eastAsia="zh-CN"/>
              </w:rPr>
              <w:t>下雨量为129.68m</w:t>
            </w:r>
            <w:r>
              <w:rPr>
                <w:rFonts w:hint="default" w:ascii="Times New Roman" w:hAnsi="Times New Roman" w:eastAsia="宋体" w:cs="Times New Roman"/>
                <w:b w:val="0"/>
                <w:bCs/>
                <w:color w:val="auto"/>
                <w:sz w:val="24"/>
                <w:szCs w:val="24"/>
                <w:u w:val="wave"/>
                <w:vertAlign w:val="superscript"/>
                <w:lang w:val="en-US" w:eastAsia="zh-CN"/>
              </w:rPr>
              <w:t>3</w:t>
            </w:r>
            <w:r>
              <w:rPr>
                <w:rFonts w:hint="default" w:ascii="Times New Roman" w:hAnsi="Times New Roman" w:eastAsia="宋体" w:cs="Times New Roman"/>
                <w:b w:val="0"/>
                <w:bCs/>
                <w:color w:val="auto"/>
                <w:sz w:val="24"/>
                <w:szCs w:val="24"/>
                <w:u w:val="wave"/>
                <w:lang w:val="en-US" w:eastAsia="zh-CN"/>
              </w:rPr>
              <w:t>，</w:t>
            </w:r>
            <w:r>
              <w:rPr>
                <w:rFonts w:hint="eastAsia" w:cs="Times New Roman"/>
                <w:b w:val="0"/>
                <w:bCs/>
                <w:color w:val="auto"/>
                <w:sz w:val="24"/>
                <w:szCs w:val="24"/>
                <w:u w:val="wave"/>
                <w:lang w:val="en-US" w:eastAsia="zh-CN"/>
              </w:rPr>
              <w:t>拖洗</w:t>
            </w:r>
            <w:r>
              <w:rPr>
                <w:rFonts w:hint="default" w:ascii="Times New Roman" w:hAnsi="Times New Roman" w:eastAsia="宋体" w:cs="Times New Roman"/>
                <w:b w:val="0"/>
                <w:bCs/>
                <w:color w:val="auto"/>
                <w:sz w:val="24"/>
                <w:szCs w:val="24"/>
                <w:u w:val="wave"/>
                <w:lang w:val="en-US" w:eastAsia="zh-CN"/>
              </w:rPr>
              <w:t>废水单次</w:t>
            </w:r>
            <w:r>
              <w:rPr>
                <w:rFonts w:hint="eastAsia" w:ascii="Times New Roman" w:hAnsi="Times New Roman" w:cs="Times New Roman"/>
                <w:b w:val="0"/>
                <w:bCs/>
                <w:color w:val="auto"/>
                <w:sz w:val="24"/>
                <w:szCs w:val="24"/>
                <w:u w:val="wave"/>
                <w:lang w:val="en-US" w:eastAsia="zh-CN"/>
              </w:rPr>
              <w:t>最高日废水量24.66m</w:t>
            </w:r>
            <w:r>
              <w:rPr>
                <w:rFonts w:hint="eastAsia" w:ascii="Times New Roman" w:hAnsi="Times New Roman" w:cs="Times New Roman"/>
                <w:b w:val="0"/>
                <w:bCs/>
                <w:color w:val="auto"/>
                <w:sz w:val="24"/>
                <w:szCs w:val="24"/>
                <w:u w:val="wave"/>
                <w:vertAlign w:val="superscript"/>
                <w:lang w:val="en-US" w:eastAsia="zh-CN"/>
              </w:rPr>
              <w:t>3</w:t>
            </w:r>
            <w:r>
              <w:rPr>
                <w:rFonts w:hint="eastAsia" w:ascii="Times New Roman" w:hAnsi="Times New Roman" w:cs="Times New Roman"/>
                <w:b w:val="0"/>
                <w:bCs/>
                <w:color w:val="auto"/>
                <w:sz w:val="24"/>
                <w:szCs w:val="24"/>
                <w:u w:val="wave"/>
                <w:lang w:val="en-US" w:eastAsia="zh-CN"/>
              </w:rPr>
              <w:t>/d</w:t>
            </w:r>
            <w:r>
              <w:rPr>
                <w:rFonts w:hint="default" w:ascii="Times New Roman" w:hAnsi="Times New Roman" w:eastAsia="宋体" w:cs="Times New Roman"/>
                <w:b w:val="0"/>
                <w:bCs/>
                <w:color w:val="auto"/>
                <w:sz w:val="24"/>
                <w:szCs w:val="24"/>
                <w:u w:val="wave"/>
                <w:lang w:val="en-US" w:eastAsia="zh-CN"/>
              </w:rPr>
              <w:t>，则三级隔油沉淀池+高效油水分离设施可满足废水处理量要求。若暴雨天气收集初期雨水可暂存于初期雨水池，控制进水量，保证三级隔油沉淀</w:t>
            </w:r>
            <w:r>
              <w:rPr>
                <w:rFonts w:hint="default" w:ascii="Times New Roman" w:hAnsi="Times New Roman" w:eastAsia="宋体" w:cs="Times New Roman"/>
                <w:b w:val="0"/>
                <w:bCs/>
                <w:color w:val="auto"/>
                <w:sz w:val="24"/>
                <w:szCs w:val="24"/>
                <w:u w:val="wave" w:color="auto"/>
                <w:lang w:val="en-US" w:eastAsia="zh-CN"/>
              </w:rPr>
              <w:t>池+高效油水分离设施正常运行。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color="auto"/>
                <w:lang w:val="en-US" w:eastAsia="zh-CN"/>
              </w:rPr>
            </w:pPr>
            <w:r>
              <w:rPr>
                <w:rFonts w:hint="eastAsia" w:ascii="Times New Roman" w:hAnsi="Times New Roman" w:eastAsia="宋体" w:cs="Times New Roman"/>
                <w:b w:val="0"/>
                <w:bCs/>
                <w:color w:val="auto"/>
                <w:sz w:val="24"/>
                <w:szCs w:val="24"/>
                <w:u w:val="wave" w:color="auto"/>
                <w:lang w:val="en-US" w:eastAsia="zh-CN"/>
              </w:rPr>
              <w:t>（2）</w:t>
            </w:r>
            <w:r>
              <w:rPr>
                <w:rFonts w:hint="default" w:ascii="Times New Roman" w:hAnsi="Times New Roman" w:eastAsia="宋体" w:cs="Times New Roman"/>
                <w:b w:val="0"/>
                <w:bCs/>
                <w:color w:val="auto"/>
                <w:sz w:val="24"/>
                <w:szCs w:val="24"/>
                <w:u w:val="wave" w:color="auto"/>
                <w:lang w:val="en-US" w:eastAsia="zh-CN"/>
              </w:rPr>
              <w:t>排入衡阳西渡高新区污水处理厂可行性分析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color="auto"/>
                <w:lang w:val="en-US" w:eastAsia="zh-CN"/>
              </w:rPr>
            </w:pPr>
            <w:r>
              <w:rPr>
                <w:rFonts w:hint="default" w:ascii="Times New Roman" w:hAnsi="Times New Roman" w:eastAsia="宋体" w:cs="Times New Roman"/>
                <w:b w:val="0"/>
                <w:bCs/>
                <w:color w:val="auto"/>
                <w:sz w:val="24"/>
                <w:szCs w:val="24"/>
                <w:u w:val="wave" w:color="auto"/>
                <w:lang w:val="en-US" w:eastAsia="zh-CN"/>
              </w:rPr>
              <w:t>衡阳西渡高新区污水处理厂位于西渡镇江山村S315线以南，豆陂村与八一村交界处，服务范围为湖南衡阳西渡高新技术产业园区全部区域和樟树乡S315沿线区域（面积6.35km</w:t>
            </w:r>
            <w:r>
              <w:rPr>
                <w:rFonts w:hint="default" w:ascii="Times New Roman" w:hAnsi="Times New Roman" w:eastAsia="宋体" w:cs="Times New Roman"/>
                <w:b w:val="0"/>
                <w:bCs/>
                <w:color w:val="auto"/>
                <w:sz w:val="24"/>
                <w:szCs w:val="24"/>
                <w:u w:val="wave" w:color="auto"/>
                <w:vertAlign w:val="superscript"/>
                <w:lang w:val="en-US" w:eastAsia="zh-CN"/>
              </w:rPr>
              <w:t>2</w:t>
            </w:r>
            <w:r>
              <w:rPr>
                <w:rFonts w:hint="default" w:ascii="Times New Roman" w:hAnsi="Times New Roman" w:eastAsia="宋体" w:cs="Times New Roman"/>
                <w:b w:val="0"/>
                <w:bCs/>
                <w:color w:val="auto"/>
                <w:sz w:val="24"/>
                <w:szCs w:val="24"/>
                <w:u w:val="wave" w:color="auto"/>
                <w:lang w:val="en-US" w:eastAsia="zh-CN"/>
              </w:rPr>
              <w:t>），污水处理厂总占地面积61亩，污水处理规模为2万m</w:t>
            </w:r>
            <w:r>
              <w:rPr>
                <w:rFonts w:hint="default" w:ascii="Times New Roman" w:hAnsi="Times New Roman" w:eastAsia="宋体" w:cs="Times New Roman"/>
                <w:b w:val="0"/>
                <w:bCs/>
                <w:color w:val="auto"/>
                <w:sz w:val="24"/>
                <w:szCs w:val="24"/>
                <w:u w:val="wave" w:color="auto"/>
                <w:vertAlign w:val="superscript"/>
                <w:lang w:val="en-US" w:eastAsia="zh-CN"/>
              </w:rPr>
              <w:t>3</w:t>
            </w:r>
            <w:r>
              <w:rPr>
                <w:rFonts w:hint="default" w:ascii="Times New Roman" w:hAnsi="Times New Roman" w:eastAsia="宋体" w:cs="Times New Roman"/>
                <w:b w:val="0"/>
                <w:bCs/>
                <w:color w:val="auto"/>
                <w:sz w:val="24"/>
                <w:szCs w:val="24"/>
                <w:u w:val="wave" w:color="auto"/>
                <w:lang w:val="en-US" w:eastAsia="zh-CN"/>
              </w:rPr>
              <w:t>/d（远期规划达到4万m</w:t>
            </w:r>
            <w:r>
              <w:rPr>
                <w:rFonts w:hint="default" w:ascii="Times New Roman" w:hAnsi="Times New Roman" w:eastAsia="宋体" w:cs="Times New Roman"/>
                <w:b w:val="0"/>
                <w:bCs/>
                <w:color w:val="auto"/>
                <w:sz w:val="24"/>
                <w:szCs w:val="24"/>
                <w:u w:val="wave" w:color="auto"/>
                <w:vertAlign w:val="superscript"/>
                <w:lang w:val="en-US" w:eastAsia="zh-CN"/>
              </w:rPr>
              <w:t>3</w:t>
            </w:r>
            <w:r>
              <w:rPr>
                <w:rFonts w:hint="default" w:ascii="Times New Roman" w:hAnsi="Times New Roman" w:eastAsia="宋体" w:cs="Times New Roman"/>
                <w:b w:val="0"/>
                <w:bCs/>
                <w:color w:val="auto"/>
                <w:sz w:val="24"/>
                <w:szCs w:val="24"/>
                <w:u w:val="wave" w:color="auto"/>
                <w:lang w:val="en-US" w:eastAsia="zh-CN"/>
              </w:rPr>
              <w:t>/d），废水处理工艺为“预处理+A2/O生物池+高效沉淀+过滤+UV消毒”，纳污范围主要为衡阳县西渡高新技术产业园，以处理园区企业工业废水为主，同时园区企业员工生活污水以及附带居民生活污水也占到一定比例。且项目所在地已敷设污水管网，因此污水处理厂在时间和空间上均可接受并容纳本项目废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u w:val="wave" w:color="auto"/>
                <w:lang w:val="en-US" w:eastAsia="zh-CN"/>
              </w:rPr>
            </w:pPr>
            <w:r>
              <w:rPr>
                <w:rFonts w:hint="default" w:ascii="Times New Roman" w:hAnsi="Times New Roman" w:eastAsia="宋体" w:cs="Times New Roman"/>
                <w:b w:val="0"/>
                <w:bCs/>
                <w:color w:val="auto"/>
                <w:sz w:val="24"/>
                <w:szCs w:val="24"/>
                <w:u w:val="wave" w:color="auto"/>
                <w:lang w:val="en-US" w:eastAsia="zh-CN"/>
              </w:rPr>
              <w:t>衡阳西渡高新区污水处理厂</w:t>
            </w:r>
            <w:r>
              <w:rPr>
                <w:rFonts w:hint="eastAsia" w:ascii="Times New Roman" w:hAnsi="Times New Roman" w:eastAsia="宋体" w:cs="Times New Roman"/>
                <w:b w:val="0"/>
                <w:bCs/>
                <w:color w:val="auto"/>
                <w:sz w:val="24"/>
                <w:szCs w:val="24"/>
                <w:u w:val="wave" w:color="auto"/>
                <w:lang w:val="en-US" w:eastAsia="zh-CN"/>
              </w:rPr>
              <w:t>2025年实际日均处理水量约为6778m</w:t>
            </w:r>
            <w:r>
              <w:rPr>
                <w:rFonts w:hint="eastAsia" w:ascii="Times New Roman" w:hAnsi="Times New Roman" w:eastAsia="宋体" w:cs="Times New Roman"/>
                <w:b w:val="0"/>
                <w:bCs/>
                <w:color w:val="auto"/>
                <w:sz w:val="24"/>
                <w:szCs w:val="24"/>
                <w:u w:val="wave" w:color="auto"/>
                <w:vertAlign w:val="superscript"/>
                <w:lang w:val="en-US" w:eastAsia="zh-CN"/>
              </w:rPr>
              <w:t>3</w:t>
            </w:r>
            <w:r>
              <w:rPr>
                <w:rFonts w:hint="eastAsia" w:ascii="Times New Roman" w:hAnsi="Times New Roman" w:eastAsia="宋体" w:cs="Times New Roman"/>
                <w:b w:val="0"/>
                <w:bCs/>
                <w:color w:val="auto"/>
                <w:sz w:val="24"/>
                <w:szCs w:val="24"/>
                <w:u w:val="wave" w:color="auto"/>
                <w:lang w:val="en-US" w:eastAsia="zh-CN"/>
              </w:rPr>
              <w:t>/日，</w:t>
            </w:r>
            <w:r>
              <w:rPr>
                <w:rFonts w:hint="default" w:ascii="Times New Roman" w:hAnsi="Times New Roman" w:eastAsia="宋体" w:cs="Times New Roman"/>
                <w:b w:val="0"/>
                <w:bCs/>
                <w:color w:val="auto"/>
                <w:sz w:val="24"/>
                <w:szCs w:val="24"/>
                <w:u w:val="wave" w:color="auto"/>
                <w:lang w:val="en-US" w:eastAsia="zh-CN"/>
              </w:rPr>
              <w:t>本项目排入污水处理厂的</w:t>
            </w:r>
            <w:r>
              <w:rPr>
                <w:rFonts w:hint="eastAsia" w:ascii="Times New Roman" w:hAnsi="Times New Roman" w:eastAsia="宋体" w:cs="Times New Roman"/>
                <w:b w:val="0"/>
                <w:bCs/>
                <w:color w:val="auto"/>
                <w:sz w:val="24"/>
                <w:szCs w:val="24"/>
                <w:u w:val="wave" w:color="auto"/>
                <w:lang w:val="en-US" w:eastAsia="zh-CN"/>
              </w:rPr>
              <w:t>生活污水</w:t>
            </w:r>
            <w:r>
              <w:rPr>
                <w:rFonts w:hint="eastAsia" w:cs="Times New Roman"/>
                <w:b w:val="0"/>
                <w:bCs/>
                <w:color w:val="auto"/>
                <w:sz w:val="24"/>
                <w:szCs w:val="24"/>
                <w:u w:val="wave" w:color="auto"/>
                <w:lang w:val="en-US" w:eastAsia="zh-CN"/>
              </w:rPr>
              <w:t>、生产废水（拖洗废水、初期雨水）排放</w:t>
            </w:r>
            <w:r>
              <w:rPr>
                <w:rFonts w:hint="default" w:ascii="Times New Roman" w:hAnsi="Times New Roman" w:eastAsia="宋体" w:cs="Times New Roman"/>
                <w:b w:val="0"/>
                <w:bCs/>
                <w:color w:val="auto"/>
                <w:sz w:val="24"/>
                <w:szCs w:val="24"/>
                <w:u w:val="wave" w:color="auto"/>
                <w:lang w:val="en-US" w:eastAsia="zh-CN"/>
              </w:rPr>
              <w:t>量</w:t>
            </w:r>
            <w:r>
              <w:rPr>
                <w:rFonts w:hint="eastAsia" w:cs="Times New Roman"/>
                <w:b w:val="0"/>
                <w:bCs/>
                <w:color w:val="auto"/>
                <w:sz w:val="24"/>
                <w:szCs w:val="24"/>
                <w:u w:val="wave" w:color="auto"/>
                <w:lang w:val="en-US" w:eastAsia="zh-CN"/>
              </w:rPr>
              <w:t>分别</w:t>
            </w:r>
            <w:r>
              <w:rPr>
                <w:rFonts w:hint="default" w:ascii="Times New Roman" w:hAnsi="Times New Roman" w:eastAsia="宋体" w:cs="Times New Roman"/>
                <w:b w:val="0"/>
                <w:bCs/>
                <w:color w:val="auto"/>
                <w:sz w:val="24"/>
                <w:szCs w:val="24"/>
                <w:u w:val="wave" w:color="auto"/>
                <w:lang w:val="en-US" w:eastAsia="zh-CN"/>
              </w:rPr>
              <w:t>为</w:t>
            </w:r>
            <w:r>
              <w:rPr>
                <w:rFonts w:hint="eastAsia" w:cs="Times New Roman"/>
                <w:b w:val="0"/>
                <w:bCs/>
                <w:color w:val="auto"/>
                <w:sz w:val="24"/>
                <w:szCs w:val="24"/>
                <w:u w:val="wave" w:color="auto"/>
                <w:lang w:val="en-US" w:eastAsia="zh-CN"/>
              </w:rPr>
              <w:t>1.2</w:t>
            </w:r>
            <w:r>
              <w:rPr>
                <w:rFonts w:hint="default" w:ascii="Times New Roman" w:hAnsi="Times New Roman" w:eastAsia="宋体" w:cs="Times New Roman"/>
                <w:b w:val="0"/>
                <w:bCs/>
                <w:color w:val="auto"/>
                <w:sz w:val="24"/>
                <w:szCs w:val="24"/>
                <w:u w:val="wave" w:color="auto"/>
                <w:lang w:val="en-US" w:eastAsia="zh-CN"/>
              </w:rPr>
              <w:t>m</w:t>
            </w:r>
            <w:r>
              <w:rPr>
                <w:rFonts w:hint="default" w:ascii="Times New Roman" w:hAnsi="Times New Roman" w:eastAsia="宋体" w:cs="Times New Roman"/>
                <w:b w:val="0"/>
                <w:bCs/>
                <w:color w:val="auto"/>
                <w:sz w:val="24"/>
                <w:szCs w:val="24"/>
                <w:u w:val="wave" w:color="auto"/>
                <w:vertAlign w:val="superscript"/>
                <w:lang w:val="en-US" w:eastAsia="zh-CN"/>
              </w:rPr>
              <w:t>3</w:t>
            </w:r>
            <w:r>
              <w:rPr>
                <w:rFonts w:hint="default" w:ascii="Times New Roman" w:hAnsi="Times New Roman" w:eastAsia="宋体" w:cs="Times New Roman"/>
                <w:b w:val="0"/>
                <w:bCs/>
                <w:color w:val="auto"/>
                <w:sz w:val="24"/>
                <w:szCs w:val="24"/>
                <w:u w:val="wave" w:color="auto"/>
                <w:lang w:val="en-US" w:eastAsia="zh-CN"/>
              </w:rPr>
              <w:t>/d</w:t>
            </w:r>
            <w:r>
              <w:rPr>
                <w:rFonts w:hint="eastAsia" w:cs="Times New Roman"/>
                <w:b w:val="0"/>
                <w:bCs/>
                <w:color w:val="auto"/>
                <w:sz w:val="24"/>
                <w:szCs w:val="24"/>
                <w:u w:val="wave" w:color="auto"/>
                <w:lang w:val="en-US" w:eastAsia="zh-CN"/>
              </w:rPr>
              <w:t>、154.34</w:t>
            </w:r>
            <w:r>
              <w:rPr>
                <w:rFonts w:hint="default" w:ascii="Times New Roman" w:hAnsi="Times New Roman" w:eastAsia="宋体" w:cs="Times New Roman"/>
                <w:b w:val="0"/>
                <w:bCs/>
                <w:color w:val="auto"/>
                <w:sz w:val="24"/>
                <w:szCs w:val="24"/>
                <w:u w:val="wave" w:color="auto"/>
                <w:lang w:val="en-US" w:eastAsia="zh-CN"/>
              </w:rPr>
              <w:t>m</w:t>
            </w:r>
            <w:r>
              <w:rPr>
                <w:rFonts w:hint="default" w:ascii="Times New Roman" w:hAnsi="Times New Roman" w:eastAsia="宋体" w:cs="Times New Roman"/>
                <w:b w:val="0"/>
                <w:bCs/>
                <w:color w:val="auto"/>
                <w:sz w:val="24"/>
                <w:szCs w:val="24"/>
                <w:u w:val="wave" w:color="auto"/>
                <w:vertAlign w:val="superscript"/>
                <w:lang w:val="en-US" w:eastAsia="zh-CN"/>
              </w:rPr>
              <w:t>3</w:t>
            </w:r>
            <w:r>
              <w:rPr>
                <w:rFonts w:hint="default" w:ascii="Times New Roman" w:hAnsi="Times New Roman" w:eastAsia="宋体" w:cs="Times New Roman"/>
                <w:b w:val="0"/>
                <w:bCs/>
                <w:color w:val="auto"/>
                <w:sz w:val="24"/>
                <w:szCs w:val="24"/>
                <w:u w:val="wave" w:color="auto"/>
                <w:lang w:val="en-US" w:eastAsia="zh-CN"/>
              </w:rPr>
              <w:t>/d，</w:t>
            </w:r>
            <w:r>
              <w:rPr>
                <w:rFonts w:hint="eastAsia" w:ascii="Times New Roman" w:hAnsi="Times New Roman" w:eastAsia="宋体" w:cs="Times New Roman"/>
                <w:b w:val="0"/>
                <w:bCs/>
                <w:color w:val="auto"/>
                <w:sz w:val="24"/>
                <w:szCs w:val="24"/>
                <w:u w:val="wave" w:color="auto"/>
                <w:lang w:val="en-US" w:eastAsia="zh-CN"/>
              </w:rPr>
              <w:t>占剩余处理水量比</w:t>
            </w:r>
            <w:r>
              <w:rPr>
                <w:rFonts w:hint="eastAsia" w:cs="Times New Roman"/>
                <w:b w:val="0"/>
                <w:bCs/>
                <w:color w:val="auto"/>
                <w:sz w:val="24"/>
                <w:szCs w:val="24"/>
                <w:u w:val="wave" w:color="auto"/>
                <w:lang w:val="en-US" w:eastAsia="zh-CN"/>
              </w:rPr>
              <w:t>0.006</w:t>
            </w:r>
            <w:r>
              <w:rPr>
                <w:rFonts w:hint="eastAsia" w:ascii="Times New Roman" w:hAnsi="Times New Roman" w:eastAsia="宋体" w:cs="Times New Roman"/>
                <w:b w:val="0"/>
                <w:bCs/>
                <w:color w:val="auto"/>
                <w:sz w:val="24"/>
                <w:szCs w:val="24"/>
                <w:u w:val="wave" w:color="auto"/>
                <w:lang w:val="en-US" w:eastAsia="zh-CN"/>
              </w:rPr>
              <w:t>%</w:t>
            </w:r>
            <w:r>
              <w:rPr>
                <w:rFonts w:hint="eastAsia" w:cs="Times New Roman"/>
                <w:b w:val="0"/>
                <w:bCs/>
                <w:color w:val="auto"/>
                <w:sz w:val="24"/>
                <w:szCs w:val="24"/>
                <w:u w:val="wave" w:color="auto"/>
                <w:lang w:val="en-US" w:eastAsia="zh-CN"/>
              </w:rPr>
              <w:t>、</w:t>
            </w:r>
            <w:r>
              <w:rPr>
                <w:rFonts w:hint="eastAsia" w:ascii="Times New Roman" w:hAnsi="Times New Roman" w:cs="Times New Roman"/>
                <w:b w:val="0"/>
                <w:bCs/>
                <w:color w:val="auto"/>
                <w:sz w:val="24"/>
                <w:szCs w:val="24"/>
                <w:u w:val="wave" w:color="auto"/>
                <w:lang w:val="en-US" w:eastAsia="zh-CN"/>
              </w:rPr>
              <w:t>0.77</w:t>
            </w:r>
            <w:r>
              <w:rPr>
                <w:rFonts w:hint="eastAsia" w:ascii="Times New Roman" w:hAnsi="Times New Roman" w:eastAsia="宋体" w:cs="Times New Roman"/>
                <w:b w:val="0"/>
                <w:bCs/>
                <w:color w:val="auto"/>
                <w:sz w:val="24"/>
                <w:szCs w:val="24"/>
                <w:u w:val="wave" w:color="auto"/>
                <w:lang w:val="en-US" w:eastAsia="zh-CN"/>
              </w:rPr>
              <w:t>%，</w:t>
            </w:r>
            <w:r>
              <w:rPr>
                <w:rFonts w:hint="default" w:ascii="Times New Roman" w:hAnsi="Times New Roman" w:eastAsia="宋体" w:cs="Times New Roman"/>
                <w:b w:val="0"/>
                <w:bCs/>
                <w:color w:val="auto"/>
                <w:sz w:val="24"/>
                <w:szCs w:val="24"/>
                <w:u w:val="wave" w:color="auto"/>
                <w:lang w:val="en-US" w:eastAsia="zh-CN"/>
              </w:rPr>
              <w:t>因此不会对污水处理厂处理水量造成冲击，不会对污水处理厂接收水质造成负担，因此本项目生活污水</w:t>
            </w:r>
            <w:r>
              <w:rPr>
                <w:rFonts w:hint="eastAsia" w:ascii="Times New Roman" w:hAnsi="Times New Roman" w:eastAsia="宋体" w:cs="Times New Roman"/>
                <w:b w:val="0"/>
                <w:bCs/>
                <w:color w:val="auto"/>
                <w:sz w:val="24"/>
                <w:szCs w:val="24"/>
                <w:u w:val="wave" w:color="auto"/>
                <w:lang w:val="en-US" w:eastAsia="zh-CN"/>
              </w:rPr>
              <w:t>排放</w:t>
            </w:r>
            <w:r>
              <w:rPr>
                <w:rFonts w:hint="default" w:ascii="Times New Roman" w:hAnsi="Times New Roman" w:eastAsia="宋体" w:cs="Times New Roman"/>
                <w:b w:val="0"/>
                <w:bCs/>
                <w:color w:val="auto"/>
                <w:sz w:val="24"/>
                <w:szCs w:val="24"/>
                <w:u w:val="wave" w:color="auto"/>
                <w:lang w:val="en-US" w:eastAsia="zh-CN"/>
              </w:rPr>
              <w:t>衡阳西渡高新区污水处理厂</w:t>
            </w:r>
            <w:r>
              <w:rPr>
                <w:rFonts w:hint="eastAsia" w:ascii="Times New Roman" w:hAnsi="Times New Roman" w:eastAsia="宋体" w:cs="Times New Roman"/>
                <w:b w:val="0"/>
                <w:bCs/>
                <w:color w:val="auto"/>
                <w:sz w:val="24"/>
                <w:szCs w:val="24"/>
                <w:u w:val="wave" w:color="auto"/>
                <w:lang w:val="en-US" w:eastAsia="zh-CN"/>
              </w:rPr>
              <w:t>深度处理是可行的</w:t>
            </w:r>
            <w:r>
              <w:rPr>
                <w:rFonts w:hint="default" w:ascii="Times New Roman" w:hAnsi="Times New Roman" w:eastAsia="宋体" w:cs="Times New Roman"/>
                <w:b w:val="0"/>
                <w:bCs/>
                <w:color w:val="auto"/>
                <w:sz w:val="24"/>
                <w:szCs w:val="24"/>
                <w:u w:val="wave" w:color="auto"/>
                <w:lang w:val="en-US" w:eastAsia="zh-CN"/>
              </w:rPr>
              <w:t>。</w:t>
            </w:r>
          </w:p>
          <w:p>
            <w:pPr>
              <w:pStyle w:val="59"/>
              <w:keepNext w:val="0"/>
              <w:keepLines w:val="0"/>
              <w:pageBreakBefore w:val="0"/>
              <w:widowControl w:val="0"/>
              <w:kinsoku/>
              <w:wordWrap/>
              <w:overflowPunct/>
              <w:topLinePunct w:val="0"/>
              <w:autoSpaceDE/>
              <w:autoSpaceDN/>
              <w:bidi w:val="0"/>
              <w:adjustRightInd/>
              <w:snapToGrid/>
              <w:spacing w:before="0" w:after="0" w:line="360" w:lineRule="auto"/>
              <w:ind w:leftChars="0" w:right="0" w:firstLine="482" w:firstLineChars="200"/>
              <w:jc w:val="both"/>
              <w:textAlignment w:val="auto"/>
              <w:rPr>
                <w:rFonts w:hint="default" w:ascii="Times New Roman" w:hAnsi="Times New Roman" w:eastAsia="宋体" w:cs="Times New Roman"/>
                <w:b/>
                <w:bCs/>
                <w:color w:val="auto"/>
                <w:sz w:val="24"/>
                <w:szCs w:val="24"/>
                <w:u w:val="wave" w:color="auto"/>
                <w:lang w:val="en-US" w:eastAsia="zh-CN"/>
              </w:rPr>
            </w:pPr>
            <w:r>
              <w:rPr>
                <w:rFonts w:hint="eastAsia" w:ascii="Times New Roman" w:hAnsi="Times New Roman" w:eastAsia="宋体" w:cs="Times New Roman"/>
                <w:b/>
                <w:bCs/>
                <w:color w:val="auto"/>
                <w:sz w:val="24"/>
                <w:szCs w:val="24"/>
                <w:u w:val="wave" w:color="auto"/>
                <w:lang w:val="en-US" w:eastAsia="zh-CN"/>
              </w:rPr>
              <w:t>3、污染源监测计划</w:t>
            </w:r>
          </w:p>
          <w:p>
            <w:pPr>
              <w:spacing w:line="360" w:lineRule="auto"/>
              <w:ind w:firstLine="480" w:firstLineChars="200"/>
              <w:rPr>
                <w:color w:val="auto"/>
                <w:sz w:val="24"/>
                <w:u w:val="wave" w:color="auto"/>
              </w:rPr>
            </w:pPr>
            <w:r>
              <w:rPr>
                <w:color w:val="auto"/>
                <w:sz w:val="24"/>
                <w:u w:val="wave" w:color="auto"/>
              </w:rPr>
              <w:t>根据</w:t>
            </w:r>
            <w:r>
              <w:rPr>
                <w:rFonts w:hint="eastAsia"/>
                <w:color w:val="auto"/>
                <w:sz w:val="24"/>
                <w:u w:val="wave" w:color="auto"/>
              </w:rPr>
              <w:t>《排污许可证申请与核发技术规范 废弃资源加工工业》（HJ 1034 -2019）、《排污许可证申请与核发技术规范 总则》（HJ 942-2018）</w:t>
            </w:r>
            <w:r>
              <w:rPr>
                <w:color w:val="auto"/>
                <w:sz w:val="24"/>
                <w:u w:val="wave" w:color="auto"/>
              </w:rPr>
              <w:t>要求制定本项目污染源监测计划，具体见表下。</w:t>
            </w:r>
          </w:p>
          <w:p>
            <w:pPr>
              <w:pStyle w:val="10"/>
              <w:snapToGrid/>
              <w:spacing w:before="0" w:after="0" w:line="360" w:lineRule="auto"/>
              <w:ind w:right="0"/>
              <w:jc w:val="center"/>
              <w:rPr>
                <w:b/>
                <w:bCs/>
                <w:color w:val="auto"/>
                <w:sz w:val="21"/>
                <w:szCs w:val="21"/>
                <w:u w:val="wave" w:color="auto"/>
              </w:rPr>
            </w:pPr>
            <w:r>
              <w:rPr>
                <w:b/>
                <w:bCs/>
                <w:color w:val="auto"/>
                <w:sz w:val="21"/>
                <w:szCs w:val="21"/>
                <w:u w:val="wave" w:color="auto"/>
              </w:rPr>
              <w:t>表4-</w:t>
            </w:r>
            <w:r>
              <w:rPr>
                <w:rFonts w:hint="eastAsia"/>
                <w:b/>
                <w:bCs/>
                <w:color w:val="auto"/>
                <w:sz w:val="21"/>
                <w:szCs w:val="21"/>
                <w:u w:val="wave" w:color="auto"/>
                <w:lang w:val="en-US" w:eastAsia="zh-CN"/>
              </w:rPr>
              <w:t xml:space="preserve">7 </w:t>
            </w:r>
            <w:r>
              <w:rPr>
                <w:b/>
                <w:bCs/>
                <w:color w:val="auto"/>
                <w:sz w:val="21"/>
                <w:szCs w:val="21"/>
                <w:u w:val="wave" w:color="auto"/>
              </w:rPr>
              <w:t xml:space="preserve"> </w:t>
            </w:r>
            <w:r>
              <w:rPr>
                <w:rFonts w:hint="eastAsia"/>
                <w:b/>
                <w:bCs/>
                <w:color w:val="auto"/>
                <w:sz w:val="21"/>
                <w:szCs w:val="21"/>
                <w:u w:val="wave" w:color="auto"/>
                <w:lang w:eastAsia="zh-CN"/>
              </w:rPr>
              <w:t>废水</w:t>
            </w:r>
            <w:r>
              <w:rPr>
                <w:b/>
                <w:bCs/>
                <w:color w:val="auto"/>
                <w:sz w:val="21"/>
                <w:szCs w:val="21"/>
                <w:u w:val="wave" w:color="auto"/>
              </w:rPr>
              <w:t>污染物监测计划</w:t>
            </w:r>
          </w:p>
          <w:tbl>
            <w:tblPr>
              <w:tblStyle w:val="25"/>
              <w:tblW w:w="5000"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210"/>
              <w:gridCol w:w="1470"/>
              <w:gridCol w:w="2611"/>
              <w:gridCol w:w="2829"/>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745" w:type="pct"/>
                  <w:noWrap w:val="0"/>
                  <w:vAlign w:val="center"/>
                </w:tcPr>
                <w:p>
                  <w:pPr>
                    <w:jc w:val="center"/>
                    <w:rPr>
                      <w:b/>
                      <w:bCs/>
                      <w:color w:val="auto"/>
                      <w:sz w:val="21"/>
                      <w:szCs w:val="21"/>
                      <w:u w:val="wave" w:color="auto"/>
                    </w:rPr>
                  </w:pPr>
                  <w:r>
                    <w:rPr>
                      <w:b/>
                      <w:bCs/>
                      <w:color w:val="auto"/>
                      <w:sz w:val="21"/>
                      <w:szCs w:val="21"/>
                      <w:u w:val="wave" w:color="auto"/>
                    </w:rPr>
                    <w:t>监测点位</w:t>
                  </w:r>
                </w:p>
              </w:tc>
              <w:tc>
                <w:tcPr>
                  <w:tcW w:w="905" w:type="pct"/>
                  <w:noWrap w:val="0"/>
                  <w:vAlign w:val="center"/>
                </w:tcPr>
                <w:p>
                  <w:pPr>
                    <w:jc w:val="center"/>
                    <w:rPr>
                      <w:b/>
                      <w:bCs/>
                      <w:color w:val="auto"/>
                      <w:sz w:val="21"/>
                      <w:szCs w:val="21"/>
                      <w:u w:val="wave" w:color="auto"/>
                    </w:rPr>
                  </w:pPr>
                  <w:r>
                    <w:rPr>
                      <w:b/>
                      <w:bCs/>
                      <w:color w:val="auto"/>
                      <w:sz w:val="21"/>
                      <w:szCs w:val="21"/>
                      <w:u w:val="wave" w:color="auto"/>
                    </w:rPr>
                    <w:t>监测指标</w:t>
                  </w:r>
                </w:p>
              </w:tc>
              <w:tc>
                <w:tcPr>
                  <w:tcW w:w="1607" w:type="pct"/>
                  <w:noWrap w:val="0"/>
                  <w:vAlign w:val="center"/>
                </w:tcPr>
                <w:p>
                  <w:pPr>
                    <w:jc w:val="center"/>
                    <w:rPr>
                      <w:b/>
                      <w:bCs/>
                      <w:color w:val="auto"/>
                      <w:sz w:val="21"/>
                      <w:szCs w:val="21"/>
                      <w:u w:val="wave" w:color="auto"/>
                    </w:rPr>
                  </w:pPr>
                  <w:r>
                    <w:rPr>
                      <w:b/>
                      <w:bCs/>
                      <w:color w:val="auto"/>
                      <w:sz w:val="21"/>
                      <w:szCs w:val="21"/>
                      <w:u w:val="wave" w:color="auto"/>
                    </w:rPr>
                    <w:t>监测频次</w:t>
                  </w:r>
                </w:p>
              </w:tc>
              <w:tc>
                <w:tcPr>
                  <w:tcW w:w="1741" w:type="pct"/>
                  <w:noWrap w:val="0"/>
                  <w:vAlign w:val="center"/>
                </w:tcPr>
                <w:p>
                  <w:pPr>
                    <w:jc w:val="center"/>
                    <w:rPr>
                      <w:b/>
                      <w:bCs/>
                      <w:color w:val="auto"/>
                      <w:sz w:val="21"/>
                      <w:szCs w:val="21"/>
                      <w:u w:val="wave" w:color="auto"/>
                    </w:rPr>
                  </w:pPr>
                  <w:r>
                    <w:rPr>
                      <w:b/>
                      <w:bCs/>
                      <w:color w:val="auto"/>
                      <w:sz w:val="21"/>
                      <w:szCs w:val="21"/>
                      <w:u w:val="wave" w:color="auto"/>
                    </w:rPr>
                    <w:t>执行标准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trHeight w:val="450" w:hRule="atLeast"/>
                <w:jc w:val="center"/>
              </w:trPr>
              <w:tc>
                <w:tcPr>
                  <w:tcW w:w="745" w:type="pct"/>
                  <w:noWrap w:val="0"/>
                  <w:vAlign w:val="center"/>
                </w:tcPr>
                <w:p>
                  <w:pPr>
                    <w:pStyle w:val="10"/>
                    <w:snapToGrid/>
                    <w:spacing w:before="0" w:after="0" w:line="240" w:lineRule="auto"/>
                    <w:ind w:right="0" w:rightChars="0"/>
                    <w:jc w:val="center"/>
                    <w:rPr>
                      <w:rFonts w:hint="default" w:eastAsia="宋体"/>
                      <w:bCs/>
                      <w:color w:val="auto"/>
                      <w:kern w:val="0"/>
                      <w:sz w:val="21"/>
                      <w:szCs w:val="21"/>
                      <w:u w:val="wave" w:color="auto"/>
                      <w:lang w:val="en-US" w:eastAsia="zh-CN" w:bidi="ar-SA"/>
                    </w:rPr>
                  </w:pPr>
                  <w:r>
                    <w:rPr>
                      <w:rFonts w:hint="eastAsia" w:ascii="Times New Roman" w:hAnsi="Times New Roman" w:cs="Times New Roman"/>
                      <w:color w:val="auto"/>
                      <w:spacing w:val="0"/>
                      <w:kern w:val="2"/>
                      <w:sz w:val="21"/>
                      <w:szCs w:val="21"/>
                      <w:u w:val="wave" w:color="auto"/>
                      <w:vertAlign w:val="baseline"/>
                      <w:lang w:val="en-US" w:eastAsia="zh-CN" w:bidi="ar-SA"/>
                    </w:rPr>
                    <w:t>生活污水</w:t>
                  </w:r>
                  <w:r>
                    <w:rPr>
                      <w:rFonts w:hint="default" w:ascii="Times New Roman" w:hAnsi="Times New Roman" w:cs="Times New Roman"/>
                      <w:color w:val="auto"/>
                      <w:spacing w:val="0"/>
                      <w:kern w:val="2"/>
                      <w:sz w:val="21"/>
                      <w:szCs w:val="21"/>
                      <w:u w:val="wave" w:color="auto"/>
                      <w:vertAlign w:val="baseline"/>
                      <w:lang w:val="en-US" w:eastAsia="zh-CN" w:bidi="ar-SA"/>
                    </w:rPr>
                    <w:t>排放口</w:t>
                  </w:r>
                  <w:r>
                    <w:rPr>
                      <w:rFonts w:hint="eastAsia"/>
                      <w:bCs/>
                      <w:color w:val="auto"/>
                      <w:sz w:val="21"/>
                      <w:szCs w:val="21"/>
                      <w:u w:val="wave" w:color="auto"/>
                      <w:lang w:val="en-US" w:eastAsia="zh-CN"/>
                    </w:rPr>
                    <w:t>DW001</w:t>
                  </w:r>
                </w:p>
              </w:tc>
              <w:tc>
                <w:tcPr>
                  <w:tcW w:w="905" w:type="pct"/>
                  <w:noWrap w:val="0"/>
                  <w:vAlign w:val="center"/>
                </w:tcPr>
                <w:p>
                  <w:pPr>
                    <w:jc w:val="center"/>
                    <w:rPr>
                      <w:rFonts w:hint="default" w:eastAsia="宋体"/>
                      <w:color w:val="auto"/>
                      <w:sz w:val="21"/>
                      <w:szCs w:val="21"/>
                      <w:u w:val="wave" w:color="auto"/>
                      <w:lang w:val="en-US" w:eastAsia="zh-CN"/>
                    </w:rPr>
                  </w:pPr>
                  <w:r>
                    <w:rPr>
                      <w:rFonts w:hint="eastAsia" w:eastAsia="宋体"/>
                      <w:color w:val="auto"/>
                      <w:sz w:val="21"/>
                      <w:szCs w:val="21"/>
                      <w:u w:val="wave" w:color="auto"/>
                      <w:lang w:val="en-US" w:eastAsia="zh-CN"/>
                    </w:rPr>
                    <w:t>pH值、COD、SS、BOD</w:t>
                  </w:r>
                  <w:r>
                    <w:rPr>
                      <w:rFonts w:hint="eastAsia" w:eastAsia="宋体"/>
                      <w:color w:val="auto"/>
                      <w:sz w:val="21"/>
                      <w:szCs w:val="21"/>
                      <w:u w:val="wave" w:color="auto"/>
                      <w:vertAlign w:val="subscript"/>
                      <w:lang w:val="en-US" w:eastAsia="zh-CN"/>
                    </w:rPr>
                    <w:t>5</w:t>
                  </w:r>
                  <w:r>
                    <w:rPr>
                      <w:rFonts w:hint="eastAsia" w:eastAsia="宋体"/>
                      <w:color w:val="auto"/>
                      <w:sz w:val="21"/>
                      <w:szCs w:val="21"/>
                      <w:u w:val="wave" w:color="auto"/>
                      <w:lang w:val="en-US" w:eastAsia="zh-CN"/>
                    </w:rPr>
                    <w:t>、NH</w:t>
                  </w:r>
                  <w:r>
                    <w:rPr>
                      <w:rFonts w:hint="eastAsia" w:eastAsia="宋体"/>
                      <w:color w:val="auto"/>
                      <w:sz w:val="21"/>
                      <w:szCs w:val="21"/>
                      <w:u w:val="wave" w:color="auto"/>
                      <w:vertAlign w:val="subscript"/>
                      <w:lang w:val="en-US" w:eastAsia="zh-CN"/>
                    </w:rPr>
                    <w:t>3</w:t>
                  </w:r>
                  <w:r>
                    <w:rPr>
                      <w:rFonts w:hint="eastAsia" w:eastAsia="宋体"/>
                      <w:color w:val="auto"/>
                      <w:sz w:val="21"/>
                      <w:szCs w:val="21"/>
                      <w:u w:val="wave" w:color="auto"/>
                      <w:lang w:val="en-US" w:eastAsia="zh-CN"/>
                    </w:rPr>
                    <w:t>-N、动植物油</w:t>
                  </w:r>
                </w:p>
              </w:tc>
              <w:tc>
                <w:tcPr>
                  <w:tcW w:w="1607" w:type="pct"/>
                  <w:noWrap w:val="0"/>
                  <w:vAlign w:val="center"/>
                </w:tcPr>
                <w:p>
                  <w:pPr>
                    <w:jc w:val="center"/>
                    <w:rPr>
                      <w:rFonts w:hint="eastAsia" w:eastAsia="宋体"/>
                      <w:color w:val="auto"/>
                      <w:sz w:val="21"/>
                      <w:szCs w:val="21"/>
                      <w:u w:val="wave" w:color="auto"/>
                      <w:lang w:val="en-US" w:eastAsia="zh-CN"/>
                    </w:rPr>
                  </w:pPr>
                  <w:r>
                    <w:rPr>
                      <w:color w:val="auto"/>
                      <w:sz w:val="21"/>
                      <w:szCs w:val="21"/>
                      <w:u w:val="wave" w:color="auto"/>
                    </w:rPr>
                    <w:t>1次/</w:t>
                  </w:r>
                  <w:r>
                    <w:rPr>
                      <w:rFonts w:hint="eastAsia"/>
                      <w:color w:val="auto"/>
                      <w:sz w:val="21"/>
                      <w:szCs w:val="21"/>
                      <w:u w:val="wave" w:color="auto"/>
                      <w:lang w:eastAsia="zh-CN"/>
                    </w:rPr>
                    <w:t>年</w:t>
                  </w:r>
                </w:p>
              </w:tc>
              <w:tc>
                <w:tcPr>
                  <w:tcW w:w="1741" w:type="pct"/>
                  <w:vMerge w:val="restart"/>
                  <w:noWrap w:val="0"/>
                  <w:vAlign w:val="center"/>
                </w:tcPr>
                <w:p>
                  <w:pPr>
                    <w:jc w:val="center"/>
                    <w:rPr>
                      <w:color w:val="auto"/>
                      <w:sz w:val="21"/>
                      <w:szCs w:val="21"/>
                      <w:u w:val="wave" w:color="auto"/>
                    </w:rPr>
                  </w:pPr>
                  <w:r>
                    <w:rPr>
                      <w:rFonts w:hint="eastAsia" w:ascii="Times New Roman" w:hAnsi="宋体" w:eastAsia="宋体" w:cs="Times New Roman"/>
                      <w:color w:val="auto"/>
                      <w:sz w:val="21"/>
                      <w:szCs w:val="21"/>
                      <w:u w:val="wave" w:color="auto"/>
                      <w:lang w:eastAsia="zh-CN"/>
                    </w:rPr>
                    <w:t>《污水综合排放标准》（GB8978-1996）中的三级标准与“衡阳县西渡高新区污水处理厂设计进水水质限值”较严者</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745" w:type="pct"/>
                  <w:noWrap w:val="0"/>
                  <w:vAlign w:val="center"/>
                </w:tcPr>
                <w:p>
                  <w:pPr>
                    <w:pStyle w:val="10"/>
                    <w:snapToGrid/>
                    <w:spacing w:before="0" w:after="0" w:line="240" w:lineRule="auto"/>
                    <w:ind w:right="0" w:rightChars="0"/>
                    <w:jc w:val="center"/>
                    <w:rPr>
                      <w:rFonts w:hint="default" w:ascii="Times New Roman" w:hAnsi="Times New Roman" w:cs="Times New Roman"/>
                      <w:color w:val="auto"/>
                      <w:spacing w:val="0"/>
                      <w:kern w:val="2"/>
                      <w:sz w:val="21"/>
                      <w:szCs w:val="21"/>
                      <w:u w:val="wave" w:color="auto"/>
                      <w:vertAlign w:val="baseline"/>
                      <w:lang w:val="en-US" w:eastAsia="zh-CN" w:bidi="ar-SA"/>
                    </w:rPr>
                  </w:pPr>
                  <w:r>
                    <w:rPr>
                      <w:rFonts w:hint="eastAsia" w:cs="Times New Roman"/>
                      <w:color w:val="auto"/>
                      <w:spacing w:val="0"/>
                      <w:kern w:val="2"/>
                      <w:sz w:val="21"/>
                      <w:szCs w:val="21"/>
                      <w:u w:val="wave" w:color="auto"/>
                      <w:vertAlign w:val="baseline"/>
                      <w:lang w:val="en-US" w:eastAsia="zh-CN" w:bidi="ar-SA"/>
                    </w:rPr>
                    <w:t>生产废水排放口DW002</w:t>
                  </w:r>
                </w:p>
              </w:tc>
              <w:tc>
                <w:tcPr>
                  <w:tcW w:w="905" w:type="pct"/>
                  <w:noWrap w:val="0"/>
                  <w:vAlign w:val="center"/>
                </w:tcPr>
                <w:p>
                  <w:pPr>
                    <w:jc w:val="center"/>
                    <w:rPr>
                      <w:rFonts w:hint="eastAsia" w:eastAsia="宋体"/>
                      <w:color w:val="auto"/>
                      <w:sz w:val="21"/>
                      <w:szCs w:val="21"/>
                      <w:u w:val="wave" w:color="auto"/>
                      <w:lang w:val="en-US" w:eastAsia="zh-CN"/>
                    </w:rPr>
                  </w:pPr>
                  <w:r>
                    <w:rPr>
                      <w:rFonts w:hint="eastAsia" w:eastAsia="宋体"/>
                      <w:color w:val="auto"/>
                      <w:sz w:val="21"/>
                      <w:szCs w:val="21"/>
                      <w:u w:val="wave" w:color="auto"/>
                      <w:lang w:val="en-US" w:eastAsia="zh-CN"/>
                    </w:rPr>
                    <w:t>COD、SS、</w:t>
                  </w:r>
                  <w:r>
                    <w:rPr>
                      <w:rFonts w:hint="eastAsia"/>
                      <w:color w:val="auto"/>
                      <w:sz w:val="21"/>
                      <w:szCs w:val="21"/>
                      <w:u w:val="wave" w:color="auto"/>
                      <w:lang w:val="en-US" w:eastAsia="zh-CN"/>
                    </w:rPr>
                    <w:t>石油类</w:t>
                  </w:r>
                </w:p>
              </w:tc>
              <w:tc>
                <w:tcPr>
                  <w:tcW w:w="1607" w:type="pct"/>
                  <w:noWrap w:val="0"/>
                  <w:vAlign w:val="center"/>
                </w:tcPr>
                <w:p>
                  <w:pPr>
                    <w:jc w:val="center"/>
                    <w:rPr>
                      <w:color w:val="auto"/>
                      <w:sz w:val="21"/>
                      <w:szCs w:val="21"/>
                      <w:u w:val="wave" w:color="auto"/>
                    </w:rPr>
                  </w:pPr>
                  <w:r>
                    <w:rPr>
                      <w:color w:val="auto"/>
                      <w:sz w:val="21"/>
                      <w:szCs w:val="21"/>
                      <w:u w:val="wave" w:color="auto"/>
                    </w:rPr>
                    <w:t>1次/</w:t>
                  </w:r>
                  <w:r>
                    <w:rPr>
                      <w:rFonts w:hint="eastAsia"/>
                      <w:color w:val="auto"/>
                      <w:sz w:val="21"/>
                      <w:szCs w:val="21"/>
                      <w:u w:val="wave" w:color="auto"/>
                      <w:lang w:eastAsia="zh-CN"/>
                    </w:rPr>
                    <w:t>年</w:t>
                  </w:r>
                </w:p>
              </w:tc>
              <w:tc>
                <w:tcPr>
                  <w:tcW w:w="1741" w:type="pct"/>
                  <w:vMerge w:val="continue"/>
                  <w:noWrap w:val="0"/>
                  <w:vAlign w:val="center"/>
                </w:tcPr>
                <w:p>
                  <w:pPr>
                    <w:jc w:val="center"/>
                    <w:rPr>
                      <w:rFonts w:hint="eastAsia" w:ascii="Times New Roman" w:hAnsi="宋体" w:eastAsia="宋体" w:cs="Times New Roman"/>
                      <w:color w:val="auto"/>
                      <w:sz w:val="21"/>
                      <w:szCs w:val="21"/>
                      <w:u w:val="wave" w:color="auto"/>
                      <w:lang w:eastAsia="zh-CN"/>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PrEx>
              <w:trPr>
                <w:trHeight w:val="450" w:hRule="atLeast"/>
                <w:jc w:val="center"/>
              </w:trPr>
              <w:tc>
                <w:tcPr>
                  <w:tcW w:w="745" w:type="pct"/>
                  <w:noWrap w:val="0"/>
                  <w:vAlign w:val="center"/>
                </w:tcPr>
                <w:p>
                  <w:pPr>
                    <w:pStyle w:val="10"/>
                    <w:snapToGrid/>
                    <w:spacing w:before="0" w:after="0" w:line="240" w:lineRule="auto"/>
                    <w:ind w:right="0" w:rightChars="0"/>
                    <w:jc w:val="center"/>
                    <w:rPr>
                      <w:rFonts w:hint="eastAsia" w:ascii="Times New Roman" w:hAnsi="Times New Roman" w:cs="Times New Roman"/>
                      <w:color w:val="auto"/>
                      <w:spacing w:val="0"/>
                      <w:kern w:val="2"/>
                      <w:sz w:val="21"/>
                      <w:szCs w:val="21"/>
                      <w:u w:val="wave" w:color="auto"/>
                      <w:vertAlign w:val="baseline"/>
                      <w:lang w:val="en-US" w:eastAsia="zh-CN" w:bidi="ar-SA"/>
                    </w:rPr>
                  </w:pPr>
                  <w:r>
                    <w:rPr>
                      <w:rFonts w:hint="eastAsia" w:ascii="Times New Roman" w:hAnsi="Times New Roman" w:cs="Times New Roman"/>
                      <w:color w:val="auto"/>
                      <w:spacing w:val="0"/>
                      <w:kern w:val="2"/>
                      <w:sz w:val="21"/>
                      <w:szCs w:val="21"/>
                      <w:u w:val="wave" w:color="auto"/>
                      <w:vertAlign w:val="baseline"/>
                      <w:lang w:val="en-US" w:eastAsia="zh-CN" w:bidi="ar-SA"/>
                    </w:rPr>
                    <w:t>雨水排放口（YS001）</w:t>
                  </w:r>
                </w:p>
              </w:tc>
              <w:tc>
                <w:tcPr>
                  <w:tcW w:w="905" w:type="pct"/>
                  <w:noWrap w:val="0"/>
                  <w:vAlign w:val="center"/>
                </w:tcPr>
                <w:p>
                  <w:pPr>
                    <w:jc w:val="center"/>
                    <w:rPr>
                      <w:rFonts w:hint="default" w:eastAsia="宋体"/>
                      <w:color w:val="auto"/>
                      <w:sz w:val="21"/>
                      <w:szCs w:val="21"/>
                      <w:u w:val="wave" w:color="auto"/>
                      <w:lang w:val="en-US" w:eastAsia="zh-CN"/>
                    </w:rPr>
                  </w:pPr>
                  <w:r>
                    <w:rPr>
                      <w:rFonts w:hint="eastAsia" w:eastAsia="宋体"/>
                      <w:color w:val="auto"/>
                      <w:sz w:val="21"/>
                      <w:szCs w:val="21"/>
                      <w:u w:val="wave" w:color="auto"/>
                      <w:lang w:val="en-US" w:eastAsia="zh-CN"/>
                    </w:rPr>
                    <w:t>SS、COD、石油类</w:t>
                  </w:r>
                </w:p>
              </w:tc>
              <w:tc>
                <w:tcPr>
                  <w:tcW w:w="1607" w:type="pct"/>
                  <w:noWrap w:val="0"/>
                  <w:vAlign w:val="center"/>
                </w:tcPr>
                <w:p>
                  <w:pPr>
                    <w:jc w:val="center"/>
                    <w:rPr>
                      <w:rFonts w:hint="default" w:eastAsia="宋体"/>
                      <w:color w:val="auto"/>
                      <w:sz w:val="21"/>
                      <w:szCs w:val="21"/>
                      <w:u w:val="wave" w:color="auto"/>
                      <w:lang w:val="en-US" w:eastAsia="zh-CN"/>
                    </w:rPr>
                  </w:pPr>
                  <w:r>
                    <w:rPr>
                      <w:rFonts w:hint="eastAsia"/>
                      <w:color w:val="auto"/>
                      <w:sz w:val="21"/>
                      <w:szCs w:val="21"/>
                      <w:u w:val="wave" w:color="auto"/>
                      <w:lang w:val="en-US" w:eastAsia="zh-CN"/>
                    </w:rPr>
                    <w:t>1次/日（排放口有流动水排放时，在连续一年检测结果均无异常的情况下，转为按季度进行监测）</w:t>
                  </w:r>
                </w:p>
              </w:tc>
              <w:tc>
                <w:tcPr>
                  <w:tcW w:w="1741" w:type="pct"/>
                  <w:noWrap w:val="0"/>
                  <w:vAlign w:val="center"/>
                </w:tcPr>
                <w:p>
                  <w:pPr>
                    <w:jc w:val="center"/>
                    <w:rPr>
                      <w:rFonts w:hint="default" w:ascii="Times New Roman" w:hAnsi="宋体" w:eastAsia="宋体" w:cs="Times New Roman"/>
                      <w:color w:val="auto"/>
                      <w:sz w:val="21"/>
                      <w:szCs w:val="21"/>
                      <w:u w:val="wave" w:color="auto"/>
                      <w:lang w:val="en-US" w:eastAsia="zh-CN"/>
                    </w:rPr>
                  </w:pPr>
                  <w:r>
                    <w:rPr>
                      <w:rFonts w:hint="eastAsia" w:ascii="Times New Roman" w:hAnsi="宋体" w:eastAsia="宋体" w:cs="Times New Roman"/>
                      <w:color w:val="auto"/>
                      <w:sz w:val="21"/>
                      <w:szCs w:val="21"/>
                      <w:u w:val="wave" w:color="auto"/>
                      <w:lang w:val="en-US" w:eastAsia="zh-CN"/>
                    </w:rPr>
                    <w:t>/</w:t>
                  </w:r>
                </w:p>
              </w:tc>
            </w:tr>
          </w:tbl>
          <w:p>
            <w:pPr>
              <w:pStyle w:val="59"/>
              <w:keepNext w:val="0"/>
              <w:keepLines w:val="0"/>
              <w:pageBreakBefore w:val="0"/>
              <w:widowControl w:val="0"/>
              <w:kinsoku/>
              <w:wordWrap/>
              <w:overflowPunct/>
              <w:topLinePunct w:val="0"/>
              <w:autoSpaceDE/>
              <w:autoSpaceDN/>
              <w:bidi w:val="0"/>
              <w:adjustRightInd/>
              <w:snapToGrid/>
              <w:spacing w:line="360" w:lineRule="auto"/>
              <w:ind w:leftChars="0" w:firstLine="482" w:firstLineChars="200"/>
              <w:jc w:val="both"/>
              <w:textAlignment w:val="auto"/>
              <w:rPr>
                <w:rFonts w:hint="default" w:ascii="Times New Roman" w:hAnsi="Times New Roman" w:eastAsia="宋体" w:cs="Times New Roman"/>
                <w:b/>
                <w:bCs/>
                <w:color w:val="auto"/>
                <w:sz w:val="24"/>
                <w:szCs w:val="24"/>
                <w:u w:val="none"/>
                <w:lang w:eastAsia="zh-CN"/>
              </w:rPr>
            </w:pPr>
            <w:r>
              <w:rPr>
                <w:rFonts w:hint="default" w:ascii="Times New Roman" w:hAnsi="Times New Roman" w:eastAsia="宋体" w:cs="Times New Roman"/>
                <w:b/>
                <w:bCs/>
                <w:color w:val="auto"/>
                <w:sz w:val="24"/>
                <w:szCs w:val="24"/>
                <w:u w:val="none"/>
                <w:lang w:eastAsia="zh-CN"/>
              </w:rPr>
              <w:t>（三）噪声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jc w:val="both"/>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1、</w:t>
            </w:r>
            <w:r>
              <w:rPr>
                <w:rFonts w:hint="default" w:ascii="Times New Roman" w:hAnsi="Times New Roman" w:eastAsia="宋体" w:cs="Times New Roman"/>
                <w:b/>
                <w:bCs/>
                <w:color w:val="auto"/>
                <w:sz w:val="24"/>
                <w:szCs w:val="24"/>
                <w:u w:val="none"/>
              </w:rPr>
              <w:t>噪声源强</w:t>
            </w:r>
            <w:r>
              <w:rPr>
                <w:rFonts w:hint="default" w:ascii="Times New Roman" w:hAnsi="Times New Roman" w:eastAsia="宋体" w:cs="Times New Roman"/>
                <w:b/>
                <w:bCs/>
                <w:color w:val="auto"/>
                <w:sz w:val="24"/>
                <w:szCs w:val="24"/>
                <w:u w:val="none"/>
                <w:lang w:val="en-US" w:eastAsia="zh-CN"/>
              </w:rPr>
              <w:t>以及防治措施</w:t>
            </w:r>
          </w:p>
          <w:p>
            <w:pPr>
              <w:pStyle w:val="68"/>
              <w:spacing w:line="360" w:lineRule="auto"/>
              <w:ind w:firstLine="480" w:firstLineChars="200"/>
              <w:jc w:val="both"/>
              <w:rPr>
                <w:rFonts w:hint="eastAsia"/>
                <w:color w:val="auto"/>
                <w:sz w:val="24"/>
                <w:szCs w:val="24"/>
                <w:lang w:eastAsia="zh-CN"/>
              </w:rPr>
            </w:pPr>
            <w:r>
              <w:rPr>
                <w:rFonts w:hint="default" w:ascii="Times New Roman" w:hAnsi="Times New Roman" w:eastAsia="宋体" w:cs="Times New Roman"/>
                <w:color w:val="auto"/>
                <w:kern w:val="0"/>
                <w:sz w:val="24"/>
                <w:szCs w:val="24"/>
                <w:u w:val="none" w:color="auto"/>
                <w:lang w:val="en-US" w:eastAsia="zh-CN" w:bidi="ar"/>
              </w:rPr>
              <w:t>项目噪声主要为拆解车间中各生产设备运行时产生的噪声，源强约80~85dB（A），其主要设备噪声见表4-</w:t>
            </w:r>
            <w:r>
              <w:rPr>
                <w:rFonts w:hint="eastAsia" w:ascii="Times New Roman" w:hAnsi="Times New Roman" w:cs="Times New Roman"/>
                <w:color w:val="auto"/>
                <w:kern w:val="0"/>
                <w:sz w:val="24"/>
                <w:szCs w:val="24"/>
                <w:u w:val="none" w:color="auto"/>
                <w:lang w:val="en-US" w:eastAsia="zh-CN" w:bidi="ar"/>
              </w:rPr>
              <w:t>8、4-9</w:t>
            </w:r>
            <w:r>
              <w:rPr>
                <w:rFonts w:hint="eastAsia"/>
                <w:color w:val="auto"/>
                <w:sz w:val="24"/>
                <w:szCs w:val="24"/>
                <w:lang w:eastAsia="zh-CN"/>
              </w:rPr>
              <w:t>。</w:t>
            </w:r>
          </w:p>
          <w:p>
            <w:pPr>
              <w:keepNext w:val="0"/>
              <w:keepLines w:val="0"/>
              <w:widowControl/>
              <w:suppressLineNumbers w:val="0"/>
              <w:spacing w:line="360" w:lineRule="auto"/>
              <w:jc w:val="center"/>
              <w:rPr>
                <w:rFonts w:hint="default" w:ascii="Times New Roman" w:hAnsi="Times New Roman" w:eastAsia="宋体" w:cs="Times New Roman"/>
                <w:color w:val="auto"/>
                <w:u w:val="none" w:color="auto"/>
                <w:lang w:val="en-US"/>
              </w:rPr>
            </w:pPr>
            <w:r>
              <w:rPr>
                <w:rFonts w:hint="default" w:ascii="Times New Roman" w:hAnsi="Times New Roman" w:eastAsia="宋体" w:cs="Times New Roman"/>
                <w:b/>
                <w:bCs/>
                <w:color w:val="auto"/>
                <w:kern w:val="0"/>
                <w:sz w:val="21"/>
                <w:szCs w:val="21"/>
                <w:u w:val="none" w:color="auto"/>
                <w:lang w:val="en-US" w:eastAsia="zh-CN" w:bidi="ar"/>
              </w:rPr>
              <w:t>表4-</w:t>
            </w:r>
            <w:r>
              <w:rPr>
                <w:rFonts w:hint="eastAsia" w:ascii="Times New Roman" w:hAnsi="Times New Roman" w:eastAsia="宋体" w:cs="Times New Roman"/>
                <w:b/>
                <w:bCs/>
                <w:color w:val="auto"/>
                <w:kern w:val="0"/>
                <w:sz w:val="21"/>
                <w:szCs w:val="21"/>
                <w:u w:val="none" w:color="auto"/>
                <w:lang w:val="en-US" w:eastAsia="zh-CN" w:bidi="ar"/>
              </w:rPr>
              <w:t>8</w:t>
            </w:r>
            <w:r>
              <w:rPr>
                <w:rFonts w:hint="default" w:ascii="Times New Roman" w:hAnsi="Times New Roman" w:eastAsia="宋体" w:cs="Times New Roman"/>
                <w:b/>
                <w:bCs/>
                <w:color w:val="auto"/>
                <w:kern w:val="0"/>
                <w:sz w:val="21"/>
                <w:szCs w:val="21"/>
                <w:u w:val="none" w:color="auto"/>
                <w:lang w:val="en-US" w:eastAsia="zh-CN" w:bidi="ar"/>
              </w:rPr>
              <w:t xml:space="preserve"> 主要噪声源及噪声强度一览表</w:t>
            </w:r>
            <w:r>
              <w:rPr>
                <w:rFonts w:hint="eastAsia" w:ascii="Times New Roman" w:hAnsi="Times New Roman" w:cs="Times New Roman"/>
                <w:b/>
                <w:bCs/>
                <w:color w:val="auto"/>
                <w:kern w:val="0"/>
                <w:sz w:val="21"/>
                <w:szCs w:val="21"/>
                <w:u w:val="none" w:color="auto"/>
                <w:lang w:val="en-US" w:eastAsia="zh-CN" w:bidi="ar"/>
              </w:rPr>
              <w:t>（</w:t>
            </w:r>
            <w:r>
              <w:rPr>
                <w:rFonts w:hint="eastAsia" w:cs="Times New Roman"/>
                <w:b/>
                <w:bCs/>
                <w:color w:val="auto"/>
                <w:kern w:val="0"/>
                <w:sz w:val="21"/>
                <w:szCs w:val="21"/>
                <w:u w:val="none" w:color="auto"/>
                <w:lang w:val="en-US" w:eastAsia="zh-CN" w:bidi="ar"/>
              </w:rPr>
              <w:t>室内</w:t>
            </w:r>
            <w:r>
              <w:rPr>
                <w:rFonts w:hint="eastAsia" w:ascii="Times New Roman" w:hAnsi="Times New Roman" w:cs="Times New Roman"/>
                <w:b/>
                <w:bCs/>
                <w:color w:val="auto"/>
                <w:kern w:val="0"/>
                <w:sz w:val="21"/>
                <w:szCs w:val="21"/>
                <w:u w:val="none" w:color="auto"/>
                <w:lang w:val="en-US" w:eastAsia="zh-CN" w:bidi="ar"/>
              </w:rPr>
              <w:t>声源）</w:t>
            </w:r>
          </w:p>
          <w:tbl>
            <w:tblPr>
              <w:tblStyle w:val="25"/>
              <w:tblW w:w="8076"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79"/>
              <w:gridCol w:w="527"/>
              <w:gridCol w:w="660"/>
              <w:gridCol w:w="480"/>
              <w:gridCol w:w="440"/>
              <w:gridCol w:w="525"/>
              <w:gridCol w:w="503"/>
              <w:gridCol w:w="398"/>
              <w:gridCol w:w="504"/>
              <w:gridCol w:w="360"/>
              <w:gridCol w:w="436"/>
              <w:gridCol w:w="364"/>
              <w:gridCol w:w="438"/>
              <w:gridCol w:w="11"/>
              <w:gridCol w:w="424"/>
              <w:gridCol w:w="435"/>
              <w:gridCol w:w="490"/>
              <w:gridCol w:w="462"/>
              <w:gridCol w:w="34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序号</w:t>
                  </w:r>
                </w:p>
              </w:tc>
              <w:tc>
                <w:tcPr>
                  <w:tcW w:w="527"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建筑物名称</w:t>
                  </w:r>
                </w:p>
              </w:tc>
              <w:tc>
                <w:tcPr>
                  <w:tcW w:w="660"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声源名称</w:t>
                  </w:r>
                </w:p>
              </w:tc>
              <w:tc>
                <w:tcPr>
                  <w:tcW w:w="480"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声功率级/dB（A）</w:t>
                  </w:r>
                </w:p>
              </w:tc>
              <w:tc>
                <w:tcPr>
                  <w:tcW w:w="440"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声源控制措施</w:t>
                  </w:r>
                </w:p>
              </w:tc>
              <w:tc>
                <w:tcPr>
                  <w:tcW w:w="1426" w:type="dxa"/>
                  <w:gridSpan w:val="3"/>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空间相对位置</w:t>
                  </w:r>
                  <w:r>
                    <w:rPr>
                      <w:color w:val="000000"/>
                      <w:kern w:val="0"/>
                      <w:sz w:val="18"/>
                      <w:szCs w:val="18"/>
                      <w:lang w:bidi="ar"/>
                    </w:rPr>
                    <w:t>/m</w:t>
                  </w:r>
                </w:p>
              </w:tc>
              <w:tc>
                <w:tcPr>
                  <w:tcW w:w="1664" w:type="dxa"/>
                  <w:gridSpan w:val="4"/>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距室内边界距离/m</w:t>
                  </w:r>
                </w:p>
              </w:tc>
              <w:tc>
                <w:tcPr>
                  <w:tcW w:w="1798" w:type="dxa"/>
                  <w:gridSpan w:val="5"/>
                  <w:vMerge w:val="restart"/>
                  <w:noWrap w:val="0"/>
                  <w:tcMar>
                    <w:top w:w="15" w:type="dxa"/>
                    <w:left w:w="15" w:type="dxa"/>
                    <w:right w:w="15" w:type="dxa"/>
                  </w:tcMar>
                  <w:vAlign w:val="center"/>
                </w:tcPr>
                <w:p>
                  <w:pPr>
                    <w:widowControl/>
                    <w:jc w:val="center"/>
                    <w:textAlignment w:val="center"/>
                    <w:rPr>
                      <w:b/>
                      <w:color w:val="000000"/>
                      <w:sz w:val="18"/>
                      <w:szCs w:val="18"/>
                    </w:rPr>
                  </w:pPr>
                  <w:r>
                    <w:rPr>
                      <w:rFonts w:hint="eastAsia"/>
                      <w:b/>
                      <w:color w:val="000000"/>
                      <w:kern w:val="0"/>
                      <w:sz w:val="18"/>
                      <w:szCs w:val="18"/>
                      <w:lang w:bidi="ar"/>
                    </w:rPr>
                    <w:t>室内边界声级/dB(A)</w:t>
                  </w:r>
                </w:p>
              </w:tc>
              <w:tc>
                <w:tcPr>
                  <w:tcW w:w="462" w:type="dxa"/>
                  <w:vMerge w:val="restart"/>
                  <w:noWrap w:val="0"/>
                  <w:tcMar>
                    <w:top w:w="15" w:type="dxa"/>
                    <w:left w:w="15" w:type="dxa"/>
                    <w:right w:w="15" w:type="dxa"/>
                  </w:tcMar>
                  <w:vAlign w:val="center"/>
                </w:tcPr>
                <w:p>
                  <w:pPr>
                    <w:widowControl/>
                    <w:jc w:val="center"/>
                    <w:textAlignment w:val="center"/>
                    <w:rPr>
                      <w:b/>
                      <w:color w:val="000000"/>
                      <w:kern w:val="0"/>
                      <w:sz w:val="18"/>
                      <w:szCs w:val="18"/>
                      <w:lang w:bidi="ar"/>
                    </w:rPr>
                  </w:pPr>
                  <w:r>
                    <w:rPr>
                      <w:rFonts w:hint="eastAsia"/>
                      <w:b/>
                      <w:color w:val="000000"/>
                      <w:kern w:val="0"/>
                      <w:sz w:val="18"/>
                      <w:szCs w:val="18"/>
                      <w:lang w:bidi="ar"/>
                    </w:rPr>
                    <w:t>建筑物插入损失/dB(A)</w:t>
                  </w:r>
                </w:p>
              </w:tc>
              <w:tc>
                <w:tcPr>
                  <w:tcW w:w="340" w:type="dxa"/>
                  <w:vMerge w:val="restart"/>
                  <w:noWrap w:val="0"/>
                  <w:tcMar>
                    <w:top w:w="15" w:type="dxa"/>
                    <w:left w:w="15" w:type="dxa"/>
                    <w:right w:w="15" w:type="dxa"/>
                  </w:tcMar>
                  <w:vAlign w:val="center"/>
                </w:tcPr>
                <w:p>
                  <w:pPr>
                    <w:widowControl/>
                    <w:jc w:val="center"/>
                    <w:textAlignment w:val="center"/>
                    <w:rPr>
                      <w:color w:val="000000"/>
                      <w:sz w:val="18"/>
                      <w:szCs w:val="18"/>
                    </w:rPr>
                  </w:pPr>
                  <w:r>
                    <w:rPr>
                      <w:b/>
                      <w:color w:val="000000"/>
                      <w:kern w:val="0"/>
                      <w:sz w:val="18"/>
                      <w:szCs w:val="18"/>
                      <w:lang w:bidi="ar"/>
                    </w:rPr>
                    <w:t>运行时段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79" w:type="dxa"/>
                  <w:vMerge w:val="continue"/>
                  <w:noWrap w:val="0"/>
                  <w:tcMar>
                    <w:top w:w="15" w:type="dxa"/>
                    <w:left w:w="15" w:type="dxa"/>
                    <w:right w:w="15" w:type="dxa"/>
                  </w:tcMar>
                  <w:vAlign w:val="center"/>
                </w:tcPr>
                <w:p>
                  <w:pPr>
                    <w:jc w:val="center"/>
                    <w:rPr>
                      <w:b/>
                      <w:color w:val="000000"/>
                      <w:sz w:val="18"/>
                      <w:szCs w:val="18"/>
                    </w:rPr>
                  </w:pPr>
                </w:p>
              </w:tc>
              <w:tc>
                <w:tcPr>
                  <w:tcW w:w="527" w:type="dxa"/>
                  <w:vMerge w:val="continue"/>
                  <w:noWrap w:val="0"/>
                  <w:tcMar>
                    <w:top w:w="15" w:type="dxa"/>
                    <w:left w:w="15" w:type="dxa"/>
                    <w:right w:w="15" w:type="dxa"/>
                  </w:tcMar>
                  <w:vAlign w:val="center"/>
                </w:tcPr>
                <w:p>
                  <w:pPr>
                    <w:jc w:val="center"/>
                    <w:rPr>
                      <w:b/>
                      <w:color w:val="000000"/>
                      <w:sz w:val="18"/>
                      <w:szCs w:val="18"/>
                    </w:rPr>
                  </w:pPr>
                </w:p>
              </w:tc>
              <w:tc>
                <w:tcPr>
                  <w:tcW w:w="660" w:type="dxa"/>
                  <w:vMerge w:val="continue"/>
                  <w:noWrap w:val="0"/>
                  <w:tcMar>
                    <w:top w:w="15" w:type="dxa"/>
                    <w:left w:w="15" w:type="dxa"/>
                    <w:right w:w="15" w:type="dxa"/>
                  </w:tcMar>
                  <w:vAlign w:val="center"/>
                </w:tcPr>
                <w:p>
                  <w:pPr>
                    <w:jc w:val="center"/>
                    <w:rPr>
                      <w:b/>
                      <w:color w:val="000000"/>
                      <w:sz w:val="18"/>
                      <w:szCs w:val="18"/>
                    </w:rPr>
                  </w:pPr>
                </w:p>
              </w:tc>
              <w:tc>
                <w:tcPr>
                  <w:tcW w:w="480" w:type="dxa"/>
                  <w:vMerge w:val="continue"/>
                  <w:noWrap w:val="0"/>
                  <w:tcMar>
                    <w:top w:w="15" w:type="dxa"/>
                    <w:left w:w="15" w:type="dxa"/>
                    <w:right w:w="15" w:type="dxa"/>
                  </w:tcMar>
                  <w:vAlign w:val="center"/>
                </w:tcPr>
                <w:p>
                  <w:pPr>
                    <w:jc w:val="center"/>
                    <w:rPr>
                      <w:b/>
                      <w:color w:val="000000"/>
                      <w:sz w:val="18"/>
                      <w:szCs w:val="18"/>
                    </w:rPr>
                  </w:pPr>
                </w:p>
              </w:tc>
              <w:tc>
                <w:tcPr>
                  <w:tcW w:w="440" w:type="dxa"/>
                  <w:vMerge w:val="continue"/>
                  <w:noWrap w:val="0"/>
                  <w:tcMar>
                    <w:top w:w="15" w:type="dxa"/>
                    <w:left w:w="15" w:type="dxa"/>
                    <w:right w:w="15" w:type="dxa"/>
                  </w:tcMar>
                  <w:vAlign w:val="center"/>
                </w:tcPr>
                <w:p>
                  <w:pPr>
                    <w:jc w:val="center"/>
                    <w:rPr>
                      <w:b/>
                      <w:color w:val="000000"/>
                      <w:sz w:val="18"/>
                      <w:szCs w:val="18"/>
                    </w:rPr>
                  </w:pPr>
                </w:p>
              </w:tc>
              <w:tc>
                <w:tcPr>
                  <w:tcW w:w="525"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X</w:t>
                  </w:r>
                </w:p>
              </w:tc>
              <w:tc>
                <w:tcPr>
                  <w:tcW w:w="503"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Y</w:t>
                  </w:r>
                </w:p>
              </w:tc>
              <w:tc>
                <w:tcPr>
                  <w:tcW w:w="398" w:type="dxa"/>
                  <w:vMerge w:val="restart"/>
                  <w:noWrap w:val="0"/>
                  <w:tcMar>
                    <w:top w:w="15" w:type="dxa"/>
                    <w:left w:w="15" w:type="dxa"/>
                    <w:right w:w="15" w:type="dxa"/>
                  </w:tcMar>
                  <w:vAlign w:val="center"/>
                </w:tcPr>
                <w:p>
                  <w:pPr>
                    <w:widowControl/>
                    <w:jc w:val="center"/>
                    <w:textAlignment w:val="center"/>
                    <w:rPr>
                      <w:b/>
                      <w:color w:val="000000"/>
                      <w:sz w:val="18"/>
                      <w:szCs w:val="18"/>
                    </w:rPr>
                  </w:pPr>
                  <w:r>
                    <w:rPr>
                      <w:b/>
                      <w:color w:val="000000"/>
                      <w:kern w:val="0"/>
                      <w:sz w:val="18"/>
                      <w:szCs w:val="18"/>
                      <w:lang w:bidi="ar"/>
                    </w:rPr>
                    <w:t>Z</w:t>
                  </w:r>
                </w:p>
              </w:tc>
              <w:tc>
                <w:tcPr>
                  <w:tcW w:w="1664" w:type="dxa"/>
                  <w:gridSpan w:val="4"/>
                  <w:vMerge w:val="continue"/>
                  <w:noWrap w:val="0"/>
                  <w:tcMar>
                    <w:top w:w="15" w:type="dxa"/>
                    <w:left w:w="15" w:type="dxa"/>
                    <w:right w:w="15" w:type="dxa"/>
                  </w:tcMar>
                  <w:vAlign w:val="center"/>
                </w:tcPr>
                <w:p>
                  <w:pPr>
                    <w:widowControl/>
                    <w:jc w:val="center"/>
                    <w:textAlignment w:val="center"/>
                    <w:rPr>
                      <w:b/>
                      <w:bCs/>
                      <w:color w:val="000000"/>
                      <w:sz w:val="18"/>
                      <w:szCs w:val="18"/>
                    </w:rPr>
                  </w:pPr>
                </w:p>
              </w:tc>
              <w:tc>
                <w:tcPr>
                  <w:tcW w:w="1798" w:type="dxa"/>
                  <w:gridSpan w:val="5"/>
                  <w:vMerge w:val="continue"/>
                  <w:noWrap w:val="0"/>
                  <w:tcMar>
                    <w:top w:w="15" w:type="dxa"/>
                    <w:left w:w="15" w:type="dxa"/>
                    <w:right w:w="15" w:type="dxa"/>
                  </w:tcMar>
                  <w:vAlign w:val="center"/>
                </w:tcPr>
                <w:p>
                  <w:pPr>
                    <w:widowControl/>
                    <w:jc w:val="center"/>
                    <w:textAlignment w:val="center"/>
                    <w:rPr>
                      <w:b/>
                      <w:bCs/>
                      <w:color w:val="000000"/>
                      <w:sz w:val="18"/>
                      <w:szCs w:val="18"/>
                    </w:rPr>
                  </w:pPr>
                </w:p>
              </w:tc>
              <w:tc>
                <w:tcPr>
                  <w:tcW w:w="462" w:type="dxa"/>
                  <w:vMerge w:val="continue"/>
                  <w:noWrap w:val="0"/>
                  <w:tcMar>
                    <w:top w:w="15" w:type="dxa"/>
                    <w:left w:w="15" w:type="dxa"/>
                    <w:right w:w="15" w:type="dxa"/>
                  </w:tcMar>
                  <w:vAlign w:val="center"/>
                </w:tcPr>
                <w:p>
                  <w:pPr>
                    <w:widowControl/>
                    <w:jc w:val="center"/>
                    <w:textAlignment w:val="center"/>
                    <w:rPr>
                      <w:color w:val="000000"/>
                      <w:sz w:val="18"/>
                      <w:szCs w:val="18"/>
                    </w:rPr>
                  </w:pPr>
                </w:p>
              </w:tc>
              <w:tc>
                <w:tcPr>
                  <w:tcW w:w="340" w:type="dxa"/>
                  <w:vMerge w:val="continue"/>
                  <w:noWrap w:val="0"/>
                  <w:tcMar>
                    <w:top w:w="15" w:type="dxa"/>
                    <w:left w:w="15" w:type="dxa"/>
                    <w:right w:w="15" w:type="dxa"/>
                  </w:tcMar>
                  <w:vAlign w:val="center"/>
                </w:tcPr>
                <w:p>
                  <w:pPr>
                    <w:widowControl/>
                    <w:jc w:val="center"/>
                    <w:textAlignment w:val="center"/>
                    <w:rPr>
                      <w:color w:val="000000"/>
                      <w:sz w:val="18"/>
                      <w:szCs w:val="18"/>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79" w:type="dxa"/>
                  <w:vMerge w:val="continue"/>
                  <w:noWrap w:val="0"/>
                  <w:tcMar>
                    <w:top w:w="15" w:type="dxa"/>
                    <w:left w:w="15" w:type="dxa"/>
                    <w:right w:w="15" w:type="dxa"/>
                  </w:tcMar>
                  <w:vAlign w:val="center"/>
                </w:tcPr>
                <w:p>
                  <w:pPr>
                    <w:jc w:val="center"/>
                    <w:rPr>
                      <w:b/>
                      <w:color w:val="000000"/>
                      <w:sz w:val="18"/>
                      <w:szCs w:val="18"/>
                    </w:rPr>
                  </w:pPr>
                </w:p>
              </w:tc>
              <w:tc>
                <w:tcPr>
                  <w:tcW w:w="527" w:type="dxa"/>
                  <w:vMerge w:val="continue"/>
                  <w:noWrap w:val="0"/>
                  <w:tcMar>
                    <w:top w:w="15" w:type="dxa"/>
                    <w:left w:w="15" w:type="dxa"/>
                    <w:right w:w="15" w:type="dxa"/>
                  </w:tcMar>
                  <w:vAlign w:val="center"/>
                </w:tcPr>
                <w:p>
                  <w:pPr>
                    <w:jc w:val="center"/>
                    <w:rPr>
                      <w:b/>
                      <w:color w:val="000000"/>
                      <w:sz w:val="18"/>
                      <w:szCs w:val="18"/>
                    </w:rPr>
                  </w:pPr>
                </w:p>
              </w:tc>
              <w:tc>
                <w:tcPr>
                  <w:tcW w:w="660" w:type="dxa"/>
                  <w:vMerge w:val="continue"/>
                  <w:noWrap w:val="0"/>
                  <w:tcMar>
                    <w:top w:w="15" w:type="dxa"/>
                    <w:left w:w="15" w:type="dxa"/>
                    <w:right w:w="15" w:type="dxa"/>
                  </w:tcMar>
                  <w:vAlign w:val="center"/>
                </w:tcPr>
                <w:p>
                  <w:pPr>
                    <w:jc w:val="center"/>
                    <w:rPr>
                      <w:b/>
                      <w:color w:val="000000"/>
                      <w:sz w:val="18"/>
                      <w:szCs w:val="18"/>
                    </w:rPr>
                  </w:pPr>
                </w:p>
              </w:tc>
              <w:tc>
                <w:tcPr>
                  <w:tcW w:w="480" w:type="dxa"/>
                  <w:vMerge w:val="continue"/>
                  <w:noWrap w:val="0"/>
                  <w:tcMar>
                    <w:top w:w="15" w:type="dxa"/>
                    <w:left w:w="15" w:type="dxa"/>
                    <w:right w:w="15" w:type="dxa"/>
                  </w:tcMar>
                  <w:vAlign w:val="center"/>
                </w:tcPr>
                <w:p>
                  <w:pPr>
                    <w:jc w:val="center"/>
                    <w:rPr>
                      <w:b/>
                      <w:color w:val="000000"/>
                      <w:sz w:val="18"/>
                      <w:szCs w:val="18"/>
                    </w:rPr>
                  </w:pPr>
                </w:p>
              </w:tc>
              <w:tc>
                <w:tcPr>
                  <w:tcW w:w="440" w:type="dxa"/>
                  <w:vMerge w:val="continue"/>
                  <w:noWrap w:val="0"/>
                  <w:tcMar>
                    <w:top w:w="15" w:type="dxa"/>
                    <w:left w:w="15" w:type="dxa"/>
                    <w:right w:w="15" w:type="dxa"/>
                  </w:tcMar>
                  <w:vAlign w:val="center"/>
                </w:tcPr>
                <w:p>
                  <w:pPr>
                    <w:jc w:val="center"/>
                    <w:rPr>
                      <w:b/>
                      <w:color w:val="000000"/>
                      <w:sz w:val="18"/>
                      <w:szCs w:val="18"/>
                    </w:rPr>
                  </w:pPr>
                </w:p>
              </w:tc>
              <w:tc>
                <w:tcPr>
                  <w:tcW w:w="525" w:type="dxa"/>
                  <w:vMerge w:val="continue"/>
                  <w:noWrap w:val="0"/>
                  <w:tcMar>
                    <w:top w:w="15" w:type="dxa"/>
                    <w:left w:w="15" w:type="dxa"/>
                    <w:right w:w="15" w:type="dxa"/>
                  </w:tcMar>
                  <w:vAlign w:val="center"/>
                </w:tcPr>
                <w:p>
                  <w:pPr>
                    <w:widowControl/>
                    <w:jc w:val="center"/>
                    <w:textAlignment w:val="center"/>
                    <w:rPr>
                      <w:b/>
                      <w:color w:val="000000"/>
                      <w:kern w:val="0"/>
                      <w:sz w:val="18"/>
                      <w:szCs w:val="18"/>
                      <w:lang w:bidi="ar"/>
                    </w:rPr>
                  </w:pPr>
                </w:p>
              </w:tc>
              <w:tc>
                <w:tcPr>
                  <w:tcW w:w="503" w:type="dxa"/>
                  <w:vMerge w:val="continue"/>
                  <w:noWrap w:val="0"/>
                  <w:tcMar>
                    <w:top w:w="15" w:type="dxa"/>
                    <w:left w:w="15" w:type="dxa"/>
                    <w:right w:w="15" w:type="dxa"/>
                  </w:tcMar>
                  <w:vAlign w:val="center"/>
                </w:tcPr>
                <w:p>
                  <w:pPr>
                    <w:widowControl/>
                    <w:jc w:val="center"/>
                    <w:textAlignment w:val="center"/>
                    <w:rPr>
                      <w:b/>
                      <w:color w:val="000000"/>
                      <w:kern w:val="0"/>
                      <w:sz w:val="18"/>
                      <w:szCs w:val="18"/>
                      <w:lang w:bidi="ar"/>
                    </w:rPr>
                  </w:pPr>
                </w:p>
              </w:tc>
              <w:tc>
                <w:tcPr>
                  <w:tcW w:w="398" w:type="dxa"/>
                  <w:vMerge w:val="continue"/>
                  <w:noWrap w:val="0"/>
                  <w:tcMar>
                    <w:top w:w="15" w:type="dxa"/>
                    <w:left w:w="15" w:type="dxa"/>
                    <w:right w:w="15" w:type="dxa"/>
                  </w:tcMar>
                  <w:vAlign w:val="center"/>
                </w:tcPr>
                <w:p>
                  <w:pPr>
                    <w:widowControl/>
                    <w:jc w:val="center"/>
                    <w:textAlignment w:val="center"/>
                    <w:rPr>
                      <w:b/>
                      <w:color w:val="000000"/>
                      <w:kern w:val="0"/>
                      <w:sz w:val="18"/>
                      <w:szCs w:val="18"/>
                      <w:lang w:bidi="ar"/>
                    </w:rPr>
                  </w:pPr>
                </w:p>
              </w:tc>
              <w:tc>
                <w:tcPr>
                  <w:tcW w:w="504" w:type="dxa"/>
                  <w:noWrap w:val="0"/>
                  <w:tcMar>
                    <w:top w:w="15" w:type="dxa"/>
                    <w:left w:w="15" w:type="dxa"/>
                    <w:right w:w="15" w:type="dxa"/>
                  </w:tcMar>
                  <w:vAlign w:val="center"/>
                </w:tcPr>
                <w:p>
                  <w:pPr>
                    <w:widowControl/>
                    <w:jc w:val="center"/>
                    <w:textAlignment w:val="center"/>
                    <w:rPr>
                      <w:rFonts w:hint="eastAsia" w:eastAsia="宋体"/>
                      <w:b/>
                      <w:bCs/>
                      <w:color w:val="000000"/>
                      <w:sz w:val="18"/>
                      <w:szCs w:val="18"/>
                      <w:lang w:eastAsia="zh-CN"/>
                    </w:rPr>
                  </w:pPr>
                  <w:r>
                    <w:rPr>
                      <w:rFonts w:hint="eastAsia"/>
                      <w:b/>
                      <w:bCs/>
                      <w:color w:val="000000"/>
                      <w:sz w:val="18"/>
                      <w:szCs w:val="18"/>
                      <w:lang w:eastAsia="zh-CN"/>
                    </w:rPr>
                    <w:t>北</w:t>
                  </w:r>
                </w:p>
              </w:tc>
              <w:tc>
                <w:tcPr>
                  <w:tcW w:w="360" w:type="dxa"/>
                  <w:noWrap w:val="0"/>
                  <w:tcMar>
                    <w:top w:w="15" w:type="dxa"/>
                    <w:left w:w="15" w:type="dxa"/>
                    <w:right w:w="15" w:type="dxa"/>
                  </w:tcMar>
                  <w:vAlign w:val="center"/>
                </w:tcPr>
                <w:p>
                  <w:pPr>
                    <w:widowControl/>
                    <w:jc w:val="center"/>
                    <w:textAlignment w:val="center"/>
                    <w:rPr>
                      <w:rFonts w:hint="eastAsia" w:eastAsia="宋体"/>
                      <w:b/>
                      <w:bCs/>
                      <w:color w:val="000000"/>
                      <w:sz w:val="18"/>
                      <w:szCs w:val="18"/>
                      <w:lang w:eastAsia="zh-CN"/>
                    </w:rPr>
                  </w:pPr>
                  <w:r>
                    <w:rPr>
                      <w:rFonts w:hint="eastAsia"/>
                      <w:b/>
                      <w:bCs/>
                      <w:color w:val="000000"/>
                      <w:sz w:val="18"/>
                      <w:szCs w:val="18"/>
                      <w:lang w:eastAsia="zh-CN"/>
                    </w:rPr>
                    <w:t>东</w:t>
                  </w:r>
                </w:p>
              </w:tc>
              <w:tc>
                <w:tcPr>
                  <w:tcW w:w="436" w:type="dxa"/>
                  <w:noWrap w:val="0"/>
                  <w:tcMar>
                    <w:top w:w="15" w:type="dxa"/>
                    <w:left w:w="15" w:type="dxa"/>
                    <w:right w:w="15" w:type="dxa"/>
                  </w:tcMar>
                  <w:vAlign w:val="center"/>
                </w:tcPr>
                <w:p>
                  <w:pPr>
                    <w:widowControl/>
                    <w:jc w:val="center"/>
                    <w:textAlignment w:val="center"/>
                    <w:rPr>
                      <w:rFonts w:hint="eastAsia" w:eastAsia="宋体"/>
                      <w:b/>
                      <w:bCs/>
                      <w:color w:val="000000"/>
                      <w:sz w:val="18"/>
                      <w:szCs w:val="18"/>
                      <w:lang w:eastAsia="zh-CN"/>
                    </w:rPr>
                  </w:pPr>
                  <w:r>
                    <w:rPr>
                      <w:rFonts w:hint="eastAsia"/>
                      <w:b/>
                      <w:bCs/>
                      <w:color w:val="000000"/>
                      <w:sz w:val="18"/>
                      <w:szCs w:val="18"/>
                      <w:lang w:eastAsia="zh-CN"/>
                    </w:rPr>
                    <w:t>南</w:t>
                  </w:r>
                </w:p>
              </w:tc>
              <w:tc>
                <w:tcPr>
                  <w:tcW w:w="364" w:type="dxa"/>
                  <w:noWrap w:val="0"/>
                  <w:tcMar>
                    <w:top w:w="15" w:type="dxa"/>
                    <w:left w:w="15" w:type="dxa"/>
                    <w:right w:w="15" w:type="dxa"/>
                  </w:tcMar>
                  <w:vAlign w:val="center"/>
                </w:tcPr>
                <w:p>
                  <w:pPr>
                    <w:widowControl/>
                    <w:jc w:val="center"/>
                    <w:textAlignment w:val="center"/>
                    <w:rPr>
                      <w:rFonts w:hint="eastAsia" w:eastAsia="宋体"/>
                      <w:b/>
                      <w:bCs/>
                      <w:color w:val="000000"/>
                      <w:sz w:val="18"/>
                      <w:szCs w:val="18"/>
                      <w:lang w:eastAsia="zh-CN"/>
                    </w:rPr>
                  </w:pPr>
                  <w:r>
                    <w:rPr>
                      <w:rFonts w:hint="eastAsia"/>
                      <w:b/>
                      <w:bCs/>
                      <w:color w:val="000000"/>
                      <w:sz w:val="18"/>
                      <w:szCs w:val="18"/>
                      <w:lang w:eastAsia="zh-CN"/>
                    </w:rPr>
                    <w:t>西</w:t>
                  </w:r>
                </w:p>
              </w:tc>
              <w:tc>
                <w:tcPr>
                  <w:tcW w:w="449" w:type="dxa"/>
                  <w:gridSpan w:val="2"/>
                  <w:noWrap w:val="0"/>
                  <w:tcMar>
                    <w:top w:w="15" w:type="dxa"/>
                    <w:left w:w="15" w:type="dxa"/>
                    <w:right w:w="15" w:type="dxa"/>
                  </w:tcMar>
                  <w:vAlign w:val="center"/>
                </w:tcPr>
                <w:p>
                  <w:pPr>
                    <w:widowControl/>
                    <w:jc w:val="center"/>
                    <w:textAlignment w:val="center"/>
                    <w:rPr>
                      <w:b/>
                      <w:bCs/>
                      <w:color w:val="000000"/>
                      <w:sz w:val="18"/>
                      <w:szCs w:val="18"/>
                    </w:rPr>
                  </w:pPr>
                  <w:r>
                    <w:rPr>
                      <w:rFonts w:hint="eastAsia"/>
                      <w:b/>
                      <w:bCs/>
                      <w:color w:val="000000"/>
                      <w:sz w:val="18"/>
                      <w:szCs w:val="18"/>
                      <w:lang w:eastAsia="zh-CN"/>
                    </w:rPr>
                    <w:t>北</w:t>
                  </w:r>
                </w:p>
              </w:tc>
              <w:tc>
                <w:tcPr>
                  <w:tcW w:w="424" w:type="dxa"/>
                  <w:noWrap w:val="0"/>
                  <w:tcMar>
                    <w:top w:w="15" w:type="dxa"/>
                    <w:left w:w="15" w:type="dxa"/>
                    <w:right w:w="15" w:type="dxa"/>
                  </w:tcMar>
                  <w:vAlign w:val="center"/>
                </w:tcPr>
                <w:p>
                  <w:pPr>
                    <w:widowControl/>
                    <w:jc w:val="center"/>
                    <w:textAlignment w:val="center"/>
                    <w:rPr>
                      <w:b/>
                      <w:bCs/>
                      <w:color w:val="000000"/>
                      <w:sz w:val="18"/>
                      <w:szCs w:val="18"/>
                    </w:rPr>
                  </w:pPr>
                  <w:r>
                    <w:rPr>
                      <w:rFonts w:hint="eastAsia"/>
                      <w:b/>
                      <w:bCs/>
                      <w:color w:val="000000"/>
                      <w:sz w:val="18"/>
                      <w:szCs w:val="18"/>
                      <w:lang w:eastAsia="zh-CN"/>
                    </w:rPr>
                    <w:t>东</w:t>
                  </w:r>
                </w:p>
              </w:tc>
              <w:tc>
                <w:tcPr>
                  <w:tcW w:w="435" w:type="dxa"/>
                  <w:noWrap w:val="0"/>
                  <w:tcMar>
                    <w:top w:w="15" w:type="dxa"/>
                    <w:left w:w="15" w:type="dxa"/>
                    <w:right w:w="15" w:type="dxa"/>
                  </w:tcMar>
                  <w:vAlign w:val="center"/>
                </w:tcPr>
                <w:p>
                  <w:pPr>
                    <w:widowControl/>
                    <w:jc w:val="center"/>
                    <w:textAlignment w:val="center"/>
                    <w:rPr>
                      <w:b/>
                      <w:bCs/>
                      <w:color w:val="000000"/>
                      <w:sz w:val="18"/>
                      <w:szCs w:val="18"/>
                    </w:rPr>
                  </w:pPr>
                  <w:r>
                    <w:rPr>
                      <w:rFonts w:hint="eastAsia"/>
                      <w:b/>
                      <w:bCs/>
                      <w:color w:val="000000"/>
                      <w:sz w:val="18"/>
                      <w:szCs w:val="18"/>
                      <w:lang w:eastAsia="zh-CN"/>
                    </w:rPr>
                    <w:t>南</w:t>
                  </w:r>
                </w:p>
              </w:tc>
              <w:tc>
                <w:tcPr>
                  <w:tcW w:w="490" w:type="dxa"/>
                  <w:noWrap w:val="0"/>
                  <w:tcMar>
                    <w:top w:w="15" w:type="dxa"/>
                    <w:left w:w="15" w:type="dxa"/>
                    <w:right w:w="15" w:type="dxa"/>
                  </w:tcMar>
                  <w:vAlign w:val="center"/>
                </w:tcPr>
                <w:p>
                  <w:pPr>
                    <w:widowControl/>
                    <w:jc w:val="center"/>
                    <w:textAlignment w:val="center"/>
                    <w:rPr>
                      <w:b/>
                      <w:bCs/>
                      <w:color w:val="000000"/>
                      <w:sz w:val="18"/>
                      <w:szCs w:val="18"/>
                    </w:rPr>
                  </w:pPr>
                  <w:r>
                    <w:rPr>
                      <w:rFonts w:hint="eastAsia"/>
                      <w:b/>
                      <w:bCs/>
                      <w:color w:val="000000"/>
                      <w:sz w:val="18"/>
                      <w:szCs w:val="18"/>
                      <w:lang w:eastAsia="zh-CN"/>
                    </w:rPr>
                    <w:t>西</w:t>
                  </w:r>
                </w:p>
              </w:tc>
              <w:tc>
                <w:tcPr>
                  <w:tcW w:w="462" w:type="dxa"/>
                  <w:vMerge w:val="continue"/>
                  <w:noWrap w:val="0"/>
                  <w:tcMar>
                    <w:top w:w="15" w:type="dxa"/>
                    <w:left w:w="15" w:type="dxa"/>
                    <w:right w:w="15" w:type="dxa"/>
                  </w:tcMar>
                  <w:vAlign w:val="center"/>
                </w:tcPr>
                <w:p>
                  <w:pPr>
                    <w:widowControl/>
                    <w:jc w:val="center"/>
                    <w:textAlignment w:val="center"/>
                    <w:rPr>
                      <w:color w:val="000000"/>
                      <w:sz w:val="18"/>
                      <w:szCs w:val="18"/>
                    </w:rPr>
                  </w:pPr>
                </w:p>
              </w:tc>
              <w:tc>
                <w:tcPr>
                  <w:tcW w:w="340" w:type="dxa"/>
                  <w:vMerge w:val="continue"/>
                  <w:noWrap w:val="0"/>
                  <w:tcMar>
                    <w:top w:w="15" w:type="dxa"/>
                    <w:left w:w="15" w:type="dxa"/>
                    <w:right w:w="15" w:type="dxa"/>
                  </w:tcMar>
                  <w:vAlign w:val="center"/>
                </w:tcPr>
                <w:p>
                  <w:pPr>
                    <w:widowControl/>
                    <w:jc w:val="center"/>
                    <w:textAlignment w:val="center"/>
                    <w:rPr>
                      <w:color w:val="000000"/>
                      <w:sz w:val="18"/>
                      <w:szCs w:val="18"/>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lang w:bidi="ar"/>
                    </w:rPr>
                    <w:t>1</w:t>
                  </w:r>
                </w:p>
              </w:tc>
              <w:tc>
                <w:tcPr>
                  <w:tcW w:w="527" w:type="dxa"/>
                  <w:noWrap w:val="0"/>
                  <w:tcMar>
                    <w:top w:w="15" w:type="dxa"/>
                    <w:left w:w="15" w:type="dxa"/>
                    <w:right w:w="15" w:type="dxa"/>
                  </w:tcMar>
                  <w:vAlign w:val="center"/>
                </w:tcPr>
                <w:p>
                  <w:pPr>
                    <w:widowControl/>
                    <w:jc w:val="center"/>
                    <w:textAlignment w:val="center"/>
                    <w:rPr>
                      <w:rFonts w:hint="eastAsia" w:eastAsia="宋体"/>
                      <w:color w:val="000000"/>
                      <w:sz w:val="18"/>
                      <w:szCs w:val="18"/>
                      <w:lang w:eastAsia="zh-CN"/>
                    </w:rPr>
                  </w:pPr>
                  <w:r>
                    <w:rPr>
                      <w:rFonts w:hint="eastAsia"/>
                      <w:color w:val="000000"/>
                      <w:sz w:val="18"/>
                      <w:szCs w:val="18"/>
                      <w:lang w:eastAsia="zh-CN"/>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小车预处理平台</w:t>
                  </w:r>
                </w:p>
              </w:tc>
              <w:tc>
                <w:tcPr>
                  <w:tcW w:w="480"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80</w:t>
                  </w:r>
                </w:p>
              </w:tc>
              <w:tc>
                <w:tcPr>
                  <w:tcW w:w="440" w:type="dxa"/>
                  <w:vMerge w:val="restart"/>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基础减振、厂房隔音等</w:t>
                  </w:r>
                </w:p>
              </w:tc>
              <w:tc>
                <w:tcPr>
                  <w:tcW w:w="525" w:type="dxa"/>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-16.18</w:t>
                  </w:r>
                </w:p>
              </w:tc>
              <w:tc>
                <w:tcPr>
                  <w:tcW w:w="503" w:type="dxa"/>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104.55</w:t>
                  </w:r>
                </w:p>
              </w:tc>
              <w:tc>
                <w:tcPr>
                  <w:tcW w:w="398" w:type="dxa"/>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1</w:t>
                  </w:r>
                </w:p>
              </w:tc>
              <w:tc>
                <w:tcPr>
                  <w:tcW w:w="504"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157.7</w:t>
                  </w:r>
                </w:p>
              </w:tc>
              <w:tc>
                <w:tcPr>
                  <w:tcW w:w="360"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20.9</w:t>
                  </w:r>
                </w:p>
              </w:tc>
              <w:tc>
                <w:tcPr>
                  <w:tcW w:w="436"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9.3</w:t>
                  </w:r>
                </w:p>
              </w:tc>
              <w:tc>
                <w:tcPr>
                  <w:tcW w:w="364"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25.9</w:t>
                  </w:r>
                </w:p>
              </w:tc>
              <w:tc>
                <w:tcPr>
                  <w:tcW w:w="438"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55.5</w:t>
                  </w:r>
                </w:p>
              </w:tc>
              <w:tc>
                <w:tcPr>
                  <w:tcW w:w="435" w:type="dxa"/>
                  <w:gridSpan w:val="2"/>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55.7</w:t>
                  </w:r>
                </w:p>
              </w:tc>
              <w:tc>
                <w:tcPr>
                  <w:tcW w:w="435"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56.5</w:t>
                  </w:r>
                </w:p>
              </w:tc>
              <w:tc>
                <w:tcPr>
                  <w:tcW w:w="490"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55.7</w:t>
                  </w:r>
                </w:p>
              </w:tc>
              <w:tc>
                <w:tcPr>
                  <w:tcW w:w="462" w:type="dxa"/>
                  <w:noWrap w:val="0"/>
                  <w:tcMar>
                    <w:top w:w="15" w:type="dxa"/>
                    <w:left w:w="15" w:type="dxa"/>
                    <w:right w:w="15" w:type="dxa"/>
                  </w:tcMar>
                  <w:vAlign w:val="center"/>
                </w:tcPr>
                <w:p>
                  <w:pPr>
                    <w:widowControl/>
                    <w:jc w:val="center"/>
                    <w:textAlignment w:val="center"/>
                    <w:rPr>
                      <w:rFonts w:hint="default" w:eastAsia="宋体"/>
                      <w:color w:val="000000"/>
                      <w:kern w:val="0"/>
                      <w:sz w:val="18"/>
                      <w:szCs w:val="18"/>
                      <w:lang w:val="en-US" w:eastAsia="zh-CN" w:bidi="ar"/>
                    </w:rPr>
                  </w:pPr>
                  <w:r>
                    <w:rPr>
                      <w:rFonts w:hint="eastAsia"/>
                      <w:color w:val="000000"/>
                      <w:kern w:val="0"/>
                      <w:sz w:val="18"/>
                      <w:szCs w:val="18"/>
                      <w:lang w:val="en-US" w:eastAsia="zh-CN" w:bidi="ar"/>
                    </w:rPr>
                    <w:t>16</w:t>
                  </w:r>
                </w:p>
              </w:tc>
              <w:tc>
                <w:tcPr>
                  <w:tcW w:w="340" w:type="dxa"/>
                  <w:noWrap w:val="0"/>
                  <w:tcMar>
                    <w:top w:w="15" w:type="dxa"/>
                    <w:left w:w="15" w:type="dxa"/>
                    <w:right w:w="15" w:type="dxa"/>
                  </w:tcMar>
                  <w:vAlign w:val="center"/>
                </w:tcPr>
                <w:p>
                  <w:pPr>
                    <w:widowControl/>
                    <w:jc w:val="center"/>
                    <w:textAlignment w:val="center"/>
                    <w:rPr>
                      <w:color w:val="000000"/>
                      <w:sz w:val="18"/>
                      <w:szCs w:val="18"/>
                    </w:rPr>
                  </w:pPr>
                  <w:r>
                    <w:rPr>
                      <w:color w:val="000000"/>
                      <w:kern w:val="0"/>
                      <w:sz w:val="18"/>
                      <w:szCs w:val="18"/>
                      <w:lang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widowControl/>
                    <w:jc w:val="center"/>
                    <w:textAlignment w:val="center"/>
                    <w:rPr>
                      <w:rFonts w:hint="eastAsia" w:eastAsia="宋体"/>
                      <w:color w:val="000000"/>
                      <w:kern w:val="0"/>
                      <w:sz w:val="18"/>
                      <w:szCs w:val="18"/>
                      <w:lang w:val="en-US" w:eastAsia="zh-CN" w:bidi="ar"/>
                    </w:rPr>
                  </w:pPr>
                  <w:r>
                    <w:rPr>
                      <w:rFonts w:hint="eastAsia"/>
                      <w:color w:val="000000"/>
                      <w:kern w:val="0"/>
                      <w:sz w:val="18"/>
                      <w:szCs w:val="18"/>
                      <w:lang w:val="en-US" w:eastAsia="zh-CN" w:bidi="ar"/>
                    </w:rPr>
                    <w:t>2</w:t>
                  </w:r>
                </w:p>
              </w:tc>
              <w:tc>
                <w:tcPr>
                  <w:tcW w:w="527" w:type="dxa"/>
                  <w:noWrap w:val="0"/>
                  <w:tcMar>
                    <w:top w:w="15" w:type="dxa"/>
                    <w:left w:w="15" w:type="dxa"/>
                    <w:right w:w="15" w:type="dxa"/>
                  </w:tcMar>
                  <w:vAlign w:val="center"/>
                </w:tcPr>
                <w:p>
                  <w:pPr>
                    <w:widowControl/>
                    <w:jc w:val="center"/>
                    <w:textAlignment w:val="center"/>
                    <w:rPr>
                      <w:rFonts w:hint="eastAsia"/>
                      <w:color w:val="000000"/>
                      <w:sz w:val="18"/>
                      <w:szCs w:val="18"/>
                    </w:rPr>
                  </w:pPr>
                  <w:r>
                    <w:rPr>
                      <w:rFonts w:hint="eastAsia"/>
                      <w:color w:val="000000"/>
                      <w:sz w:val="18"/>
                      <w:szCs w:val="18"/>
                      <w:lang w:eastAsia="zh-CN"/>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大车油液抽排一体机</w:t>
                  </w:r>
                </w:p>
              </w:tc>
              <w:tc>
                <w:tcPr>
                  <w:tcW w:w="480"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70</w:t>
                  </w:r>
                </w:p>
              </w:tc>
              <w:tc>
                <w:tcPr>
                  <w:tcW w:w="440" w:type="dxa"/>
                  <w:vMerge w:val="continue"/>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p>
              </w:tc>
              <w:tc>
                <w:tcPr>
                  <w:tcW w:w="525" w:type="dxa"/>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-35.3</w:t>
                  </w:r>
                </w:p>
              </w:tc>
              <w:tc>
                <w:tcPr>
                  <w:tcW w:w="503" w:type="dxa"/>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103.76</w:t>
                  </w:r>
                </w:p>
              </w:tc>
              <w:tc>
                <w:tcPr>
                  <w:tcW w:w="398" w:type="dxa"/>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1</w:t>
                  </w:r>
                </w:p>
              </w:tc>
              <w:tc>
                <w:tcPr>
                  <w:tcW w:w="504"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152.2</w:t>
                  </w:r>
                </w:p>
              </w:tc>
              <w:tc>
                <w:tcPr>
                  <w:tcW w:w="360"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38.7</w:t>
                  </w:r>
                </w:p>
              </w:tc>
              <w:tc>
                <w:tcPr>
                  <w:tcW w:w="436"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13.5</w:t>
                  </w:r>
                </w:p>
              </w:tc>
              <w:tc>
                <w:tcPr>
                  <w:tcW w:w="364"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7.9</w:t>
                  </w:r>
                </w:p>
              </w:tc>
              <w:tc>
                <w:tcPr>
                  <w:tcW w:w="438"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45.5</w:t>
                  </w:r>
                </w:p>
              </w:tc>
              <w:tc>
                <w:tcPr>
                  <w:tcW w:w="435" w:type="dxa"/>
                  <w:gridSpan w:val="2"/>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45.6</w:t>
                  </w:r>
                </w:p>
              </w:tc>
              <w:tc>
                <w:tcPr>
                  <w:tcW w:w="435"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46.0</w:t>
                  </w:r>
                </w:p>
              </w:tc>
              <w:tc>
                <w:tcPr>
                  <w:tcW w:w="490" w:type="dxa"/>
                  <w:noWrap w:val="0"/>
                  <w:tcMar>
                    <w:top w:w="15" w:type="dxa"/>
                    <w:left w:w="15" w:type="dxa"/>
                    <w:right w:w="15" w:type="dxa"/>
                  </w:tcMar>
                  <w:vAlign w:val="center"/>
                </w:tcPr>
                <w:p>
                  <w:pPr>
                    <w:widowControl/>
                    <w:jc w:val="center"/>
                    <w:textAlignment w:val="center"/>
                    <w:rPr>
                      <w:rFonts w:hint="default" w:eastAsia="宋体"/>
                      <w:color w:val="000000"/>
                      <w:sz w:val="18"/>
                      <w:szCs w:val="18"/>
                      <w:lang w:val="en-US" w:eastAsia="zh-CN"/>
                    </w:rPr>
                  </w:pPr>
                  <w:r>
                    <w:rPr>
                      <w:rFonts w:hint="eastAsia"/>
                      <w:color w:val="000000"/>
                      <w:sz w:val="18"/>
                      <w:szCs w:val="18"/>
                      <w:lang w:val="en-US" w:eastAsia="zh-CN"/>
                    </w:rPr>
                    <w:t>46.8</w:t>
                  </w:r>
                </w:p>
              </w:tc>
              <w:tc>
                <w:tcPr>
                  <w:tcW w:w="462" w:type="dxa"/>
                  <w:noWrap w:val="0"/>
                  <w:tcMar>
                    <w:top w:w="15" w:type="dxa"/>
                    <w:left w:w="15" w:type="dxa"/>
                    <w:right w:w="15" w:type="dxa"/>
                  </w:tcMar>
                  <w:vAlign w:val="center"/>
                </w:tcPr>
                <w:p>
                  <w:pPr>
                    <w:widowControl/>
                    <w:jc w:val="center"/>
                    <w:textAlignment w:val="center"/>
                    <w:rPr>
                      <w:rFonts w:hint="default" w:eastAsia="宋体"/>
                      <w:color w:val="000000"/>
                      <w:kern w:val="0"/>
                      <w:sz w:val="18"/>
                      <w:szCs w:val="18"/>
                      <w:lang w:val="en-US" w:eastAsia="zh-CN" w:bidi="ar"/>
                    </w:rPr>
                  </w:pPr>
                  <w:r>
                    <w:rPr>
                      <w:rFonts w:hint="eastAsia"/>
                      <w:color w:val="000000"/>
                      <w:kern w:val="0"/>
                      <w:sz w:val="18"/>
                      <w:szCs w:val="18"/>
                      <w:lang w:val="en-US" w:eastAsia="zh-CN" w:bidi="ar"/>
                    </w:rPr>
                    <w:t>16</w:t>
                  </w:r>
                </w:p>
              </w:tc>
              <w:tc>
                <w:tcPr>
                  <w:tcW w:w="340" w:type="dxa"/>
                  <w:noWrap w:val="0"/>
                  <w:tcMar>
                    <w:top w:w="15" w:type="dxa"/>
                    <w:left w:w="15" w:type="dxa"/>
                    <w:right w:w="15" w:type="dxa"/>
                  </w:tcMar>
                  <w:vAlign w:val="center"/>
                </w:tcPr>
                <w:p>
                  <w:pPr>
                    <w:widowControl/>
                    <w:jc w:val="center"/>
                    <w:textAlignment w:val="center"/>
                    <w:rPr>
                      <w:color w:val="000000"/>
                      <w:kern w:val="0"/>
                      <w:sz w:val="18"/>
                      <w:szCs w:val="18"/>
                      <w:lang w:bidi="ar"/>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rFonts w:hint="eastAsia" w:eastAsia="宋体"/>
                      <w:color w:val="000000"/>
                      <w:kern w:val="0"/>
                      <w:sz w:val="18"/>
                      <w:szCs w:val="18"/>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小车油液抽排一体机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default" w:eastAsia="宋体"/>
                      <w:color w:val="000000"/>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-17.78</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109.33</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152.7</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20.5</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14.3</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26.3</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46.0</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rFonts w:hint="eastAsia" w:eastAsia="宋体"/>
                      <w:color w:val="000000"/>
                      <w:kern w:val="0"/>
                      <w:sz w:val="18"/>
                      <w:szCs w:val="18"/>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无火花钻孔抽油机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default" w:eastAsia="宋体"/>
                      <w:color w:val="000000"/>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-26.14</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111.32</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148.1</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27.4</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18.4</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19.3</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45.8</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45.8</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冷媒回收装置</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-23.35</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105.75</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154.2</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27.0</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12.3</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19.7</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41.1</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40.8</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6</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夹臂</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-7.42</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112.92</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152.7</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9.5</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15.1</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37.2</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46.5</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45.9</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7</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机械手</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-5.03</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109.73</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156.5</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8.6</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11.4</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38.1</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46.7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46.2</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8</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动力电池绝缘举升车</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-10.61</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116.1</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148.6</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11.2</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19.0</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35.5</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61.2</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60.8</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门式举升机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-10.61</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120.08</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144.8</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9.6</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22.8</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37.1</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46.4</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45.7</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45.6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防静电废液抽排设备</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-12.2</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112.52</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151.5</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14.1</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16.0</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32.6</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36.0</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35.9</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35.6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防静电空调制冷剂抽排设备</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-22.16</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117.3</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143.7</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21.3</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23.2</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25.3</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小风炮</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-28.13</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130.04</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129.7</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21.8</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37.0</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24.8</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翻转机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-31.72</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137.21</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121.8</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22.2</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44.9</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24.3</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KBK</w:t>
                  </w:r>
                  <w:r>
                    <w:rPr>
                      <w:rStyle w:val="92"/>
                      <w:sz w:val="18"/>
                      <w:szCs w:val="18"/>
                      <w:lang w:val="en-US" w:eastAsia="zh-CN" w:bidi="ar"/>
                    </w:rPr>
                    <w:t>起重机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-34.11</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141.59</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116.9</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22.7</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49.7</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23.8</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50.5</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50.7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悬臂式移动手持式液压剪</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-35.3</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129.64</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127.8</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28.5</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38.5</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18.1</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55.8</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气囊安全引爆装置</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-24.55</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125.26</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135.4</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20.4</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31.5</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26.2</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动力总成拆解平台（</w:t>
                  </w:r>
                  <w:r>
                    <w:rPr>
                      <w:rFonts w:hint="default" w:ascii="Times New Roman" w:hAnsi="Times New Roman" w:eastAsia="宋体" w:cs="Times New Roman"/>
                      <w:i w:val="0"/>
                      <w:iCs w:val="0"/>
                      <w:color w:val="000000"/>
                      <w:kern w:val="0"/>
                      <w:sz w:val="18"/>
                      <w:szCs w:val="18"/>
                      <w:u w:val="none"/>
                      <w:lang w:val="en-US" w:eastAsia="zh-CN" w:bidi="ar"/>
                    </w:rPr>
                    <w:t>2</w:t>
                  </w:r>
                  <w:r>
                    <w:rPr>
                      <w:rStyle w:val="92"/>
                      <w:sz w:val="18"/>
                      <w:szCs w:val="18"/>
                      <w:lang w:val="en-US" w:eastAsia="zh-CN" w:bidi="ar"/>
                    </w:rPr>
                    <w:t>台，单台为</w:t>
                  </w:r>
                  <w:r>
                    <w:rPr>
                      <w:rFonts w:hint="default" w:ascii="Times New Roman" w:hAnsi="Times New Roman" w:eastAsia="宋体" w:cs="Times New Roman"/>
                      <w:i w:val="0"/>
                      <w:iCs w:val="0"/>
                      <w:color w:val="000000"/>
                      <w:kern w:val="0"/>
                      <w:sz w:val="18"/>
                      <w:szCs w:val="18"/>
                      <w:u w:val="none"/>
                      <w:lang w:val="en-US" w:eastAsia="zh-CN" w:bidi="ar"/>
                    </w:rPr>
                    <w:t>80dB</w:t>
                  </w:r>
                  <w:r>
                    <w:rPr>
                      <w:rStyle w:val="92"/>
                      <w:sz w:val="18"/>
                      <w:szCs w:val="18"/>
                      <w:lang w:val="en-US" w:eastAsia="zh-CN" w:bidi="ar"/>
                    </w:rPr>
                    <w:t>）</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83</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-36.1</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137.61</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120.0</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26.1</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46.4</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20.4</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58.5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58.6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58.6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58.7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扒胎机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-38.89</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153.94</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103.6</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22.2</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62.9</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24.2</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40.7</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40.5</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40.7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解体机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-47.25</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131.24</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122.4</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38.8</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43.2</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7.7</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61.9</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大力剪</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-51.63</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141.19</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111.5</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38.9</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53.9</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60.5</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62.0</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21</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等离子切割机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85</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-30.12</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123.67</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135.1</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26.1</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31.4</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20.5</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60.6</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60.7</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79"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22</w:t>
                  </w:r>
                </w:p>
              </w:tc>
              <w:tc>
                <w:tcPr>
                  <w:tcW w:w="527"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lang w:eastAsia="zh-CN"/>
                    </w:rPr>
                  </w:pPr>
                  <w:r>
                    <w:rPr>
                      <w:rFonts w:hint="eastAsia" w:ascii="宋体" w:hAnsi="宋体" w:eastAsia="宋体" w:cs="宋体"/>
                      <w:i w:val="0"/>
                      <w:iCs w:val="0"/>
                      <w:color w:val="000000"/>
                      <w:kern w:val="0"/>
                      <w:sz w:val="18"/>
                      <w:szCs w:val="18"/>
                      <w:u w:val="none"/>
                      <w:lang w:val="en-US" w:eastAsia="zh-CN" w:bidi="ar"/>
                    </w:rPr>
                    <w:t>厂房</w:t>
                  </w:r>
                </w:p>
              </w:tc>
              <w:tc>
                <w:tcPr>
                  <w:tcW w:w="660" w:type="dxa"/>
                  <w:noWrap/>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Style w:val="92"/>
                      <w:sz w:val="18"/>
                      <w:szCs w:val="18"/>
                      <w:lang w:val="en-US" w:eastAsia="zh-CN" w:bidi="ar"/>
                    </w:rPr>
                    <w:t>打包机</w:t>
                  </w:r>
                </w:p>
              </w:tc>
              <w:tc>
                <w:tcPr>
                  <w:tcW w:w="48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80</w:t>
                  </w:r>
                </w:p>
              </w:tc>
              <w:tc>
                <w:tcPr>
                  <w:tcW w:w="440" w:type="dxa"/>
                  <w:vMerge w:val="continue"/>
                  <w:noWrap w:val="0"/>
                  <w:tcMar>
                    <w:top w:w="15" w:type="dxa"/>
                    <w:left w:w="15" w:type="dxa"/>
                    <w:right w:w="15" w:type="dxa"/>
                  </w:tcMar>
                  <w:vAlign w:val="center"/>
                </w:tcPr>
                <w:p>
                  <w:pPr>
                    <w:jc w:val="center"/>
                    <w:rPr>
                      <w:color w:val="000000"/>
                      <w:kern w:val="0"/>
                      <w:sz w:val="18"/>
                      <w:szCs w:val="18"/>
                      <w:lang w:bidi="ar"/>
                    </w:rPr>
                  </w:pPr>
                </w:p>
              </w:tc>
              <w:tc>
                <w:tcPr>
                  <w:tcW w:w="52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-58.4</w:t>
                  </w:r>
                </w:p>
              </w:tc>
              <w:tc>
                <w:tcPr>
                  <w:tcW w:w="503"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163.5</w:t>
                  </w:r>
                </w:p>
              </w:tc>
              <w:tc>
                <w:tcPr>
                  <w:tcW w:w="39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0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88.2</w:t>
                  </w:r>
                </w:p>
              </w:tc>
              <w:tc>
                <w:tcPr>
                  <w:tcW w:w="36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36.3</w:t>
                  </w:r>
                </w:p>
              </w:tc>
              <w:tc>
                <w:tcPr>
                  <w:tcW w:w="436"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77.2</w:t>
                  </w:r>
                </w:p>
              </w:tc>
              <w:tc>
                <w:tcPr>
                  <w:tcW w:w="364"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10.0</w:t>
                  </w:r>
                </w:p>
              </w:tc>
              <w:tc>
                <w:tcPr>
                  <w:tcW w:w="438"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55.5</w:t>
                  </w:r>
                </w:p>
              </w:tc>
              <w:tc>
                <w:tcPr>
                  <w:tcW w:w="435" w:type="dxa"/>
                  <w:gridSpan w:val="2"/>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55.6</w:t>
                  </w:r>
                </w:p>
              </w:tc>
              <w:tc>
                <w:tcPr>
                  <w:tcW w:w="435"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55.5</w:t>
                  </w:r>
                </w:p>
              </w:tc>
              <w:tc>
                <w:tcPr>
                  <w:tcW w:w="490"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sz w:val="18"/>
                      <w:szCs w:val="18"/>
                    </w:rPr>
                  </w:pPr>
                  <w:r>
                    <w:rPr>
                      <w:rFonts w:hint="default" w:ascii="Times New Roman" w:hAnsi="Times New Roman" w:eastAsia="宋体" w:cs="Times New Roman"/>
                      <w:i w:val="0"/>
                      <w:iCs w:val="0"/>
                      <w:color w:val="000000"/>
                      <w:kern w:val="0"/>
                      <w:sz w:val="18"/>
                      <w:szCs w:val="18"/>
                      <w:u w:val="none"/>
                      <w:lang w:val="en-US" w:eastAsia="zh-CN" w:bidi="ar"/>
                    </w:rPr>
                    <w:t>56.4</w:t>
                  </w:r>
                </w:p>
              </w:tc>
              <w:tc>
                <w:tcPr>
                  <w:tcW w:w="462" w:type="dxa"/>
                  <w:noWrap w:val="0"/>
                  <w:tcMar>
                    <w:top w:w="15" w:type="dxa"/>
                    <w:left w:w="15" w:type="dxa"/>
                    <w:right w:w="15" w:type="dxa"/>
                  </w:tcMar>
                  <w:vAlign w:val="center"/>
                </w:tcPr>
                <w:p>
                  <w:pPr>
                    <w:keepNext w:val="0"/>
                    <w:keepLines w:val="0"/>
                    <w:widowControl/>
                    <w:suppressLineNumbers w:val="0"/>
                    <w:jc w:val="center"/>
                    <w:textAlignment w:val="center"/>
                    <w:rPr>
                      <w:rFonts w:hint="eastAsia"/>
                      <w:color w:val="000000"/>
                      <w:kern w:val="0"/>
                      <w:sz w:val="18"/>
                      <w:szCs w:val="18"/>
                      <w:lang w:bidi="ar"/>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340" w:type="dxa"/>
                  <w:noWrap w:val="0"/>
                  <w:tcMar>
                    <w:top w:w="15" w:type="dxa"/>
                    <w:left w:w="15" w:type="dxa"/>
                    <w:right w:w="15" w:type="dxa"/>
                  </w:tcMar>
                  <w:vAlign w:val="center"/>
                </w:tcPr>
                <w:p>
                  <w:pPr>
                    <w:keepNext w:val="0"/>
                    <w:keepLines w:val="0"/>
                    <w:widowControl/>
                    <w:suppressLineNumbers w:val="0"/>
                    <w:jc w:val="center"/>
                    <w:textAlignment w:val="center"/>
                    <w:rPr>
                      <w:color w:val="000000"/>
                      <w:kern w:val="0"/>
                      <w:sz w:val="18"/>
                      <w:szCs w:val="18"/>
                      <w:lang w:bidi="ar"/>
                    </w:rPr>
                  </w:pPr>
                  <w:r>
                    <w:rPr>
                      <w:rFonts w:hint="eastAsia" w:ascii="宋体" w:hAnsi="宋体" w:eastAsia="宋体" w:cs="宋体"/>
                      <w:i w:val="0"/>
                      <w:iCs w:val="0"/>
                      <w:color w:val="000000"/>
                      <w:kern w:val="0"/>
                      <w:sz w:val="18"/>
                      <w:szCs w:val="18"/>
                      <w:u w:val="none"/>
                      <w:lang w:val="en-US" w:eastAsia="zh-CN" w:bidi="ar"/>
                    </w:rPr>
                    <w:t>昼</w:t>
                  </w:r>
                </w:p>
              </w:tc>
            </w:tr>
          </w:tbl>
          <w:p>
            <w:pPr>
              <w:keepNext w:val="0"/>
              <w:keepLines w:val="0"/>
              <w:widowControl/>
              <w:suppressLineNumbers w:val="0"/>
              <w:spacing w:line="360" w:lineRule="auto"/>
              <w:jc w:val="center"/>
              <w:rPr>
                <w:rFonts w:hint="default" w:ascii="Times New Roman" w:hAnsi="Times New Roman" w:eastAsia="宋体" w:cs="Times New Roman"/>
                <w:color w:val="auto"/>
                <w:u w:val="wave" w:color="auto"/>
                <w:lang w:val="en-US"/>
              </w:rPr>
            </w:pPr>
            <w:r>
              <w:rPr>
                <w:rFonts w:hint="default" w:ascii="Times New Roman" w:hAnsi="Times New Roman" w:eastAsia="宋体" w:cs="Times New Roman"/>
                <w:b/>
                <w:bCs/>
                <w:color w:val="auto"/>
                <w:kern w:val="0"/>
                <w:sz w:val="21"/>
                <w:szCs w:val="21"/>
                <w:u w:val="wave" w:color="auto"/>
                <w:lang w:val="en-US" w:eastAsia="zh-CN" w:bidi="ar"/>
              </w:rPr>
              <w:t>表4-</w:t>
            </w:r>
            <w:r>
              <w:rPr>
                <w:rFonts w:hint="eastAsia" w:ascii="Times New Roman" w:hAnsi="Times New Roman" w:cs="Times New Roman"/>
                <w:b/>
                <w:bCs/>
                <w:color w:val="auto"/>
                <w:kern w:val="0"/>
                <w:sz w:val="21"/>
                <w:szCs w:val="21"/>
                <w:u w:val="wave" w:color="auto"/>
                <w:lang w:val="en-US" w:eastAsia="zh-CN" w:bidi="ar"/>
              </w:rPr>
              <w:t>9</w:t>
            </w:r>
            <w:r>
              <w:rPr>
                <w:rFonts w:hint="default" w:ascii="Times New Roman" w:hAnsi="Times New Roman" w:eastAsia="宋体" w:cs="Times New Roman"/>
                <w:b/>
                <w:bCs/>
                <w:color w:val="auto"/>
                <w:kern w:val="0"/>
                <w:sz w:val="21"/>
                <w:szCs w:val="21"/>
                <w:u w:val="wave" w:color="auto"/>
                <w:lang w:val="en-US" w:eastAsia="zh-CN" w:bidi="ar"/>
              </w:rPr>
              <w:t xml:space="preserve"> 主要噪声源及噪声强度一览表</w:t>
            </w:r>
            <w:r>
              <w:rPr>
                <w:rFonts w:hint="eastAsia" w:ascii="Times New Roman" w:hAnsi="Times New Roman" w:cs="Times New Roman"/>
                <w:b/>
                <w:bCs/>
                <w:color w:val="auto"/>
                <w:kern w:val="0"/>
                <w:sz w:val="21"/>
                <w:szCs w:val="21"/>
                <w:u w:val="wave" w:color="auto"/>
                <w:lang w:val="en-US" w:eastAsia="zh-CN" w:bidi="ar"/>
              </w:rPr>
              <w:t>（室外声源）</w:t>
            </w:r>
          </w:p>
          <w:tbl>
            <w:tblPr>
              <w:tblStyle w:val="25"/>
              <w:tblW w:w="4819"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904"/>
              <w:gridCol w:w="426"/>
              <w:gridCol w:w="846"/>
              <w:gridCol w:w="836"/>
              <w:gridCol w:w="635"/>
              <w:gridCol w:w="2056"/>
              <w:gridCol w:w="989"/>
              <w:gridCol w:w="7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bookmarkStart w:id="20" w:name="PT_5"/>
                  <w:r>
                    <w:rPr>
                      <w:b/>
                      <w:szCs w:val="21"/>
                      <w:u w:val="wave" w:color="auto"/>
                    </w:rPr>
                    <w:t>序号</w:t>
                  </w:r>
                </w:p>
              </w:tc>
              <w:tc>
                <w:tcPr>
                  <w:tcW w:w="57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b/>
                      <w:szCs w:val="21"/>
                      <w:u w:val="wave" w:color="auto"/>
                    </w:rPr>
                    <w:t>声源名称</w:t>
                  </w:r>
                </w:p>
              </w:tc>
              <w:tc>
                <w:tcPr>
                  <w:tcW w:w="27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b/>
                      <w:szCs w:val="21"/>
                      <w:u w:val="wave" w:color="auto"/>
                    </w:rPr>
                    <w:t>型号</w:t>
                  </w:r>
                </w:p>
              </w:tc>
              <w:tc>
                <w:tcPr>
                  <w:tcW w:w="1480"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b/>
                      <w:szCs w:val="21"/>
                      <w:u w:val="wave" w:color="auto"/>
                    </w:rPr>
                    <w:t>空间相对位置/m</w:t>
                  </w:r>
                </w:p>
              </w:tc>
              <w:tc>
                <w:tcPr>
                  <w:tcW w:w="131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b/>
                      <w:szCs w:val="21"/>
                      <w:u w:val="wave" w:color="auto"/>
                    </w:rPr>
                    <w:t>声源源强</w:t>
                  </w:r>
                </w:p>
              </w:tc>
              <w:tc>
                <w:tcPr>
                  <w:tcW w:w="63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b/>
                      <w:szCs w:val="21"/>
                      <w:u w:val="wave" w:color="auto"/>
                    </w:rPr>
                    <w:t>声源控制措施</w:t>
                  </w:r>
                </w:p>
              </w:tc>
              <w:tc>
                <w:tcPr>
                  <w:tcW w:w="45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b/>
                      <w:szCs w:val="21"/>
                      <w:u w:val="wave" w:color="auto"/>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p>
              </w:tc>
              <w:tc>
                <w:tcPr>
                  <w:tcW w:w="577" w:type="pct"/>
                  <w:vMerge w:val="continue"/>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p>
              </w:tc>
              <w:tc>
                <w:tcPr>
                  <w:tcW w:w="271" w:type="pct"/>
                  <w:vMerge w:val="continue"/>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p>
              </w:tc>
              <w:tc>
                <w:tcPr>
                  <w:tcW w:w="540"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szCs w:val="21"/>
                      <w:u w:val="wave" w:color="auto"/>
                    </w:rPr>
                  </w:pPr>
                  <w:r>
                    <w:rPr>
                      <w:b/>
                      <w:bCs/>
                      <w:szCs w:val="21"/>
                      <w:u w:val="wave" w:color="auto"/>
                    </w:rPr>
                    <w:t>X</w:t>
                  </w:r>
                </w:p>
              </w:tc>
              <w:tc>
                <w:tcPr>
                  <w:tcW w:w="534"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szCs w:val="21"/>
                      <w:u w:val="wave" w:color="auto"/>
                    </w:rPr>
                  </w:pPr>
                  <w:r>
                    <w:rPr>
                      <w:b/>
                      <w:bCs/>
                      <w:szCs w:val="21"/>
                      <w:u w:val="wave" w:color="auto"/>
                    </w:rPr>
                    <w:t>Y</w:t>
                  </w:r>
                </w:p>
              </w:tc>
              <w:tc>
                <w:tcPr>
                  <w:tcW w:w="405"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szCs w:val="21"/>
                      <w:u w:val="wave" w:color="auto"/>
                    </w:rPr>
                  </w:pPr>
                  <w:r>
                    <w:rPr>
                      <w:b/>
                      <w:bCs/>
                      <w:szCs w:val="21"/>
                      <w:u w:val="wave" w:color="auto"/>
                    </w:rPr>
                    <w:t>Z</w:t>
                  </w:r>
                </w:p>
              </w:tc>
              <w:tc>
                <w:tcPr>
                  <w:tcW w:w="1313"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b/>
                      <w:bCs/>
                      <w:szCs w:val="21"/>
                      <w:u w:val="wave" w:color="auto"/>
                    </w:rPr>
                  </w:pPr>
                  <w:r>
                    <w:rPr>
                      <w:b/>
                      <w:bCs/>
                      <w:szCs w:val="21"/>
                      <w:u w:val="wave" w:color="auto"/>
                    </w:rPr>
                    <w:t>声功率级/dB(A)</w:t>
                  </w:r>
                </w:p>
              </w:tc>
              <w:tc>
                <w:tcPr>
                  <w:tcW w:w="631" w:type="pct"/>
                  <w:vMerge w:val="continue"/>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p>
                <w:bookmarkEnd w:id="20"/>
              </w:tc>
              <w:tc>
                <w:tcPr>
                  <w:tcW w:w="452" w:type="pct"/>
                  <w:vMerge w:val="continue"/>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trPr>
              <w:tc>
                <w:tcPr>
                  <w:tcW w:w="27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szCs w:val="21"/>
                      <w:u w:val="wave" w:color="auto"/>
                    </w:rPr>
                    <w:t>1</w:t>
                  </w:r>
                </w:p>
              </w:tc>
              <w:tc>
                <w:tcPr>
                  <w:tcW w:w="577"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szCs w:val="21"/>
                      <w:u w:val="wave" w:color="auto"/>
                      <w:lang w:eastAsia="zh-CN"/>
                    </w:rPr>
                  </w:pPr>
                  <w:r>
                    <w:rPr>
                      <w:rFonts w:hint="eastAsia"/>
                      <w:szCs w:val="21"/>
                      <w:u w:val="wave" w:color="auto"/>
                      <w:lang w:eastAsia="zh-CN"/>
                    </w:rPr>
                    <w:t>油水分离器</w:t>
                  </w:r>
                </w:p>
              </w:tc>
              <w:tc>
                <w:tcPr>
                  <w:tcW w:w="27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Cs w:val="21"/>
                      <w:u w:val="wave" w:color="auto"/>
                    </w:rPr>
                  </w:pPr>
                  <w:r>
                    <w:rPr>
                      <w:rFonts w:hint="eastAsia"/>
                      <w:szCs w:val="21"/>
                      <w:u w:val="wave" w:color="auto"/>
                    </w:rPr>
                    <w:t>/</w:t>
                  </w:r>
                </w:p>
              </w:tc>
              <w:tc>
                <w:tcPr>
                  <w:tcW w:w="540"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-37.36</w:t>
                  </w:r>
                </w:p>
              </w:tc>
              <w:tc>
                <w:tcPr>
                  <w:tcW w:w="534"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211.57</w:t>
                  </w:r>
                </w:p>
              </w:tc>
              <w:tc>
                <w:tcPr>
                  <w:tcW w:w="405"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1</w:t>
                  </w:r>
                </w:p>
              </w:tc>
              <w:tc>
                <w:tcPr>
                  <w:tcW w:w="1313"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80</w:t>
                  </w:r>
                </w:p>
              </w:tc>
              <w:tc>
                <w:tcPr>
                  <w:tcW w:w="631" w:type="pct"/>
                  <w:vMerge w:val="restar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Cs w:val="21"/>
                      <w:u w:val="wave" w:color="auto"/>
                    </w:rPr>
                  </w:pPr>
                  <w:r>
                    <w:rPr>
                      <w:rFonts w:hint="eastAsia"/>
                      <w:szCs w:val="21"/>
                      <w:u w:val="wave" w:color="auto"/>
                    </w:rPr>
                    <w:t>减振</w:t>
                  </w:r>
                </w:p>
              </w:tc>
              <w:tc>
                <w:tcPr>
                  <w:tcW w:w="452"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Cs w:val="21"/>
                      <w:u w:val="wave" w:color="auto"/>
                    </w:rPr>
                  </w:pPr>
                  <w:r>
                    <w:rPr>
                      <w:rFonts w:hint="eastAsia"/>
                      <w:szCs w:val="21"/>
                      <w:u w:val="wave" w:color="auto"/>
                    </w:rPr>
                    <w:t>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97" w:hRule="atLeast"/>
              </w:trPr>
              <w:tc>
                <w:tcPr>
                  <w:tcW w:w="27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szCs w:val="21"/>
                      <w:u w:val="wave" w:color="auto"/>
                    </w:rPr>
                    <w:t>2</w:t>
                  </w:r>
                </w:p>
              </w:tc>
              <w:tc>
                <w:tcPr>
                  <w:tcW w:w="577"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szCs w:val="21"/>
                      <w:u w:val="wave" w:color="auto"/>
                      <w:lang w:eastAsia="zh-CN"/>
                    </w:rPr>
                  </w:pPr>
                  <w:r>
                    <w:rPr>
                      <w:rFonts w:hint="eastAsia"/>
                      <w:szCs w:val="21"/>
                      <w:u w:val="wave" w:color="auto"/>
                      <w:lang w:eastAsia="zh-CN"/>
                    </w:rPr>
                    <w:t>空压机</w:t>
                  </w:r>
                </w:p>
              </w:tc>
              <w:tc>
                <w:tcPr>
                  <w:tcW w:w="271"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szCs w:val="21"/>
                      <w:u w:val="wave" w:color="auto"/>
                    </w:rPr>
                  </w:pPr>
                  <w:r>
                    <w:rPr>
                      <w:rFonts w:hint="eastAsia"/>
                      <w:szCs w:val="21"/>
                      <w:u w:val="wave" w:color="auto"/>
                    </w:rPr>
                    <w:t>/</w:t>
                  </w:r>
                </w:p>
              </w:tc>
              <w:tc>
                <w:tcPr>
                  <w:tcW w:w="540"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-14.77</w:t>
                  </w:r>
                </w:p>
              </w:tc>
              <w:tc>
                <w:tcPr>
                  <w:tcW w:w="534"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157.1</w:t>
                  </w:r>
                </w:p>
              </w:tc>
              <w:tc>
                <w:tcPr>
                  <w:tcW w:w="405"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szCs w:val="21"/>
                      <w:u w:val="wave" w:color="auto"/>
                      <w:lang w:val="en-US" w:eastAsia="zh-CN"/>
                    </w:rPr>
                  </w:pPr>
                  <w:r>
                    <w:rPr>
                      <w:rFonts w:hint="eastAsia"/>
                      <w:szCs w:val="21"/>
                      <w:u w:val="wave" w:color="auto"/>
                      <w:lang w:val="en-US" w:eastAsia="zh-CN"/>
                    </w:rPr>
                    <w:t>1</w:t>
                  </w:r>
                </w:p>
              </w:tc>
              <w:tc>
                <w:tcPr>
                  <w:tcW w:w="1313"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eastAsia="宋体"/>
                      <w:szCs w:val="21"/>
                      <w:u w:val="wave" w:color="auto"/>
                      <w:lang w:val="en-US" w:eastAsia="zh-CN"/>
                    </w:rPr>
                  </w:pPr>
                  <w:r>
                    <w:rPr>
                      <w:rFonts w:hint="eastAsia"/>
                      <w:szCs w:val="21"/>
                      <w:u w:val="wave" w:color="auto"/>
                      <w:lang w:val="en-US" w:eastAsia="zh-CN"/>
                    </w:rPr>
                    <w:t>80</w:t>
                  </w:r>
                </w:p>
              </w:tc>
              <w:tc>
                <w:tcPr>
                  <w:tcW w:w="631" w:type="pct"/>
                  <w:vMerge w:val="continue"/>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p>
              </w:tc>
              <w:tc>
                <w:tcPr>
                  <w:tcW w:w="452" w:type="pct"/>
                  <w:tcBorders>
                    <w:tl2br w:val="nil"/>
                    <w:tr2bl w:val="nil"/>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szCs w:val="21"/>
                      <w:u w:val="wave" w:color="auto"/>
                    </w:rPr>
                  </w:pPr>
                  <w:r>
                    <w:rPr>
                      <w:rFonts w:hint="eastAsia"/>
                      <w:szCs w:val="21"/>
                      <w:u w:val="wave" w:color="auto"/>
                    </w:rPr>
                    <w:t>昼</w:t>
                  </w:r>
                </w:p>
              </w:tc>
            </w:tr>
          </w:tbl>
          <w:p>
            <w:pPr>
              <w:ind w:firstLine="420" w:firstLineChars="200"/>
              <w:rPr>
                <w:rFonts w:hint="eastAsia" w:hAnsi="宋体"/>
                <w:kern w:val="0"/>
                <w:szCs w:val="21"/>
                <w:u w:val="wave" w:color="auto"/>
              </w:rPr>
            </w:pPr>
            <w:r>
              <w:rPr>
                <w:rFonts w:hint="eastAsia" w:hAnsi="宋体"/>
                <w:kern w:val="0"/>
                <w:szCs w:val="21"/>
                <w:u w:val="wave" w:color="auto"/>
              </w:rPr>
              <w:t>表中坐标以112.</w:t>
            </w:r>
            <w:r>
              <w:rPr>
                <w:rFonts w:hint="eastAsia" w:hAnsi="宋体"/>
                <w:kern w:val="0"/>
                <w:szCs w:val="21"/>
                <w:u w:val="wave" w:color="auto"/>
                <w:lang w:val="en-US" w:eastAsia="zh-CN"/>
              </w:rPr>
              <w:t>455345</w:t>
            </w:r>
            <w:r>
              <w:rPr>
                <w:rFonts w:hint="eastAsia" w:hAnsi="宋体"/>
                <w:kern w:val="0"/>
                <w:szCs w:val="21"/>
                <w:u w:val="wave" w:color="auto"/>
              </w:rPr>
              <w:t>,26.</w:t>
            </w:r>
            <w:r>
              <w:rPr>
                <w:rFonts w:hint="eastAsia" w:hAnsi="宋体"/>
                <w:kern w:val="0"/>
                <w:szCs w:val="21"/>
                <w:u w:val="wave" w:color="auto"/>
                <w:lang w:val="en-US" w:eastAsia="zh-CN"/>
              </w:rPr>
              <w:t>943309</w:t>
            </w:r>
            <w:r>
              <w:rPr>
                <w:rFonts w:hint="eastAsia" w:hAnsi="宋体"/>
                <w:kern w:val="0"/>
                <w:szCs w:val="21"/>
                <w:u w:val="wave" w:color="auto"/>
              </w:rPr>
              <w:t>为坐标原点，正东向为X轴正方向，正北向为Y轴正方向。</w:t>
            </w:r>
          </w:p>
          <w:p>
            <w:pPr>
              <w:spacing w:line="360" w:lineRule="auto"/>
              <w:ind w:firstLine="480" w:firstLineChars="200"/>
              <w:rPr>
                <w:rFonts w:hAnsi="宋体"/>
                <w:kern w:val="0"/>
                <w:sz w:val="24"/>
                <w:u w:val="wave" w:color="auto"/>
              </w:rPr>
            </w:pPr>
            <w:r>
              <w:rPr>
                <w:rFonts w:hint="eastAsia" w:hAnsi="宋体"/>
                <w:kern w:val="0"/>
                <w:sz w:val="24"/>
                <w:u w:val="wave" w:color="auto"/>
              </w:rPr>
              <w:t>（2）基础数据</w:t>
            </w:r>
          </w:p>
          <w:p>
            <w:pPr>
              <w:spacing w:line="360" w:lineRule="auto"/>
              <w:ind w:firstLine="480" w:firstLineChars="200"/>
              <w:rPr>
                <w:rFonts w:hAnsi="宋体"/>
                <w:kern w:val="0"/>
                <w:sz w:val="24"/>
              </w:rPr>
            </w:pPr>
            <w:r>
              <w:rPr>
                <w:rFonts w:hint="eastAsia" w:hAnsi="宋体"/>
                <w:kern w:val="0"/>
                <w:sz w:val="24"/>
              </w:rPr>
              <w:t>项目噪声环境影响预测基础数据见表4-</w:t>
            </w:r>
            <w:r>
              <w:rPr>
                <w:rFonts w:hint="eastAsia" w:hAnsi="宋体"/>
                <w:kern w:val="0"/>
                <w:sz w:val="24"/>
                <w:lang w:val="en-US" w:eastAsia="zh-CN"/>
              </w:rPr>
              <w:t>10</w:t>
            </w:r>
            <w:r>
              <w:rPr>
                <w:rFonts w:hint="eastAsia" w:hAnsi="宋体"/>
                <w:kern w:val="0"/>
                <w:sz w:val="24"/>
              </w:rPr>
              <w:t>。</w:t>
            </w:r>
          </w:p>
          <w:p>
            <w:pPr>
              <w:pStyle w:val="8"/>
              <w:spacing w:line="360" w:lineRule="auto"/>
              <w:jc w:val="center"/>
              <w:rPr>
                <w:rFonts w:ascii="Times New Roman" w:hAnsi="Times New Roman" w:eastAsia="宋体" w:cs="Times New Roman"/>
                <w:b/>
                <w:bCs/>
                <w:sz w:val="21"/>
              </w:rPr>
            </w:pPr>
            <w:r>
              <w:rPr>
                <w:rFonts w:ascii="Times New Roman" w:hAnsi="Times New Roman" w:eastAsia="宋体" w:cs="Times New Roman"/>
                <w:b/>
                <w:bCs/>
                <w:sz w:val="21"/>
              </w:rPr>
              <w:t>表4-</w:t>
            </w:r>
            <w:r>
              <w:rPr>
                <w:rFonts w:hint="eastAsia" w:ascii="Times New Roman" w:hAnsi="Times New Roman" w:eastAsia="宋体" w:cs="Times New Roman"/>
                <w:b/>
                <w:bCs/>
                <w:sz w:val="21"/>
                <w:lang w:val="en-US" w:eastAsia="zh-CN"/>
              </w:rPr>
              <w:t>10</w:t>
            </w:r>
            <w:r>
              <w:rPr>
                <w:rFonts w:ascii="Times New Roman" w:hAnsi="Times New Roman" w:eastAsia="宋体" w:cs="Times New Roman"/>
                <w:b/>
                <w:bCs/>
                <w:sz w:val="21"/>
              </w:rPr>
              <w:t xml:space="preserve">  项目噪声环境影响预测基础数据表</w:t>
            </w:r>
          </w:p>
          <w:tbl>
            <w:tblPr>
              <w:tblStyle w:val="25"/>
              <w:tblW w:w="5000" w:type="pct"/>
              <w:tblInd w:w="15"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04"/>
              <w:gridCol w:w="2760"/>
              <w:gridCol w:w="2029"/>
              <w:gridCol w:w="202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5" w:hRule="atLeast"/>
              </w:trPr>
              <w:tc>
                <w:tcPr>
                  <w:tcW w:w="803" w:type="pct"/>
                  <w:noWrap w:val="0"/>
                  <w:vAlign w:val="center"/>
                </w:tcPr>
                <w:p>
                  <w:pPr>
                    <w:overflowPunct w:val="0"/>
                    <w:snapToGrid w:val="0"/>
                    <w:jc w:val="center"/>
                    <w:rPr>
                      <w:b/>
                      <w:szCs w:val="21"/>
                    </w:rPr>
                  </w:pPr>
                  <w:r>
                    <w:rPr>
                      <w:b/>
                      <w:szCs w:val="21"/>
                    </w:rPr>
                    <w:t>序号</w:t>
                  </w:r>
                </w:p>
              </w:tc>
              <w:tc>
                <w:tcPr>
                  <w:tcW w:w="1699" w:type="pct"/>
                  <w:noWrap w:val="0"/>
                  <w:vAlign w:val="center"/>
                </w:tcPr>
                <w:p>
                  <w:pPr>
                    <w:overflowPunct w:val="0"/>
                    <w:snapToGrid w:val="0"/>
                    <w:jc w:val="center"/>
                    <w:rPr>
                      <w:b/>
                      <w:szCs w:val="21"/>
                    </w:rPr>
                  </w:pPr>
                  <w:r>
                    <w:rPr>
                      <w:b/>
                      <w:szCs w:val="21"/>
                    </w:rPr>
                    <w:t>名称</w:t>
                  </w:r>
                </w:p>
              </w:tc>
              <w:tc>
                <w:tcPr>
                  <w:tcW w:w="1249" w:type="pct"/>
                  <w:noWrap w:val="0"/>
                  <w:vAlign w:val="center"/>
                </w:tcPr>
                <w:p>
                  <w:pPr>
                    <w:overflowPunct w:val="0"/>
                    <w:snapToGrid w:val="0"/>
                    <w:jc w:val="center"/>
                    <w:rPr>
                      <w:b/>
                      <w:szCs w:val="21"/>
                    </w:rPr>
                  </w:pPr>
                  <w:r>
                    <w:rPr>
                      <w:b/>
                      <w:szCs w:val="21"/>
                    </w:rPr>
                    <w:t>单位</w:t>
                  </w:r>
                </w:p>
              </w:tc>
              <w:tc>
                <w:tcPr>
                  <w:tcW w:w="1248" w:type="pct"/>
                  <w:noWrap w:val="0"/>
                  <w:vAlign w:val="center"/>
                </w:tcPr>
                <w:p>
                  <w:pPr>
                    <w:overflowPunct w:val="0"/>
                    <w:snapToGrid w:val="0"/>
                    <w:jc w:val="center"/>
                    <w:rPr>
                      <w:b/>
                      <w:szCs w:val="21"/>
                    </w:rPr>
                  </w:pPr>
                  <w:r>
                    <w:rPr>
                      <w:b/>
                      <w:szCs w:val="21"/>
                    </w:rPr>
                    <w:t>数据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03" w:type="pct"/>
                  <w:noWrap w:val="0"/>
                  <w:vAlign w:val="center"/>
                </w:tcPr>
                <w:p>
                  <w:pPr>
                    <w:overflowPunct w:val="0"/>
                    <w:snapToGrid w:val="0"/>
                    <w:jc w:val="center"/>
                    <w:rPr>
                      <w:szCs w:val="21"/>
                    </w:rPr>
                  </w:pPr>
                  <w:r>
                    <w:rPr>
                      <w:rFonts w:hint="eastAsia"/>
                      <w:szCs w:val="21"/>
                    </w:rPr>
                    <w:t>1</w:t>
                  </w:r>
                </w:p>
              </w:tc>
              <w:tc>
                <w:tcPr>
                  <w:tcW w:w="2760" w:type="dxa"/>
                  <w:noWrap w:val="0"/>
                  <w:vAlign w:val="center"/>
                </w:tcPr>
                <w:p>
                  <w:pPr>
                    <w:pStyle w:val="68"/>
                    <w:ind w:firstLine="210" w:firstLineChars="0"/>
                    <w:jc w:val="center"/>
                    <w:rPr>
                      <w:color w:val="auto"/>
                      <w:szCs w:val="21"/>
                    </w:rPr>
                  </w:pPr>
                  <w:r>
                    <w:rPr>
                      <w:rFonts w:hint="eastAsia"/>
                      <w:color w:val="auto"/>
                      <w:sz w:val="21"/>
                      <w:szCs w:val="21"/>
                      <w:u w:val="none" w:color="auto"/>
                    </w:rPr>
                    <w:t>年平均风速</w:t>
                  </w:r>
                </w:p>
              </w:tc>
              <w:tc>
                <w:tcPr>
                  <w:tcW w:w="2029" w:type="dxa"/>
                  <w:noWrap w:val="0"/>
                  <w:vAlign w:val="center"/>
                </w:tcPr>
                <w:p>
                  <w:pPr>
                    <w:overflowPunct w:val="0"/>
                    <w:snapToGrid w:val="0"/>
                    <w:jc w:val="center"/>
                    <w:rPr>
                      <w:szCs w:val="21"/>
                    </w:rPr>
                  </w:pPr>
                  <w:r>
                    <w:rPr>
                      <w:rFonts w:hint="eastAsia" w:eastAsia="宋体"/>
                      <w:color w:val="auto"/>
                      <w:szCs w:val="21"/>
                      <w:u w:val="none" w:color="auto"/>
                    </w:rPr>
                    <w:t>m/s</w:t>
                  </w:r>
                </w:p>
              </w:tc>
              <w:tc>
                <w:tcPr>
                  <w:tcW w:w="2027" w:type="dxa"/>
                  <w:noWrap w:val="0"/>
                  <w:vAlign w:val="center"/>
                </w:tcPr>
                <w:p>
                  <w:pPr>
                    <w:overflowPunct w:val="0"/>
                    <w:snapToGrid w:val="0"/>
                    <w:jc w:val="center"/>
                    <w:rPr>
                      <w:szCs w:val="21"/>
                    </w:rPr>
                  </w:pPr>
                  <w:r>
                    <w:rPr>
                      <w:rFonts w:hint="eastAsia" w:eastAsia="宋体"/>
                      <w:color w:val="auto"/>
                      <w:szCs w:val="21"/>
                      <w:u w:val="none" w:color="auto"/>
                    </w:rPr>
                    <w:t>1.9</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03" w:type="pct"/>
                  <w:noWrap w:val="0"/>
                  <w:vAlign w:val="center"/>
                </w:tcPr>
                <w:p>
                  <w:pPr>
                    <w:jc w:val="center"/>
                    <w:rPr>
                      <w:szCs w:val="21"/>
                    </w:rPr>
                  </w:pPr>
                  <w:r>
                    <w:rPr>
                      <w:rFonts w:hint="eastAsia"/>
                      <w:szCs w:val="21"/>
                    </w:rPr>
                    <w:t>2</w:t>
                  </w:r>
                </w:p>
              </w:tc>
              <w:tc>
                <w:tcPr>
                  <w:tcW w:w="2760" w:type="dxa"/>
                  <w:noWrap w:val="0"/>
                  <w:vAlign w:val="center"/>
                </w:tcPr>
                <w:p>
                  <w:pPr>
                    <w:jc w:val="center"/>
                    <w:rPr>
                      <w:szCs w:val="21"/>
                    </w:rPr>
                  </w:pPr>
                  <w:r>
                    <w:rPr>
                      <w:rFonts w:eastAsia="宋体"/>
                      <w:color w:val="auto"/>
                      <w:szCs w:val="21"/>
                      <w:u w:val="none" w:color="auto"/>
                    </w:rPr>
                    <w:t>主导风向</w:t>
                  </w:r>
                </w:p>
              </w:tc>
              <w:tc>
                <w:tcPr>
                  <w:tcW w:w="2029" w:type="dxa"/>
                  <w:noWrap w:val="0"/>
                  <w:vAlign w:val="center"/>
                </w:tcPr>
                <w:p>
                  <w:pPr>
                    <w:jc w:val="center"/>
                    <w:rPr>
                      <w:szCs w:val="21"/>
                    </w:rPr>
                  </w:pPr>
                  <w:r>
                    <w:rPr>
                      <w:rFonts w:hint="eastAsia" w:eastAsia="宋体"/>
                      <w:color w:val="auto"/>
                      <w:szCs w:val="21"/>
                      <w:u w:val="none" w:color="auto"/>
                    </w:rPr>
                    <w:t>/</w:t>
                  </w:r>
                </w:p>
              </w:tc>
              <w:tc>
                <w:tcPr>
                  <w:tcW w:w="2027" w:type="dxa"/>
                  <w:noWrap w:val="0"/>
                  <w:vAlign w:val="center"/>
                </w:tcPr>
                <w:p>
                  <w:pPr>
                    <w:jc w:val="center"/>
                    <w:rPr>
                      <w:szCs w:val="21"/>
                    </w:rPr>
                  </w:pPr>
                  <w:r>
                    <w:rPr>
                      <w:rFonts w:hint="eastAsia" w:eastAsia="宋体"/>
                      <w:color w:val="auto"/>
                      <w:szCs w:val="21"/>
                      <w:u w:val="none" w:color="auto"/>
                    </w:rPr>
                    <w:t>西</w:t>
                  </w:r>
                  <w:r>
                    <w:rPr>
                      <w:rFonts w:eastAsia="宋体"/>
                      <w:color w:val="auto"/>
                      <w:szCs w:val="21"/>
                      <w:u w:val="none" w:color="auto"/>
                    </w:rPr>
                    <w:t>北</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03" w:type="pct"/>
                  <w:noWrap w:val="0"/>
                  <w:vAlign w:val="center"/>
                </w:tcPr>
                <w:p>
                  <w:pPr>
                    <w:jc w:val="center"/>
                    <w:rPr>
                      <w:szCs w:val="21"/>
                    </w:rPr>
                  </w:pPr>
                  <w:r>
                    <w:rPr>
                      <w:rFonts w:hint="eastAsia"/>
                      <w:szCs w:val="21"/>
                    </w:rPr>
                    <w:t>3</w:t>
                  </w:r>
                </w:p>
              </w:tc>
              <w:tc>
                <w:tcPr>
                  <w:tcW w:w="2760" w:type="dxa"/>
                  <w:noWrap w:val="0"/>
                  <w:vAlign w:val="center"/>
                </w:tcPr>
                <w:p>
                  <w:pPr>
                    <w:jc w:val="center"/>
                    <w:rPr>
                      <w:szCs w:val="21"/>
                    </w:rPr>
                  </w:pPr>
                  <w:r>
                    <w:rPr>
                      <w:rFonts w:eastAsia="宋体"/>
                      <w:color w:val="auto"/>
                      <w:szCs w:val="21"/>
                      <w:u w:val="none" w:color="auto"/>
                    </w:rPr>
                    <w:t>年平均气温</w:t>
                  </w:r>
                </w:p>
              </w:tc>
              <w:tc>
                <w:tcPr>
                  <w:tcW w:w="2029" w:type="dxa"/>
                  <w:noWrap w:val="0"/>
                  <w:vAlign w:val="center"/>
                </w:tcPr>
                <w:p>
                  <w:pPr>
                    <w:jc w:val="center"/>
                    <w:rPr>
                      <w:szCs w:val="21"/>
                    </w:rPr>
                  </w:pPr>
                  <w:r>
                    <w:rPr>
                      <w:rFonts w:eastAsia="宋体"/>
                      <w:color w:val="auto"/>
                      <w:szCs w:val="21"/>
                      <w:u w:val="none" w:color="auto"/>
                    </w:rPr>
                    <w:t>℃</w:t>
                  </w:r>
                </w:p>
              </w:tc>
              <w:tc>
                <w:tcPr>
                  <w:tcW w:w="2027" w:type="dxa"/>
                  <w:noWrap w:val="0"/>
                  <w:vAlign w:val="center"/>
                </w:tcPr>
                <w:p>
                  <w:pPr>
                    <w:jc w:val="center"/>
                    <w:rPr>
                      <w:szCs w:val="21"/>
                    </w:rPr>
                  </w:pPr>
                  <w:r>
                    <w:rPr>
                      <w:rFonts w:hint="eastAsia" w:eastAsia="宋体"/>
                      <w:color w:val="auto"/>
                      <w:szCs w:val="21"/>
                      <w:u w:val="none" w:color="auto"/>
                    </w:rPr>
                    <w:t>17.4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03" w:type="pct"/>
                  <w:noWrap w:val="0"/>
                  <w:vAlign w:val="center"/>
                </w:tcPr>
                <w:p>
                  <w:pPr>
                    <w:jc w:val="center"/>
                    <w:rPr>
                      <w:szCs w:val="21"/>
                    </w:rPr>
                  </w:pPr>
                  <w:r>
                    <w:rPr>
                      <w:rFonts w:hint="eastAsia"/>
                      <w:szCs w:val="21"/>
                    </w:rPr>
                    <w:t>4</w:t>
                  </w:r>
                </w:p>
              </w:tc>
              <w:tc>
                <w:tcPr>
                  <w:tcW w:w="2760" w:type="dxa"/>
                  <w:noWrap w:val="0"/>
                  <w:vAlign w:val="center"/>
                </w:tcPr>
                <w:p>
                  <w:pPr>
                    <w:jc w:val="center"/>
                    <w:rPr>
                      <w:szCs w:val="21"/>
                    </w:rPr>
                  </w:pPr>
                  <w:r>
                    <w:rPr>
                      <w:rFonts w:eastAsia="宋体"/>
                      <w:color w:val="auto"/>
                      <w:szCs w:val="21"/>
                      <w:u w:val="none" w:color="auto"/>
                    </w:rPr>
                    <w:t>年平均相对湿度</w:t>
                  </w:r>
                </w:p>
              </w:tc>
              <w:tc>
                <w:tcPr>
                  <w:tcW w:w="2029" w:type="dxa"/>
                  <w:noWrap w:val="0"/>
                  <w:vAlign w:val="center"/>
                </w:tcPr>
                <w:p>
                  <w:pPr>
                    <w:jc w:val="center"/>
                    <w:rPr>
                      <w:szCs w:val="21"/>
                    </w:rPr>
                  </w:pPr>
                  <w:r>
                    <w:rPr>
                      <w:rFonts w:eastAsia="宋体"/>
                      <w:color w:val="auto"/>
                      <w:szCs w:val="21"/>
                      <w:u w:val="none" w:color="auto"/>
                    </w:rPr>
                    <w:t>%</w:t>
                  </w:r>
                </w:p>
              </w:tc>
              <w:tc>
                <w:tcPr>
                  <w:tcW w:w="2027" w:type="dxa"/>
                  <w:noWrap w:val="0"/>
                  <w:vAlign w:val="center"/>
                </w:tcPr>
                <w:p>
                  <w:pPr>
                    <w:jc w:val="center"/>
                    <w:rPr>
                      <w:szCs w:val="21"/>
                    </w:rPr>
                  </w:pPr>
                  <w:r>
                    <w:rPr>
                      <w:rFonts w:hint="eastAsia" w:eastAsia="宋体"/>
                      <w:color w:val="auto"/>
                      <w:szCs w:val="21"/>
                      <w:u w:val="none" w:color="auto"/>
                      <w:lang w:val="en-US" w:eastAsia="zh-CN"/>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03" w:type="pct"/>
                  <w:noWrap w:val="0"/>
                  <w:vAlign w:val="center"/>
                </w:tcPr>
                <w:p>
                  <w:pPr>
                    <w:jc w:val="center"/>
                    <w:rPr>
                      <w:szCs w:val="21"/>
                    </w:rPr>
                  </w:pPr>
                  <w:r>
                    <w:rPr>
                      <w:rFonts w:hint="eastAsia"/>
                      <w:szCs w:val="21"/>
                    </w:rPr>
                    <w:t>5</w:t>
                  </w:r>
                </w:p>
              </w:tc>
              <w:tc>
                <w:tcPr>
                  <w:tcW w:w="2760" w:type="dxa"/>
                  <w:noWrap w:val="0"/>
                  <w:vAlign w:val="center"/>
                </w:tcPr>
                <w:p>
                  <w:pPr>
                    <w:jc w:val="center"/>
                    <w:rPr>
                      <w:szCs w:val="21"/>
                    </w:rPr>
                  </w:pPr>
                  <w:r>
                    <w:rPr>
                      <w:rFonts w:eastAsia="宋体"/>
                      <w:color w:val="auto"/>
                      <w:szCs w:val="21"/>
                      <w:u w:val="none" w:color="auto"/>
                    </w:rPr>
                    <w:t>大气压强</w:t>
                  </w:r>
                </w:p>
              </w:tc>
              <w:tc>
                <w:tcPr>
                  <w:tcW w:w="2029" w:type="dxa"/>
                  <w:noWrap w:val="0"/>
                  <w:vAlign w:val="center"/>
                </w:tcPr>
                <w:p>
                  <w:pPr>
                    <w:jc w:val="center"/>
                    <w:rPr>
                      <w:szCs w:val="21"/>
                    </w:rPr>
                  </w:pPr>
                  <w:r>
                    <w:rPr>
                      <w:rFonts w:hint="eastAsia" w:eastAsia="宋体"/>
                      <w:color w:val="auto"/>
                      <w:szCs w:val="21"/>
                      <w:u w:val="none" w:color="auto"/>
                    </w:rPr>
                    <w:t>atm</w:t>
                  </w:r>
                </w:p>
              </w:tc>
              <w:tc>
                <w:tcPr>
                  <w:tcW w:w="2027" w:type="dxa"/>
                  <w:noWrap w:val="0"/>
                  <w:vAlign w:val="center"/>
                </w:tcPr>
                <w:p>
                  <w:pPr>
                    <w:jc w:val="center"/>
                    <w:rPr>
                      <w:szCs w:val="21"/>
                    </w:rPr>
                  </w:pPr>
                  <w:r>
                    <w:rPr>
                      <w:rFonts w:hint="eastAsia" w:eastAsia="宋体"/>
                      <w:color w:val="auto"/>
                      <w:szCs w:val="21"/>
                      <w:u w:val="none" w:color="auto"/>
                    </w:rPr>
                    <w:t>1</w:t>
                  </w:r>
                </w:p>
              </w:tc>
            </w:tr>
          </w:tbl>
          <w:p>
            <w:pPr>
              <w:spacing w:line="360" w:lineRule="auto"/>
              <w:ind w:firstLine="482" w:firstLineChars="200"/>
              <w:rPr>
                <w:rFonts w:hint="eastAsia" w:hAnsi="宋体"/>
                <w:kern w:val="0"/>
                <w:sz w:val="24"/>
              </w:rPr>
            </w:pPr>
            <w:r>
              <w:rPr>
                <w:rFonts w:hint="eastAsia" w:hAnsi="宋体"/>
                <w:b/>
                <w:kern w:val="0"/>
                <w:sz w:val="24"/>
              </w:rPr>
              <w:t>3、预测结果</w:t>
            </w:r>
          </w:p>
          <w:p>
            <w:pPr>
              <w:pStyle w:val="59"/>
              <w:keepNext w:val="0"/>
              <w:keepLines w:val="0"/>
              <w:pageBreakBefore w:val="0"/>
              <w:widowControl w:val="0"/>
              <w:kinsoku/>
              <w:wordWrap/>
              <w:overflowPunct/>
              <w:topLinePunct w:val="0"/>
              <w:autoSpaceDE/>
              <w:autoSpaceDN/>
              <w:bidi w:val="0"/>
              <w:adjustRightInd/>
              <w:snapToGrid/>
              <w:spacing w:line="360" w:lineRule="auto"/>
              <w:ind w:left="0" w:firstLine="482" w:firstLineChars="200"/>
              <w:jc w:val="both"/>
              <w:textAlignment w:val="auto"/>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b/>
                <w:bCs/>
                <w:color w:val="auto"/>
                <w:sz w:val="24"/>
                <w:szCs w:val="24"/>
                <w:u w:val="none"/>
                <w:lang w:val="en-US" w:eastAsia="zh-CN"/>
              </w:rPr>
              <w:t>2、噪声污染防治措施可行性</w:t>
            </w:r>
          </w:p>
          <w:p>
            <w:pPr>
              <w:pStyle w:val="59"/>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lang w:eastAsia="zh-CN"/>
              </w:rPr>
              <w:t>运营期噪声源主要为机械设备噪声，机械噪声声源较集中，相对呈点声源。因此，采用点声源距离衰减模式进行预测评价。根据</w:t>
            </w:r>
            <w:r>
              <w:rPr>
                <w:rFonts w:hint="default" w:ascii="Times New Roman" w:hAnsi="Times New Roman" w:eastAsia="宋体" w:cs="Times New Roman"/>
                <w:color w:val="auto"/>
                <w:sz w:val="24"/>
                <w:szCs w:val="24"/>
                <w:u w:val="none"/>
              </w:rPr>
              <w:t>《环境影响评价技术导则声环境》（HJ2.4-2</w:t>
            </w:r>
            <w:r>
              <w:rPr>
                <w:rFonts w:hint="eastAsia" w:ascii="Times New Roman" w:hAnsi="Times New Roman" w:eastAsia="宋体" w:cs="Times New Roman"/>
                <w:color w:val="auto"/>
                <w:sz w:val="24"/>
                <w:szCs w:val="24"/>
                <w:u w:val="none"/>
                <w:lang w:val="en-US" w:eastAsia="zh-CN"/>
              </w:rPr>
              <w:t>021</w:t>
            </w:r>
            <w:r>
              <w:rPr>
                <w:rFonts w:hint="default" w:ascii="Times New Roman" w:hAnsi="Times New Roman" w:eastAsia="宋体" w:cs="Times New Roman"/>
                <w:color w:val="auto"/>
                <w:sz w:val="24"/>
                <w:szCs w:val="24"/>
                <w:u w:val="none"/>
              </w:rPr>
              <w:t>）本次评价采用</w:t>
            </w:r>
            <w:r>
              <w:rPr>
                <w:rFonts w:hint="default" w:ascii="Times New Roman" w:hAnsi="Times New Roman" w:eastAsia="宋体" w:cs="Times New Roman"/>
                <w:color w:val="auto"/>
                <w:sz w:val="24"/>
                <w:szCs w:val="24"/>
                <w:u w:val="none"/>
                <w:lang w:eastAsia="zh-CN"/>
              </w:rPr>
              <w:t>导则推荐</w:t>
            </w:r>
            <w:r>
              <w:rPr>
                <w:rFonts w:hint="default" w:ascii="Times New Roman" w:hAnsi="Times New Roman" w:eastAsia="宋体" w:cs="Times New Roman"/>
                <w:color w:val="auto"/>
                <w:sz w:val="24"/>
                <w:szCs w:val="24"/>
                <w:u w:val="none"/>
              </w:rPr>
              <w:t>预测模式：</w:t>
            </w:r>
          </w:p>
          <w:p>
            <w:pPr>
              <w:pStyle w:val="59"/>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lang w:val="en-US" w:eastAsia="zh-CN"/>
              </w:rPr>
              <w:t>①</w:t>
            </w:r>
            <w:r>
              <w:rPr>
                <w:rFonts w:hint="default" w:ascii="Times New Roman" w:hAnsi="Times New Roman" w:eastAsia="宋体" w:cs="Times New Roman"/>
                <w:color w:val="auto"/>
                <w:sz w:val="24"/>
                <w:szCs w:val="24"/>
                <w:u w:val="none"/>
              </w:rPr>
              <w:t>预测点产生的等效声级贡献值（Leqg）</w:t>
            </w:r>
          </w:p>
          <w:p>
            <w:pPr>
              <w:pStyle w:val="59"/>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color w:val="auto"/>
                <w:sz w:val="24"/>
                <w:szCs w:val="24"/>
                <w:u w:val="none"/>
              </w:rPr>
            </w:pPr>
            <m:oMathPara>
              <m:oMath>
                <m:sSub>
                  <m:sSubPr>
                    <m:ctrlPr>
                      <w:rPr>
                        <w:rFonts w:hint="default" w:ascii="Cambria Math" w:hAnsi="Cambria Math" w:cs="Times New Roman"/>
                        <w:color w:val="auto"/>
                        <w:sz w:val="24"/>
                        <w:szCs w:val="24"/>
                      </w:rPr>
                    </m:ctrlPr>
                  </m:sSubPr>
                  <m:e>
                    <m:r>
                      <m:rPr>
                        <m:sty m:val="p"/>
                      </m:rPr>
                      <w:rPr>
                        <w:rFonts w:hint="default" w:ascii="Cambria Math" w:hAnsi="Cambria Math" w:cs="Times New Roman"/>
                        <w:color w:val="auto"/>
                        <w:sz w:val="24"/>
                        <w:szCs w:val="24"/>
                      </w:rPr>
                      <m:t>L</m:t>
                    </m:r>
                    <m:ctrlPr>
                      <w:rPr>
                        <w:rFonts w:hint="default" w:ascii="Cambria Math" w:hAnsi="Cambria Math" w:cs="Times New Roman"/>
                        <w:color w:val="auto"/>
                        <w:sz w:val="24"/>
                        <w:szCs w:val="24"/>
                      </w:rPr>
                    </m:ctrlPr>
                  </m:e>
                  <m:sub>
                    <m:r>
                      <m:rPr>
                        <m:sty m:val="p"/>
                      </m:rPr>
                      <w:rPr>
                        <w:rFonts w:hint="default" w:ascii="Cambria Math" w:hAnsi="Cambria Math" w:cs="Times New Roman"/>
                        <w:color w:val="auto"/>
                        <w:sz w:val="24"/>
                        <w:szCs w:val="24"/>
                      </w:rPr>
                      <m:t>eqg</m:t>
                    </m:r>
                    <m:ctrlPr>
                      <w:rPr>
                        <w:rFonts w:hint="default" w:ascii="Cambria Math" w:hAnsi="Cambria Math" w:cs="Times New Roman"/>
                        <w:color w:val="auto"/>
                        <w:sz w:val="24"/>
                        <w:szCs w:val="24"/>
                      </w:rPr>
                    </m:ctrlPr>
                  </m:sub>
                </m:sSub>
                <m:r>
                  <m:rPr>
                    <m:sty m:val="p"/>
                  </m:rPr>
                  <w:rPr>
                    <w:rFonts w:hint="default" w:ascii="Cambria Math" w:hAnsi="Cambria Math" w:cs="Times New Roman"/>
                    <w:color w:val="auto"/>
                    <w:sz w:val="24"/>
                    <w:szCs w:val="24"/>
                  </w:rPr>
                  <m:t>=10lg</m:t>
                </m:r>
                <m:d>
                  <m:dPr>
                    <m:ctrlPr>
                      <w:rPr>
                        <w:rFonts w:hint="default" w:ascii="Cambria Math" w:hAnsi="Cambria Math" w:cs="Times New Roman"/>
                        <w:color w:val="auto"/>
                        <w:sz w:val="24"/>
                        <w:szCs w:val="24"/>
                      </w:rPr>
                    </m:ctrlPr>
                  </m:dPr>
                  <m:e>
                    <m:f>
                      <m:fPr>
                        <m:ctrlPr>
                          <w:rPr>
                            <w:rFonts w:hint="default" w:ascii="Cambria Math" w:hAnsi="Cambria Math" w:cs="Times New Roman"/>
                            <w:color w:val="auto"/>
                            <w:sz w:val="24"/>
                            <w:szCs w:val="24"/>
                          </w:rPr>
                        </m:ctrlPr>
                      </m:fPr>
                      <m:num>
                        <m:r>
                          <m:rPr>
                            <m:sty m:val="p"/>
                          </m:rPr>
                          <w:rPr>
                            <w:rFonts w:hint="default" w:ascii="Cambria Math" w:hAnsi="Cambria Math" w:cs="Times New Roman"/>
                            <w:color w:val="auto"/>
                            <w:sz w:val="24"/>
                            <w:szCs w:val="24"/>
                          </w:rPr>
                          <m:t>1</m:t>
                        </m:r>
                        <m:ctrlPr>
                          <w:rPr>
                            <w:rFonts w:hint="default" w:ascii="Cambria Math" w:hAnsi="Cambria Math" w:cs="Times New Roman"/>
                            <w:color w:val="auto"/>
                            <w:sz w:val="24"/>
                            <w:szCs w:val="24"/>
                          </w:rPr>
                        </m:ctrlPr>
                      </m:num>
                      <m:den>
                        <m:r>
                          <m:rPr>
                            <m:sty m:val="p"/>
                          </m:rPr>
                          <w:rPr>
                            <w:rFonts w:hint="default" w:ascii="Cambria Math" w:hAnsi="Cambria Math" w:cs="Times New Roman"/>
                            <w:color w:val="auto"/>
                            <w:sz w:val="24"/>
                            <w:szCs w:val="24"/>
                          </w:rPr>
                          <m:t>T</m:t>
                        </m:r>
                        <m:ctrlPr>
                          <w:rPr>
                            <w:rFonts w:hint="default" w:ascii="Cambria Math" w:hAnsi="Cambria Math" w:cs="Times New Roman"/>
                            <w:color w:val="auto"/>
                            <w:sz w:val="24"/>
                            <w:szCs w:val="24"/>
                          </w:rPr>
                        </m:ctrlPr>
                      </m:den>
                    </m:f>
                    <m:nary>
                      <m:naryPr>
                        <m:chr m:val="∑"/>
                        <m:limLoc m:val="undOvr"/>
                        <m:supHide m:val="1"/>
                        <m:ctrlPr>
                          <w:rPr>
                            <w:rFonts w:hint="default" w:ascii="Cambria Math" w:hAnsi="Cambria Math" w:cs="Times New Roman"/>
                            <w:color w:val="auto"/>
                            <w:sz w:val="24"/>
                            <w:szCs w:val="24"/>
                          </w:rPr>
                        </m:ctrlPr>
                      </m:naryPr>
                      <m:sub>
                        <m:r>
                          <m:rPr>
                            <m:sty m:val="p"/>
                          </m:rPr>
                          <w:rPr>
                            <w:rFonts w:hint="default" w:ascii="Cambria Math" w:hAnsi="Cambria Math" w:cs="Times New Roman"/>
                            <w:color w:val="auto"/>
                            <w:sz w:val="24"/>
                            <w:szCs w:val="24"/>
                          </w:rPr>
                          <m:t>i</m:t>
                        </m:r>
                        <m:ctrlPr>
                          <w:rPr>
                            <w:rFonts w:hint="default" w:ascii="Cambria Math" w:hAnsi="Cambria Math" w:cs="Times New Roman"/>
                            <w:color w:val="auto"/>
                            <w:sz w:val="24"/>
                            <w:szCs w:val="24"/>
                          </w:rPr>
                        </m:ctrlPr>
                      </m:sub>
                      <m:sup>
                        <m:ctrlPr>
                          <w:rPr>
                            <w:rFonts w:hint="default" w:ascii="Cambria Math" w:hAnsi="Cambria Math" w:cs="Times New Roman"/>
                            <w:color w:val="auto"/>
                            <w:sz w:val="24"/>
                            <w:szCs w:val="24"/>
                          </w:rPr>
                        </m:ctrlPr>
                      </m:sup>
                      <m:e>
                        <m:sSub>
                          <m:sSubPr>
                            <m:ctrlPr>
                              <w:rPr>
                                <w:rFonts w:hint="default" w:ascii="Cambria Math" w:hAnsi="Cambria Math" w:cs="Times New Roman"/>
                                <w:color w:val="auto"/>
                                <w:sz w:val="24"/>
                                <w:szCs w:val="24"/>
                              </w:rPr>
                            </m:ctrlPr>
                          </m:sSubPr>
                          <m:e>
                            <m:r>
                              <m:rPr>
                                <m:sty m:val="p"/>
                              </m:rPr>
                              <w:rPr>
                                <w:rFonts w:hint="default" w:ascii="Cambria Math" w:hAnsi="Cambria Math" w:cs="Times New Roman"/>
                                <w:color w:val="auto"/>
                                <w:sz w:val="24"/>
                                <w:szCs w:val="24"/>
                              </w:rPr>
                              <m:t>t</m:t>
                            </m:r>
                            <m:ctrlPr>
                              <w:rPr>
                                <w:rFonts w:hint="default" w:ascii="Cambria Math" w:hAnsi="Cambria Math" w:cs="Times New Roman"/>
                                <w:color w:val="auto"/>
                                <w:sz w:val="24"/>
                                <w:szCs w:val="24"/>
                              </w:rPr>
                            </m:ctrlPr>
                          </m:e>
                          <m:sub>
                            <m:r>
                              <m:rPr>
                                <m:sty m:val="p"/>
                              </m:rPr>
                              <w:rPr>
                                <w:rFonts w:hint="default" w:ascii="Cambria Math" w:hAnsi="Cambria Math" w:cs="Times New Roman"/>
                                <w:color w:val="auto"/>
                                <w:sz w:val="24"/>
                                <w:szCs w:val="24"/>
                              </w:rPr>
                              <m:t>i</m:t>
                            </m:r>
                            <m:ctrlPr>
                              <w:rPr>
                                <w:rFonts w:hint="default" w:ascii="Cambria Math" w:hAnsi="Cambria Math" w:cs="Times New Roman"/>
                                <w:color w:val="auto"/>
                                <w:sz w:val="24"/>
                                <w:szCs w:val="24"/>
                              </w:rPr>
                            </m:ctrlPr>
                          </m:sub>
                        </m:sSub>
                        <m:ctrlPr>
                          <w:rPr>
                            <w:rFonts w:hint="default" w:ascii="Cambria Math" w:hAnsi="Cambria Math" w:cs="Times New Roman"/>
                            <w:color w:val="auto"/>
                            <w:sz w:val="24"/>
                            <w:szCs w:val="24"/>
                          </w:rPr>
                        </m:ctrlPr>
                      </m:e>
                    </m:nary>
                    <m:sSup>
                      <m:sSupPr>
                        <m:ctrlPr>
                          <w:rPr>
                            <w:rFonts w:hint="default" w:ascii="Cambria Math" w:hAnsi="Cambria Math" w:cs="Times New Roman"/>
                            <w:color w:val="auto"/>
                            <w:sz w:val="24"/>
                            <w:szCs w:val="24"/>
                          </w:rPr>
                        </m:ctrlPr>
                      </m:sSupPr>
                      <m:e>
                        <m:r>
                          <m:rPr>
                            <m:sty m:val="p"/>
                          </m:rPr>
                          <w:rPr>
                            <w:rFonts w:hint="default" w:ascii="Cambria Math" w:hAnsi="Cambria Math" w:cs="Times New Roman"/>
                            <w:color w:val="auto"/>
                            <w:sz w:val="24"/>
                            <w:szCs w:val="24"/>
                          </w:rPr>
                          <m:t>10</m:t>
                        </m:r>
                        <m:ctrlPr>
                          <w:rPr>
                            <w:rFonts w:hint="default" w:ascii="Cambria Math" w:hAnsi="Cambria Math" w:cs="Times New Roman"/>
                            <w:color w:val="auto"/>
                            <w:sz w:val="24"/>
                            <w:szCs w:val="24"/>
                          </w:rPr>
                        </m:ctrlPr>
                      </m:e>
                      <m:sup>
                        <m:r>
                          <m:rPr>
                            <m:sty m:val="p"/>
                          </m:rPr>
                          <w:rPr>
                            <w:rFonts w:hint="default" w:ascii="Cambria Math" w:hAnsi="Cambria Math" w:cs="Times New Roman"/>
                            <w:color w:val="auto"/>
                            <w:sz w:val="24"/>
                            <w:szCs w:val="24"/>
                          </w:rPr>
                          <m:t>0.1</m:t>
                        </m:r>
                        <m:sSub>
                          <m:sSubPr>
                            <m:ctrlPr>
                              <w:rPr>
                                <w:rFonts w:hint="default" w:ascii="Cambria Math" w:hAnsi="Cambria Math" w:cs="Times New Roman"/>
                                <w:color w:val="auto"/>
                                <w:sz w:val="24"/>
                                <w:szCs w:val="24"/>
                              </w:rPr>
                            </m:ctrlPr>
                          </m:sSubPr>
                          <m:e>
                            <m:r>
                              <m:rPr>
                                <m:sty m:val="p"/>
                              </m:rPr>
                              <w:rPr>
                                <w:rFonts w:hint="default" w:ascii="Cambria Math" w:hAnsi="Cambria Math" w:cs="Times New Roman"/>
                                <w:color w:val="auto"/>
                                <w:sz w:val="24"/>
                                <w:szCs w:val="24"/>
                              </w:rPr>
                              <m:t>L</m:t>
                            </m:r>
                            <m:ctrlPr>
                              <w:rPr>
                                <w:rFonts w:hint="default" w:ascii="Cambria Math" w:hAnsi="Cambria Math" w:cs="Times New Roman"/>
                                <w:color w:val="auto"/>
                                <w:sz w:val="24"/>
                                <w:szCs w:val="24"/>
                              </w:rPr>
                            </m:ctrlPr>
                          </m:e>
                          <m:sub>
                            <m:r>
                              <m:rPr>
                                <m:sty m:val="p"/>
                              </m:rPr>
                              <w:rPr>
                                <w:rFonts w:hint="default" w:ascii="Cambria Math" w:hAnsi="Cambria Math" w:cs="Times New Roman"/>
                                <w:color w:val="auto"/>
                                <w:sz w:val="24"/>
                                <w:szCs w:val="24"/>
                              </w:rPr>
                              <m:t>Ai</m:t>
                            </m:r>
                            <m:ctrlPr>
                              <w:rPr>
                                <w:rFonts w:hint="default" w:ascii="Cambria Math" w:hAnsi="Cambria Math" w:cs="Times New Roman"/>
                                <w:color w:val="auto"/>
                                <w:sz w:val="24"/>
                                <w:szCs w:val="24"/>
                              </w:rPr>
                            </m:ctrlPr>
                          </m:sub>
                        </m:sSub>
                        <m:ctrlPr>
                          <w:rPr>
                            <w:rFonts w:hint="default" w:ascii="Cambria Math" w:hAnsi="Cambria Math" w:cs="Times New Roman"/>
                            <w:color w:val="auto"/>
                            <w:sz w:val="24"/>
                            <w:szCs w:val="24"/>
                          </w:rPr>
                        </m:ctrlPr>
                      </m:sup>
                    </m:sSup>
                    <m:ctrlPr>
                      <w:rPr>
                        <w:rFonts w:hint="default" w:ascii="Cambria Math" w:hAnsi="Cambria Math" w:cs="Times New Roman"/>
                        <w:color w:val="auto"/>
                        <w:sz w:val="24"/>
                        <w:szCs w:val="24"/>
                      </w:rPr>
                    </m:ctrlPr>
                  </m:e>
                </m:d>
              </m:oMath>
            </m:oMathPara>
          </w:p>
          <w:p>
            <w:pPr>
              <w:pStyle w:val="59"/>
              <w:keepNext w:val="0"/>
              <w:keepLines w:val="0"/>
              <w:pageBreakBefore w:val="0"/>
              <w:kinsoku/>
              <w:wordWrap/>
              <w:overflowPunct/>
              <w:topLinePunct w:val="0"/>
              <w:bidi w:val="0"/>
              <w:adjustRightInd/>
              <w:snapToGrid/>
              <w:spacing w:line="360" w:lineRule="auto"/>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式中：Leqg---建设项目声源在预测点的等效声级贡献值，dB(A)；</w:t>
            </w:r>
          </w:p>
          <w:p>
            <w:pPr>
              <w:pStyle w:val="59"/>
              <w:keepNext w:val="0"/>
              <w:keepLines w:val="0"/>
              <w:pageBreakBefore w:val="0"/>
              <w:kinsoku/>
              <w:wordWrap/>
              <w:overflowPunct/>
              <w:topLinePunct w:val="0"/>
              <w:bidi w:val="0"/>
              <w:adjustRightInd/>
              <w:snapToGrid/>
              <w:spacing w:line="360" w:lineRule="auto"/>
              <w:ind w:firstLine="1200" w:firstLineChars="500"/>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LAi---i声源在预测点产生的A声级，dB(A)；</w:t>
            </w:r>
          </w:p>
          <w:p>
            <w:pPr>
              <w:pStyle w:val="59"/>
              <w:keepNext w:val="0"/>
              <w:keepLines w:val="0"/>
              <w:pageBreakBefore w:val="0"/>
              <w:kinsoku/>
              <w:wordWrap/>
              <w:overflowPunct/>
              <w:topLinePunct w:val="0"/>
              <w:bidi w:val="0"/>
              <w:adjustRightInd/>
              <w:snapToGrid/>
              <w:spacing w:line="360" w:lineRule="auto"/>
              <w:ind w:firstLine="1200" w:firstLineChars="500"/>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T---预测计算的时间段，s；</w:t>
            </w:r>
          </w:p>
          <w:p>
            <w:pPr>
              <w:pStyle w:val="59"/>
              <w:keepNext w:val="0"/>
              <w:keepLines w:val="0"/>
              <w:pageBreakBefore w:val="0"/>
              <w:kinsoku/>
              <w:wordWrap/>
              <w:overflowPunct/>
              <w:topLinePunct w:val="0"/>
              <w:bidi w:val="0"/>
              <w:adjustRightInd/>
              <w:snapToGrid/>
              <w:spacing w:line="360" w:lineRule="auto"/>
              <w:ind w:firstLine="1200" w:firstLineChars="500"/>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ti---i声源在T时段内的运行时间，s。</w:t>
            </w:r>
          </w:p>
          <w:p>
            <w:pPr>
              <w:pStyle w:val="59"/>
              <w:keepNext w:val="0"/>
              <w:keepLines w:val="0"/>
              <w:pageBreakBefore w:val="0"/>
              <w:kinsoku/>
              <w:wordWrap/>
              <w:overflowPunct/>
              <w:topLinePunct w:val="0"/>
              <w:bidi w:val="0"/>
              <w:adjustRightInd/>
              <w:snapToGrid/>
              <w:spacing w:line="360" w:lineRule="auto"/>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②预测点的预测等效声级（Leq）</w:t>
            </w:r>
          </w:p>
          <w:p>
            <w:pPr>
              <w:pStyle w:val="59"/>
              <w:keepNext w:val="0"/>
              <w:keepLines w:val="0"/>
              <w:pageBreakBefore w:val="0"/>
              <w:kinsoku/>
              <w:wordWrap/>
              <w:overflowPunct/>
              <w:topLinePunct w:val="0"/>
              <w:bidi w:val="0"/>
              <w:adjustRightInd/>
              <w:snapToGrid/>
              <w:spacing w:line="360" w:lineRule="auto"/>
              <w:ind w:firstLine="420"/>
              <w:jc w:val="center"/>
              <w:rPr>
                <w:rFonts w:hint="default" w:ascii="Times New Roman" w:hAnsi="Times New Roman" w:eastAsia="宋体" w:cs="Times New Roman"/>
                <w:color w:val="auto"/>
                <w:sz w:val="24"/>
                <w:szCs w:val="24"/>
                <w:u w:val="none"/>
              </w:rPr>
            </w:pPr>
            <m:oMathPara>
              <m:oMath>
                <m:sSub>
                  <m:sSubPr>
                    <m:ctrlPr>
                      <w:rPr>
                        <w:rFonts w:hint="default" w:ascii="Cambria Math" w:hAnsi="Cambria Math" w:eastAsia="宋体" w:cs="Times New Roman"/>
                        <w:color w:val="auto"/>
                        <w:sz w:val="24"/>
                        <w:szCs w:val="24"/>
                      </w:rPr>
                    </m:ctrlPr>
                  </m:sSubPr>
                  <m:e>
                    <m:r>
                      <m:rPr>
                        <m:sty m:val="p"/>
                      </m:rPr>
                      <w:rPr>
                        <w:rFonts w:hint="default" w:ascii="Cambria Math" w:hAnsi="Cambria Math" w:eastAsia="宋体" w:cs="Times New Roman"/>
                        <w:color w:val="auto"/>
                        <w:sz w:val="24"/>
                        <w:szCs w:val="24"/>
                      </w:rPr>
                      <m:t>L</m:t>
                    </m:r>
                    <m:ctrlPr>
                      <w:rPr>
                        <w:rFonts w:hint="default" w:ascii="Cambria Math" w:hAnsi="Cambria Math" w:eastAsia="宋体" w:cs="Times New Roman"/>
                        <w:color w:val="auto"/>
                        <w:sz w:val="24"/>
                        <w:szCs w:val="24"/>
                      </w:rPr>
                    </m:ctrlPr>
                  </m:e>
                  <m:sub>
                    <m:r>
                      <m:rPr>
                        <m:sty m:val="p"/>
                      </m:rPr>
                      <w:rPr>
                        <w:rFonts w:hint="default" w:ascii="Cambria Math" w:hAnsi="Cambria Math" w:eastAsia="宋体" w:cs="Times New Roman"/>
                        <w:color w:val="auto"/>
                        <w:sz w:val="24"/>
                        <w:szCs w:val="24"/>
                      </w:rPr>
                      <m:t>eq</m:t>
                    </m:r>
                    <m:ctrlPr>
                      <w:rPr>
                        <w:rFonts w:hint="default" w:ascii="Cambria Math" w:hAnsi="Cambria Math" w:eastAsia="宋体" w:cs="Times New Roman"/>
                        <w:color w:val="auto"/>
                        <w:sz w:val="24"/>
                        <w:szCs w:val="24"/>
                      </w:rPr>
                    </m:ctrlPr>
                  </m:sub>
                </m:sSub>
                <m:r>
                  <m:rPr>
                    <m:sty m:val="p"/>
                  </m:rPr>
                  <w:rPr>
                    <w:rFonts w:hint="default" w:ascii="Cambria Math" w:hAnsi="Cambria Math" w:eastAsia="宋体" w:cs="Times New Roman"/>
                    <w:color w:val="auto"/>
                    <w:sz w:val="24"/>
                    <w:szCs w:val="24"/>
                  </w:rPr>
                  <m:t>=10lg⁡</m:t>
                </m:r>
                <m:d>
                  <m:dPr>
                    <m:ctrlPr>
                      <w:rPr>
                        <w:rFonts w:hint="default" w:ascii="Cambria Math" w:hAnsi="Cambria Math" w:eastAsia="宋体" w:cs="Times New Roman"/>
                        <w:color w:val="auto"/>
                        <w:sz w:val="24"/>
                        <w:szCs w:val="24"/>
                      </w:rPr>
                    </m:ctrlPr>
                  </m:dPr>
                  <m:e>
                    <m:sSup>
                      <m:sSupPr>
                        <m:ctrlPr>
                          <w:rPr>
                            <w:rFonts w:hint="default" w:ascii="Cambria Math" w:hAnsi="Cambria Math" w:eastAsia="宋体" w:cs="Times New Roman"/>
                            <w:color w:val="auto"/>
                            <w:sz w:val="24"/>
                            <w:szCs w:val="24"/>
                          </w:rPr>
                        </m:ctrlPr>
                      </m:sSupPr>
                      <m:e>
                        <m:r>
                          <m:rPr>
                            <m:sty m:val="p"/>
                          </m:rPr>
                          <w:rPr>
                            <w:rFonts w:hint="default" w:ascii="Cambria Math" w:hAnsi="Cambria Math" w:eastAsia="宋体" w:cs="Times New Roman"/>
                            <w:color w:val="auto"/>
                            <w:sz w:val="24"/>
                            <w:szCs w:val="24"/>
                          </w:rPr>
                          <m:t>10</m:t>
                        </m:r>
                        <m:ctrlPr>
                          <w:rPr>
                            <w:rFonts w:hint="default" w:ascii="Cambria Math" w:hAnsi="Cambria Math" w:eastAsia="宋体" w:cs="Times New Roman"/>
                            <w:color w:val="auto"/>
                            <w:sz w:val="24"/>
                            <w:szCs w:val="24"/>
                          </w:rPr>
                        </m:ctrlPr>
                      </m:e>
                      <m:sup>
                        <m:r>
                          <m:rPr>
                            <m:sty m:val="p"/>
                          </m:rPr>
                          <w:rPr>
                            <w:rFonts w:hint="default" w:ascii="Cambria Math" w:hAnsi="Cambria Math" w:eastAsia="宋体" w:cs="Times New Roman"/>
                            <w:color w:val="auto"/>
                            <w:sz w:val="24"/>
                            <w:szCs w:val="24"/>
                          </w:rPr>
                          <m:t>0.1</m:t>
                        </m:r>
                        <m:sSub>
                          <m:sSubPr>
                            <m:ctrlPr>
                              <w:rPr>
                                <w:rFonts w:hint="default" w:ascii="Cambria Math" w:hAnsi="Cambria Math" w:eastAsia="宋体" w:cs="Times New Roman"/>
                                <w:color w:val="auto"/>
                                <w:sz w:val="24"/>
                                <w:szCs w:val="24"/>
                              </w:rPr>
                            </m:ctrlPr>
                          </m:sSubPr>
                          <m:e>
                            <m:r>
                              <m:rPr>
                                <m:sty m:val="p"/>
                              </m:rPr>
                              <w:rPr>
                                <w:rFonts w:hint="default" w:ascii="Cambria Math" w:hAnsi="Cambria Math" w:eastAsia="宋体" w:cs="Times New Roman"/>
                                <w:color w:val="auto"/>
                                <w:sz w:val="24"/>
                                <w:szCs w:val="24"/>
                              </w:rPr>
                              <m:t>L</m:t>
                            </m:r>
                            <m:ctrlPr>
                              <w:rPr>
                                <w:rFonts w:hint="default" w:ascii="Cambria Math" w:hAnsi="Cambria Math" w:eastAsia="宋体" w:cs="Times New Roman"/>
                                <w:color w:val="auto"/>
                                <w:sz w:val="24"/>
                                <w:szCs w:val="24"/>
                              </w:rPr>
                            </m:ctrlPr>
                          </m:e>
                          <m:sub>
                            <m:r>
                              <m:rPr>
                                <m:sty m:val="p"/>
                              </m:rPr>
                              <w:rPr>
                                <w:rFonts w:hint="default" w:ascii="Cambria Math" w:hAnsi="Cambria Math" w:eastAsia="宋体" w:cs="Times New Roman"/>
                                <w:color w:val="auto"/>
                                <w:sz w:val="24"/>
                                <w:szCs w:val="24"/>
                              </w:rPr>
                              <m:t>eqg</m:t>
                            </m:r>
                            <m:ctrlPr>
                              <w:rPr>
                                <w:rFonts w:hint="default" w:ascii="Cambria Math" w:hAnsi="Cambria Math" w:eastAsia="宋体" w:cs="Times New Roman"/>
                                <w:color w:val="auto"/>
                                <w:sz w:val="24"/>
                                <w:szCs w:val="24"/>
                              </w:rPr>
                            </m:ctrlPr>
                          </m:sub>
                        </m:sSub>
                        <m:ctrlPr>
                          <w:rPr>
                            <w:rFonts w:hint="default" w:ascii="Cambria Math" w:hAnsi="Cambria Math" w:eastAsia="宋体" w:cs="Times New Roman"/>
                            <w:color w:val="auto"/>
                            <w:sz w:val="24"/>
                            <w:szCs w:val="24"/>
                          </w:rPr>
                        </m:ctrlPr>
                      </m:sup>
                    </m:sSup>
                    <m:r>
                      <m:rPr>
                        <m:sty m:val="p"/>
                      </m:rPr>
                      <w:rPr>
                        <w:rFonts w:hint="default" w:ascii="Cambria Math" w:hAnsi="Cambria Math" w:eastAsia="宋体" w:cs="Times New Roman"/>
                        <w:color w:val="auto"/>
                        <w:sz w:val="24"/>
                        <w:szCs w:val="24"/>
                      </w:rPr>
                      <m:t>+</m:t>
                    </m:r>
                    <m:sSup>
                      <m:sSupPr>
                        <m:ctrlPr>
                          <w:rPr>
                            <w:rFonts w:hint="default" w:ascii="Cambria Math" w:hAnsi="Cambria Math" w:eastAsia="宋体" w:cs="Times New Roman"/>
                            <w:color w:val="auto"/>
                            <w:sz w:val="24"/>
                            <w:szCs w:val="24"/>
                          </w:rPr>
                        </m:ctrlPr>
                      </m:sSupPr>
                      <m:e>
                        <m:r>
                          <m:rPr>
                            <m:sty m:val="p"/>
                          </m:rPr>
                          <w:rPr>
                            <w:rFonts w:hint="default" w:ascii="Cambria Math" w:hAnsi="Cambria Math" w:eastAsia="宋体" w:cs="Times New Roman"/>
                            <w:color w:val="auto"/>
                            <w:sz w:val="24"/>
                            <w:szCs w:val="24"/>
                          </w:rPr>
                          <m:t>10</m:t>
                        </m:r>
                        <m:ctrlPr>
                          <w:rPr>
                            <w:rFonts w:hint="default" w:ascii="Cambria Math" w:hAnsi="Cambria Math" w:eastAsia="宋体" w:cs="Times New Roman"/>
                            <w:color w:val="auto"/>
                            <w:sz w:val="24"/>
                            <w:szCs w:val="24"/>
                          </w:rPr>
                        </m:ctrlPr>
                      </m:e>
                      <m:sup>
                        <m:r>
                          <m:rPr>
                            <m:sty m:val="p"/>
                          </m:rPr>
                          <w:rPr>
                            <w:rFonts w:hint="default" w:ascii="Cambria Math" w:hAnsi="Cambria Math" w:eastAsia="宋体" w:cs="Times New Roman"/>
                            <w:color w:val="auto"/>
                            <w:sz w:val="24"/>
                            <w:szCs w:val="24"/>
                          </w:rPr>
                          <m:t>0.1</m:t>
                        </m:r>
                        <m:sSub>
                          <m:sSubPr>
                            <m:ctrlPr>
                              <w:rPr>
                                <w:rFonts w:hint="default" w:ascii="Cambria Math" w:hAnsi="Cambria Math" w:eastAsia="宋体" w:cs="Times New Roman"/>
                                <w:color w:val="auto"/>
                                <w:sz w:val="24"/>
                                <w:szCs w:val="24"/>
                              </w:rPr>
                            </m:ctrlPr>
                          </m:sSubPr>
                          <m:e>
                            <m:r>
                              <m:rPr>
                                <m:sty m:val="p"/>
                              </m:rPr>
                              <w:rPr>
                                <w:rFonts w:hint="default" w:ascii="Cambria Math" w:hAnsi="Cambria Math" w:eastAsia="宋体" w:cs="Times New Roman"/>
                                <w:color w:val="auto"/>
                                <w:sz w:val="24"/>
                                <w:szCs w:val="24"/>
                              </w:rPr>
                              <m:t>L</m:t>
                            </m:r>
                            <m:ctrlPr>
                              <w:rPr>
                                <w:rFonts w:hint="default" w:ascii="Cambria Math" w:hAnsi="Cambria Math" w:eastAsia="宋体" w:cs="Times New Roman"/>
                                <w:color w:val="auto"/>
                                <w:sz w:val="24"/>
                                <w:szCs w:val="24"/>
                              </w:rPr>
                            </m:ctrlPr>
                          </m:e>
                          <m:sub>
                            <m:r>
                              <m:rPr>
                                <m:sty m:val="p"/>
                              </m:rPr>
                              <w:rPr>
                                <w:rFonts w:hint="default" w:ascii="Cambria Math" w:hAnsi="Cambria Math" w:eastAsia="宋体" w:cs="Times New Roman"/>
                                <w:color w:val="auto"/>
                                <w:sz w:val="24"/>
                                <w:szCs w:val="24"/>
                              </w:rPr>
                              <m:t>eqb</m:t>
                            </m:r>
                            <m:ctrlPr>
                              <w:rPr>
                                <w:rFonts w:hint="default" w:ascii="Cambria Math" w:hAnsi="Cambria Math" w:eastAsia="宋体" w:cs="Times New Roman"/>
                                <w:color w:val="auto"/>
                                <w:sz w:val="24"/>
                                <w:szCs w:val="24"/>
                              </w:rPr>
                            </m:ctrlPr>
                          </m:sub>
                        </m:sSub>
                        <m:ctrlPr>
                          <w:rPr>
                            <w:rFonts w:hint="default" w:ascii="Cambria Math" w:hAnsi="Cambria Math" w:eastAsia="宋体" w:cs="Times New Roman"/>
                            <w:color w:val="auto"/>
                            <w:sz w:val="24"/>
                            <w:szCs w:val="24"/>
                          </w:rPr>
                        </m:ctrlPr>
                      </m:sup>
                    </m:sSup>
                    <m:ctrlPr>
                      <w:rPr>
                        <w:rFonts w:hint="default" w:ascii="Cambria Math" w:hAnsi="Cambria Math" w:eastAsia="宋体" w:cs="Times New Roman"/>
                        <w:color w:val="auto"/>
                        <w:sz w:val="24"/>
                        <w:szCs w:val="24"/>
                      </w:rPr>
                    </m:ctrlPr>
                  </m:e>
                </m:d>
              </m:oMath>
            </m:oMathPara>
          </w:p>
          <w:p>
            <w:pPr>
              <w:pStyle w:val="59"/>
              <w:keepNext w:val="0"/>
              <w:keepLines w:val="0"/>
              <w:pageBreakBefore w:val="0"/>
              <w:kinsoku/>
              <w:wordWrap/>
              <w:overflowPunct/>
              <w:topLinePunct w:val="0"/>
              <w:bidi w:val="0"/>
              <w:adjustRightInd/>
              <w:snapToGrid/>
              <w:spacing w:line="360" w:lineRule="auto"/>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式中：Leqg---建设项目声源在预测点的等效声级贡献值，dB(A)；</w:t>
            </w:r>
          </w:p>
          <w:p>
            <w:pPr>
              <w:pStyle w:val="59"/>
              <w:keepNext w:val="0"/>
              <w:keepLines w:val="0"/>
              <w:pageBreakBefore w:val="0"/>
              <w:kinsoku/>
              <w:wordWrap/>
              <w:overflowPunct/>
              <w:topLinePunct w:val="0"/>
              <w:bidi w:val="0"/>
              <w:adjustRightInd/>
              <w:snapToGrid/>
              <w:spacing w:line="360" w:lineRule="auto"/>
              <w:ind w:firstLine="1200" w:firstLineChars="500"/>
              <w:rPr>
                <w:rFonts w:hint="default" w:ascii="Times New Roman" w:hAnsi="Times New Roman" w:eastAsia="宋体" w:cs="Times New Roman"/>
                <w:color w:val="auto"/>
                <w:sz w:val="24"/>
                <w:szCs w:val="24"/>
                <w:u w:val="none"/>
              </w:rPr>
            </w:pPr>
            <w:r>
              <w:rPr>
                <w:rFonts w:hint="default" w:ascii="Times New Roman" w:hAnsi="Times New Roman" w:eastAsia="宋体" w:cs="Times New Roman"/>
                <w:color w:val="auto"/>
                <w:sz w:val="24"/>
                <w:szCs w:val="24"/>
                <w:u w:val="none"/>
              </w:rPr>
              <w:t>Leqb---预测点的背景值，dB(A)。</w:t>
            </w:r>
          </w:p>
          <w:p>
            <w:pPr>
              <w:spacing w:line="360" w:lineRule="auto"/>
              <w:ind w:firstLine="480" w:firstLineChars="200"/>
              <w:rPr>
                <w:rFonts w:hAnsi="宋体"/>
                <w:kern w:val="0"/>
                <w:sz w:val="24"/>
                <w:u w:val="wave" w:color="auto"/>
              </w:rPr>
            </w:pPr>
            <w:r>
              <w:rPr>
                <w:rFonts w:hint="eastAsia" w:hAnsi="宋体"/>
                <w:kern w:val="0"/>
                <w:sz w:val="24"/>
                <w:u w:val="wave" w:color="auto"/>
              </w:rPr>
              <w:t>根据《环境影响评价技术导则 声环境》（HJ 2.4-2021），本项目预测点位为厂界外1米。预测结果如下表所示。</w:t>
            </w:r>
          </w:p>
          <w:p>
            <w:pPr>
              <w:spacing w:line="360" w:lineRule="auto"/>
              <w:jc w:val="center"/>
              <w:rPr>
                <w:b/>
                <w:bCs/>
                <w:u w:val="wave" w:color="auto"/>
              </w:rPr>
            </w:pPr>
            <w:r>
              <w:rPr>
                <w:b/>
                <w:bCs/>
                <w:u w:val="wave" w:color="auto"/>
              </w:rPr>
              <w:t>表4-</w:t>
            </w:r>
            <w:r>
              <w:rPr>
                <w:rFonts w:hint="eastAsia"/>
                <w:b/>
                <w:bCs/>
                <w:u w:val="wave" w:color="auto"/>
                <w:lang w:val="en-US" w:eastAsia="zh-CN"/>
              </w:rPr>
              <w:t>11</w:t>
            </w:r>
            <w:r>
              <w:rPr>
                <w:b/>
                <w:bCs/>
                <w:u w:val="wave" w:color="auto"/>
              </w:rPr>
              <w:t xml:space="preserve">  </w:t>
            </w:r>
            <w:r>
              <w:rPr>
                <w:rFonts w:hint="eastAsia"/>
                <w:b/>
                <w:bCs/>
                <w:u w:val="wave" w:color="auto"/>
              </w:rPr>
              <w:t xml:space="preserve"> 本项目厂界外1m噪声预测结果  单位：dB（A）</w:t>
            </w:r>
          </w:p>
          <w:tbl>
            <w:tblPr>
              <w:tblStyle w:val="25"/>
              <w:tblW w:w="4996"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67"/>
              <w:gridCol w:w="1201"/>
              <w:gridCol w:w="1162"/>
              <w:gridCol w:w="555"/>
              <w:gridCol w:w="942"/>
              <w:gridCol w:w="1065"/>
              <w:gridCol w:w="1065"/>
              <w:gridCol w:w="105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5" w:hRule="atLeast"/>
              </w:trPr>
              <w:tc>
                <w:tcPr>
                  <w:tcW w:w="657" w:type="pct"/>
                  <w:vMerge w:val="restart"/>
                  <w:noWrap w:val="0"/>
                  <w:vAlign w:val="center"/>
                </w:tcPr>
                <w:p>
                  <w:pPr>
                    <w:overflowPunct w:val="0"/>
                    <w:snapToGrid w:val="0"/>
                    <w:jc w:val="center"/>
                    <w:rPr>
                      <w:rFonts w:eastAsia="宋体"/>
                      <w:b/>
                      <w:color w:val="auto"/>
                      <w:szCs w:val="21"/>
                      <w:u w:val="wave" w:color="auto"/>
                    </w:rPr>
                  </w:pPr>
                  <w:r>
                    <w:rPr>
                      <w:rFonts w:eastAsia="宋体"/>
                      <w:b/>
                      <w:color w:val="auto"/>
                      <w:szCs w:val="21"/>
                      <w:u w:val="wave" w:color="auto"/>
                    </w:rPr>
                    <w:t>预测方位</w:t>
                  </w:r>
                </w:p>
              </w:tc>
              <w:tc>
                <w:tcPr>
                  <w:tcW w:w="1798" w:type="pct"/>
                  <w:gridSpan w:val="3"/>
                  <w:noWrap w:val="0"/>
                  <w:vAlign w:val="center"/>
                </w:tcPr>
                <w:p>
                  <w:pPr>
                    <w:overflowPunct w:val="0"/>
                    <w:snapToGrid w:val="0"/>
                    <w:jc w:val="center"/>
                    <w:rPr>
                      <w:rFonts w:eastAsia="宋体"/>
                      <w:b/>
                      <w:color w:val="auto"/>
                      <w:szCs w:val="21"/>
                      <w:u w:val="wave" w:color="auto"/>
                    </w:rPr>
                  </w:pPr>
                  <w:r>
                    <w:rPr>
                      <w:rFonts w:hAnsi="宋体" w:eastAsia="宋体"/>
                      <w:b/>
                      <w:color w:val="auto"/>
                      <w:szCs w:val="21"/>
                      <w:u w:val="wave" w:color="auto"/>
                    </w:rPr>
                    <w:t>空间相对位置</w:t>
                  </w:r>
                  <w:r>
                    <w:rPr>
                      <w:rFonts w:eastAsia="宋体"/>
                      <w:b/>
                      <w:color w:val="auto"/>
                      <w:szCs w:val="21"/>
                      <w:u w:val="wave" w:color="auto"/>
                    </w:rPr>
                    <w:t>/m</w:t>
                  </w:r>
                </w:p>
              </w:tc>
              <w:tc>
                <w:tcPr>
                  <w:tcW w:w="580" w:type="pct"/>
                  <w:vMerge w:val="restart"/>
                  <w:noWrap w:val="0"/>
                  <w:vAlign w:val="center"/>
                </w:tcPr>
                <w:p>
                  <w:pPr>
                    <w:overflowPunct w:val="0"/>
                    <w:snapToGrid w:val="0"/>
                    <w:jc w:val="center"/>
                    <w:rPr>
                      <w:rFonts w:eastAsia="宋体"/>
                      <w:b/>
                      <w:color w:val="auto"/>
                      <w:szCs w:val="21"/>
                      <w:u w:val="wave" w:color="auto"/>
                    </w:rPr>
                  </w:pPr>
                  <w:r>
                    <w:rPr>
                      <w:rFonts w:eastAsia="宋体"/>
                      <w:b/>
                      <w:color w:val="auto"/>
                      <w:szCs w:val="21"/>
                      <w:u w:val="wave" w:color="auto"/>
                    </w:rPr>
                    <w:t>时段</w:t>
                  </w:r>
                </w:p>
              </w:tc>
              <w:tc>
                <w:tcPr>
                  <w:tcW w:w="656" w:type="pct"/>
                  <w:vMerge w:val="restart"/>
                  <w:noWrap w:val="0"/>
                  <w:vAlign w:val="center"/>
                </w:tcPr>
                <w:p>
                  <w:pPr>
                    <w:overflowPunct w:val="0"/>
                    <w:snapToGrid w:val="0"/>
                    <w:jc w:val="center"/>
                    <w:rPr>
                      <w:rFonts w:eastAsia="宋体"/>
                      <w:b/>
                      <w:color w:val="auto"/>
                      <w:szCs w:val="21"/>
                      <w:u w:val="wave" w:color="auto"/>
                    </w:rPr>
                  </w:pPr>
                  <w:r>
                    <w:rPr>
                      <w:rFonts w:eastAsia="宋体"/>
                      <w:b/>
                      <w:color w:val="auto"/>
                      <w:szCs w:val="21"/>
                      <w:u w:val="wave" w:color="auto"/>
                    </w:rPr>
                    <w:t>贡献值</w:t>
                  </w:r>
                </w:p>
              </w:tc>
              <w:tc>
                <w:tcPr>
                  <w:tcW w:w="656" w:type="pct"/>
                  <w:vMerge w:val="restart"/>
                  <w:noWrap w:val="0"/>
                  <w:vAlign w:val="center"/>
                </w:tcPr>
                <w:p>
                  <w:pPr>
                    <w:overflowPunct w:val="0"/>
                    <w:snapToGrid w:val="0"/>
                    <w:jc w:val="center"/>
                    <w:rPr>
                      <w:rFonts w:eastAsia="宋体"/>
                      <w:b/>
                      <w:color w:val="auto"/>
                      <w:szCs w:val="21"/>
                      <w:u w:val="wave" w:color="auto"/>
                    </w:rPr>
                  </w:pPr>
                  <w:r>
                    <w:rPr>
                      <w:rFonts w:hint="eastAsia" w:eastAsia="宋体"/>
                      <w:b/>
                      <w:color w:val="auto"/>
                      <w:szCs w:val="21"/>
                      <w:u w:val="wave" w:color="auto"/>
                      <w:lang w:eastAsia="zh-CN"/>
                    </w:rPr>
                    <w:t>昼</w:t>
                  </w:r>
                  <w:r>
                    <w:rPr>
                      <w:rFonts w:hint="eastAsia" w:eastAsia="宋体"/>
                      <w:b/>
                      <w:color w:val="auto"/>
                      <w:szCs w:val="21"/>
                      <w:u w:val="wave" w:color="auto"/>
                      <w:lang w:val="en-US" w:eastAsia="zh-CN"/>
                    </w:rPr>
                    <w:t>/</w:t>
                  </w:r>
                  <w:r>
                    <w:rPr>
                      <w:rFonts w:hint="eastAsia" w:eastAsia="宋体"/>
                      <w:b/>
                      <w:color w:val="auto"/>
                      <w:szCs w:val="21"/>
                      <w:u w:val="wave" w:color="auto"/>
                      <w:lang w:eastAsia="zh-CN"/>
                    </w:rPr>
                    <w:t>夜</w:t>
                  </w:r>
                  <w:r>
                    <w:rPr>
                      <w:rFonts w:eastAsia="宋体"/>
                      <w:b/>
                      <w:color w:val="auto"/>
                      <w:szCs w:val="21"/>
                      <w:u w:val="wave" w:color="auto"/>
                    </w:rPr>
                    <w:t>标准值</w:t>
                  </w:r>
                </w:p>
              </w:tc>
              <w:tc>
                <w:tcPr>
                  <w:tcW w:w="651" w:type="pct"/>
                  <w:vMerge w:val="restart"/>
                  <w:noWrap w:val="0"/>
                  <w:vAlign w:val="center"/>
                </w:tcPr>
                <w:p>
                  <w:pPr>
                    <w:overflowPunct w:val="0"/>
                    <w:snapToGrid w:val="0"/>
                    <w:jc w:val="center"/>
                    <w:rPr>
                      <w:rFonts w:eastAsia="宋体"/>
                      <w:b/>
                      <w:color w:val="auto"/>
                      <w:szCs w:val="21"/>
                      <w:u w:val="wave" w:color="auto"/>
                    </w:rPr>
                  </w:pPr>
                  <w:r>
                    <w:rPr>
                      <w:rFonts w:eastAsia="宋体"/>
                      <w:b/>
                      <w:color w:val="auto"/>
                      <w:szCs w:val="21"/>
                      <w:u w:val="wave" w:color="auto"/>
                    </w:rPr>
                    <w:t>达标情况</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57" w:type="pct"/>
                  <w:vMerge w:val="continue"/>
                  <w:noWrap w:val="0"/>
                  <w:vAlign w:val="center"/>
                </w:tcPr>
                <w:p>
                  <w:pPr>
                    <w:overflowPunct w:val="0"/>
                    <w:snapToGrid w:val="0"/>
                    <w:jc w:val="center"/>
                    <w:rPr>
                      <w:rFonts w:eastAsia="宋体"/>
                      <w:color w:val="auto"/>
                      <w:szCs w:val="21"/>
                      <w:u w:val="wave" w:color="auto"/>
                    </w:rPr>
                  </w:pPr>
                </w:p>
              </w:tc>
              <w:tc>
                <w:tcPr>
                  <w:tcW w:w="740" w:type="pct"/>
                  <w:noWrap w:val="0"/>
                  <w:vAlign w:val="center"/>
                </w:tcPr>
                <w:p>
                  <w:pPr>
                    <w:jc w:val="center"/>
                    <w:rPr>
                      <w:rFonts w:eastAsia="宋体"/>
                      <w:b/>
                      <w:color w:val="auto"/>
                      <w:szCs w:val="21"/>
                      <w:u w:val="wave" w:color="auto"/>
                    </w:rPr>
                  </w:pPr>
                  <w:r>
                    <w:rPr>
                      <w:rFonts w:eastAsia="宋体"/>
                      <w:b/>
                      <w:color w:val="auto"/>
                      <w:szCs w:val="21"/>
                      <w:u w:val="wave" w:color="auto"/>
                    </w:rPr>
                    <w:t>X</w:t>
                  </w:r>
                </w:p>
              </w:tc>
              <w:tc>
                <w:tcPr>
                  <w:tcW w:w="716" w:type="pct"/>
                  <w:noWrap w:val="0"/>
                  <w:vAlign w:val="center"/>
                </w:tcPr>
                <w:p>
                  <w:pPr>
                    <w:jc w:val="center"/>
                    <w:rPr>
                      <w:rFonts w:eastAsia="宋体"/>
                      <w:b/>
                      <w:color w:val="auto"/>
                      <w:szCs w:val="21"/>
                      <w:u w:val="wave" w:color="auto"/>
                    </w:rPr>
                  </w:pPr>
                  <w:r>
                    <w:rPr>
                      <w:rFonts w:eastAsia="宋体"/>
                      <w:b/>
                      <w:color w:val="auto"/>
                      <w:szCs w:val="21"/>
                      <w:u w:val="wave" w:color="auto"/>
                    </w:rPr>
                    <w:t>Y</w:t>
                  </w:r>
                </w:p>
              </w:tc>
              <w:tc>
                <w:tcPr>
                  <w:tcW w:w="341" w:type="pct"/>
                  <w:noWrap w:val="0"/>
                  <w:vAlign w:val="center"/>
                </w:tcPr>
                <w:p>
                  <w:pPr>
                    <w:jc w:val="center"/>
                    <w:rPr>
                      <w:rFonts w:eastAsia="宋体"/>
                      <w:b/>
                      <w:color w:val="auto"/>
                      <w:szCs w:val="21"/>
                      <w:u w:val="wave" w:color="auto"/>
                    </w:rPr>
                  </w:pPr>
                  <w:r>
                    <w:rPr>
                      <w:rFonts w:eastAsia="宋体"/>
                      <w:b/>
                      <w:color w:val="auto"/>
                      <w:szCs w:val="21"/>
                      <w:u w:val="wave" w:color="auto"/>
                    </w:rPr>
                    <w:t>Z</w:t>
                  </w:r>
                </w:p>
              </w:tc>
              <w:tc>
                <w:tcPr>
                  <w:tcW w:w="580" w:type="pct"/>
                  <w:vMerge w:val="continue"/>
                  <w:noWrap w:val="0"/>
                  <w:vAlign w:val="center"/>
                </w:tcPr>
                <w:p>
                  <w:pPr>
                    <w:overflowPunct w:val="0"/>
                    <w:snapToGrid w:val="0"/>
                    <w:jc w:val="center"/>
                    <w:rPr>
                      <w:rFonts w:eastAsia="宋体"/>
                      <w:color w:val="auto"/>
                      <w:szCs w:val="21"/>
                      <w:u w:val="wave" w:color="auto"/>
                    </w:rPr>
                  </w:pPr>
                </w:p>
              </w:tc>
              <w:tc>
                <w:tcPr>
                  <w:tcW w:w="656" w:type="pct"/>
                  <w:vMerge w:val="continue"/>
                  <w:noWrap w:val="0"/>
                  <w:vAlign w:val="center"/>
                </w:tcPr>
                <w:p>
                  <w:pPr>
                    <w:overflowPunct w:val="0"/>
                    <w:snapToGrid w:val="0"/>
                    <w:jc w:val="center"/>
                    <w:rPr>
                      <w:rFonts w:eastAsia="宋体"/>
                      <w:color w:val="auto"/>
                      <w:szCs w:val="21"/>
                      <w:u w:val="wave" w:color="auto"/>
                    </w:rPr>
                  </w:pPr>
                </w:p>
              </w:tc>
              <w:tc>
                <w:tcPr>
                  <w:tcW w:w="656" w:type="pct"/>
                  <w:vMerge w:val="continue"/>
                  <w:noWrap w:val="0"/>
                  <w:vAlign w:val="center"/>
                </w:tcPr>
                <w:p>
                  <w:pPr>
                    <w:overflowPunct w:val="0"/>
                    <w:snapToGrid w:val="0"/>
                    <w:jc w:val="center"/>
                    <w:rPr>
                      <w:rFonts w:eastAsia="宋体"/>
                      <w:color w:val="auto"/>
                      <w:szCs w:val="21"/>
                      <w:u w:val="wave" w:color="auto"/>
                    </w:rPr>
                  </w:pPr>
                </w:p>
              </w:tc>
              <w:tc>
                <w:tcPr>
                  <w:tcW w:w="651" w:type="pct"/>
                  <w:vMerge w:val="continue"/>
                  <w:noWrap w:val="0"/>
                  <w:vAlign w:val="center"/>
                </w:tcPr>
                <w:p>
                  <w:pPr>
                    <w:overflowPunct w:val="0"/>
                    <w:snapToGrid w:val="0"/>
                    <w:jc w:val="center"/>
                    <w:rPr>
                      <w:rFonts w:eastAsia="宋体"/>
                      <w:color w:val="auto"/>
                      <w:szCs w:val="21"/>
                      <w:u w:val="wave" w:color="auto"/>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57" w:type="pct"/>
                  <w:noWrap w:val="0"/>
                  <w:vAlign w:val="center"/>
                </w:tcPr>
                <w:p>
                  <w:pPr>
                    <w:overflowPunct w:val="0"/>
                    <w:snapToGrid w:val="0"/>
                    <w:jc w:val="center"/>
                    <w:rPr>
                      <w:rFonts w:eastAsia="宋体"/>
                      <w:color w:val="auto"/>
                      <w:szCs w:val="21"/>
                      <w:u w:val="wave" w:color="auto"/>
                    </w:rPr>
                  </w:pPr>
                  <w:r>
                    <w:rPr>
                      <w:rFonts w:eastAsia="宋体"/>
                      <w:color w:val="auto"/>
                      <w:szCs w:val="21"/>
                      <w:u w:val="wave" w:color="auto"/>
                    </w:rPr>
                    <w:t>东厂界</w:t>
                  </w:r>
                </w:p>
              </w:tc>
              <w:tc>
                <w:tcPr>
                  <w:tcW w:w="740"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-35.02</w:t>
                  </w:r>
                </w:p>
              </w:tc>
              <w:tc>
                <w:tcPr>
                  <w:tcW w:w="71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214.02</w:t>
                  </w:r>
                </w:p>
              </w:tc>
              <w:tc>
                <w:tcPr>
                  <w:tcW w:w="341"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1.2</w:t>
                  </w:r>
                </w:p>
              </w:tc>
              <w:tc>
                <w:tcPr>
                  <w:tcW w:w="580" w:type="pct"/>
                  <w:noWrap w:val="0"/>
                  <w:vAlign w:val="center"/>
                </w:tcPr>
                <w:p>
                  <w:pPr>
                    <w:overflowPunct w:val="0"/>
                    <w:snapToGrid w:val="0"/>
                    <w:jc w:val="center"/>
                    <w:rPr>
                      <w:rFonts w:hint="eastAsia"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昼间</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56.85</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60</w:t>
                  </w:r>
                </w:p>
              </w:tc>
              <w:tc>
                <w:tcPr>
                  <w:tcW w:w="651" w:type="pct"/>
                  <w:noWrap w:val="0"/>
                  <w:vAlign w:val="center"/>
                </w:tcPr>
                <w:p>
                  <w:pPr>
                    <w:jc w:val="center"/>
                    <w:rPr>
                      <w:rFonts w:eastAsia="宋体"/>
                      <w:color w:val="auto"/>
                      <w:szCs w:val="21"/>
                      <w:u w:val="wave" w:color="auto"/>
                    </w:rPr>
                  </w:pPr>
                  <w:r>
                    <w:rPr>
                      <w:rFonts w:eastAsia="宋体"/>
                      <w:color w:val="auto"/>
                      <w:szCs w:val="21"/>
                      <w:u w:val="wave" w:color="auto"/>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57" w:type="pct"/>
                  <w:noWrap w:val="0"/>
                  <w:vAlign w:val="center"/>
                </w:tcPr>
                <w:p>
                  <w:pPr>
                    <w:jc w:val="center"/>
                    <w:rPr>
                      <w:rFonts w:eastAsia="宋体"/>
                      <w:color w:val="auto"/>
                      <w:szCs w:val="21"/>
                      <w:u w:val="wave" w:color="auto"/>
                    </w:rPr>
                  </w:pPr>
                  <w:r>
                    <w:rPr>
                      <w:rFonts w:eastAsia="宋体"/>
                      <w:color w:val="auto"/>
                      <w:szCs w:val="21"/>
                      <w:u w:val="wave" w:color="auto"/>
                    </w:rPr>
                    <w:t>南厂界</w:t>
                  </w:r>
                </w:p>
              </w:tc>
              <w:tc>
                <w:tcPr>
                  <w:tcW w:w="740"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-0.43</w:t>
                  </w:r>
                </w:p>
              </w:tc>
              <w:tc>
                <w:tcPr>
                  <w:tcW w:w="71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-0.85</w:t>
                  </w:r>
                </w:p>
              </w:tc>
              <w:tc>
                <w:tcPr>
                  <w:tcW w:w="341"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1.2</w:t>
                  </w:r>
                </w:p>
              </w:tc>
              <w:tc>
                <w:tcPr>
                  <w:tcW w:w="580" w:type="pct"/>
                  <w:noWrap w:val="0"/>
                  <w:vAlign w:val="center"/>
                </w:tcPr>
                <w:p>
                  <w:pPr>
                    <w:overflowPunct w:val="0"/>
                    <w:snapToGrid w:val="0"/>
                    <w:jc w:val="center"/>
                    <w:rPr>
                      <w:rFonts w:hint="eastAsia"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昼间</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35.41</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60</w:t>
                  </w:r>
                </w:p>
              </w:tc>
              <w:tc>
                <w:tcPr>
                  <w:tcW w:w="651" w:type="pct"/>
                  <w:noWrap w:val="0"/>
                  <w:vAlign w:val="center"/>
                </w:tcPr>
                <w:p>
                  <w:pPr>
                    <w:jc w:val="center"/>
                    <w:rPr>
                      <w:rFonts w:eastAsia="宋体"/>
                      <w:color w:val="auto"/>
                      <w:szCs w:val="21"/>
                      <w:u w:val="wave" w:color="auto"/>
                    </w:rPr>
                  </w:pPr>
                  <w:r>
                    <w:rPr>
                      <w:rFonts w:eastAsia="宋体"/>
                      <w:color w:val="auto"/>
                      <w:szCs w:val="21"/>
                      <w:u w:val="wave" w:color="auto"/>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57" w:type="pct"/>
                  <w:noWrap w:val="0"/>
                  <w:vAlign w:val="center"/>
                </w:tcPr>
                <w:p>
                  <w:pPr>
                    <w:jc w:val="center"/>
                    <w:rPr>
                      <w:rFonts w:eastAsia="宋体"/>
                      <w:color w:val="auto"/>
                      <w:szCs w:val="21"/>
                      <w:u w:val="wave" w:color="auto"/>
                    </w:rPr>
                  </w:pPr>
                  <w:r>
                    <w:rPr>
                      <w:rFonts w:eastAsia="宋体"/>
                      <w:color w:val="auto"/>
                      <w:szCs w:val="21"/>
                      <w:u w:val="wave" w:color="auto"/>
                    </w:rPr>
                    <w:t>西厂界</w:t>
                  </w:r>
                </w:p>
              </w:tc>
              <w:tc>
                <w:tcPr>
                  <w:tcW w:w="740"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-55.97</w:t>
                  </w:r>
                </w:p>
              </w:tc>
              <w:tc>
                <w:tcPr>
                  <w:tcW w:w="71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127.66</w:t>
                  </w:r>
                </w:p>
              </w:tc>
              <w:tc>
                <w:tcPr>
                  <w:tcW w:w="341"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1.2</w:t>
                  </w:r>
                </w:p>
              </w:tc>
              <w:tc>
                <w:tcPr>
                  <w:tcW w:w="580" w:type="pct"/>
                  <w:noWrap w:val="0"/>
                  <w:vAlign w:val="center"/>
                </w:tcPr>
                <w:p>
                  <w:pPr>
                    <w:overflowPunct w:val="0"/>
                    <w:snapToGrid w:val="0"/>
                    <w:jc w:val="center"/>
                    <w:rPr>
                      <w:rFonts w:hint="eastAsia"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昼间</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56.23</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60</w:t>
                  </w:r>
                </w:p>
              </w:tc>
              <w:tc>
                <w:tcPr>
                  <w:tcW w:w="651" w:type="pct"/>
                  <w:noWrap w:val="0"/>
                  <w:vAlign w:val="center"/>
                </w:tcPr>
                <w:p>
                  <w:pPr>
                    <w:jc w:val="center"/>
                    <w:rPr>
                      <w:rFonts w:eastAsia="宋体"/>
                      <w:color w:val="auto"/>
                      <w:szCs w:val="21"/>
                      <w:u w:val="wave" w:color="auto"/>
                    </w:rPr>
                  </w:pPr>
                  <w:r>
                    <w:rPr>
                      <w:rFonts w:eastAsia="宋体"/>
                      <w:color w:val="auto"/>
                      <w:szCs w:val="21"/>
                      <w:u w:val="wave" w:color="auto"/>
                    </w:rPr>
                    <w:t>达标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657" w:type="pct"/>
                  <w:noWrap w:val="0"/>
                  <w:vAlign w:val="center"/>
                </w:tcPr>
                <w:p>
                  <w:pPr>
                    <w:overflowPunct w:val="0"/>
                    <w:snapToGrid w:val="0"/>
                    <w:jc w:val="center"/>
                    <w:rPr>
                      <w:rFonts w:eastAsia="宋体"/>
                      <w:color w:val="auto"/>
                      <w:szCs w:val="21"/>
                      <w:u w:val="wave" w:color="auto"/>
                    </w:rPr>
                  </w:pPr>
                  <w:r>
                    <w:rPr>
                      <w:rFonts w:eastAsia="宋体"/>
                      <w:color w:val="auto"/>
                      <w:szCs w:val="21"/>
                      <w:u w:val="wave" w:color="auto"/>
                    </w:rPr>
                    <w:t>北厂界</w:t>
                  </w:r>
                </w:p>
              </w:tc>
              <w:tc>
                <w:tcPr>
                  <w:tcW w:w="740"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-86.75</w:t>
                  </w:r>
                </w:p>
              </w:tc>
              <w:tc>
                <w:tcPr>
                  <w:tcW w:w="71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249.12</w:t>
                  </w:r>
                </w:p>
              </w:tc>
              <w:tc>
                <w:tcPr>
                  <w:tcW w:w="341"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1.2</w:t>
                  </w:r>
                </w:p>
              </w:tc>
              <w:tc>
                <w:tcPr>
                  <w:tcW w:w="580" w:type="pct"/>
                  <w:noWrap w:val="0"/>
                  <w:vAlign w:val="center"/>
                </w:tcPr>
                <w:p>
                  <w:pPr>
                    <w:overflowPunct w:val="0"/>
                    <w:snapToGrid w:val="0"/>
                    <w:jc w:val="center"/>
                    <w:rPr>
                      <w:rFonts w:hint="eastAsia"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昼间</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cs="Times New Roman"/>
                      <w:color w:val="auto"/>
                      <w:szCs w:val="21"/>
                      <w:u w:val="wave" w:color="auto"/>
                      <w:lang w:val="en-US" w:eastAsia="zh-CN"/>
                    </w:rPr>
                    <w:t>51.99</w:t>
                  </w:r>
                </w:p>
              </w:tc>
              <w:tc>
                <w:tcPr>
                  <w:tcW w:w="656" w:type="pct"/>
                  <w:noWrap w:val="0"/>
                  <w:vAlign w:val="center"/>
                </w:tcPr>
                <w:p>
                  <w:pPr>
                    <w:overflowPunct w:val="0"/>
                    <w:snapToGrid w:val="0"/>
                    <w:jc w:val="center"/>
                    <w:rPr>
                      <w:rFonts w:hint="default" w:ascii="Times New Roman" w:hAnsi="Times New Roman" w:eastAsia="宋体" w:cs="Times New Roman"/>
                      <w:color w:val="auto"/>
                      <w:szCs w:val="21"/>
                      <w:u w:val="wave" w:color="auto"/>
                      <w:lang w:val="en-US" w:eastAsia="zh-CN"/>
                    </w:rPr>
                  </w:pPr>
                  <w:r>
                    <w:rPr>
                      <w:rFonts w:hint="eastAsia" w:ascii="Times New Roman" w:hAnsi="Times New Roman" w:eastAsia="宋体" w:cs="Times New Roman"/>
                      <w:color w:val="auto"/>
                      <w:szCs w:val="21"/>
                      <w:u w:val="wave" w:color="auto"/>
                      <w:lang w:val="en-US" w:eastAsia="zh-CN"/>
                    </w:rPr>
                    <w:t>60</w:t>
                  </w:r>
                </w:p>
              </w:tc>
              <w:tc>
                <w:tcPr>
                  <w:tcW w:w="651" w:type="pct"/>
                  <w:noWrap w:val="0"/>
                  <w:vAlign w:val="center"/>
                </w:tcPr>
                <w:p>
                  <w:pPr>
                    <w:jc w:val="center"/>
                    <w:rPr>
                      <w:rFonts w:eastAsia="宋体"/>
                      <w:color w:val="auto"/>
                      <w:szCs w:val="21"/>
                      <w:u w:val="wave" w:color="auto"/>
                    </w:rPr>
                  </w:pPr>
                  <w:r>
                    <w:rPr>
                      <w:rFonts w:eastAsia="宋体"/>
                      <w:color w:val="auto"/>
                      <w:szCs w:val="21"/>
                      <w:u w:val="wave" w:color="auto"/>
                    </w:rPr>
                    <w:t>达标</w:t>
                  </w:r>
                </w:p>
              </w:tc>
            </w:tr>
          </w:tbl>
          <w:p>
            <w:pPr>
              <w:pStyle w:val="59"/>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eastAsia="宋体" w:cs="Times New Roman"/>
                <w:b/>
                <w:bCs/>
                <w:color w:val="auto"/>
                <w:sz w:val="24"/>
                <w:szCs w:val="24"/>
                <w:u w:val="wave" w:color="auto"/>
                <w:lang w:eastAsia="zh-CN"/>
              </w:rPr>
            </w:pPr>
            <w:r>
              <w:rPr>
                <w:rFonts w:hint="default" w:ascii="Times New Roman" w:hAnsi="Times New Roman" w:eastAsia="宋体" w:cs="Times New Roman"/>
                <w:color w:val="auto"/>
                <w:sz w:val="24"/>
                <w:szCs w:val="24"/>
                <w:u w:val="wave" w:color="auto"/>
                <w:lang w:eastAsia="zh-CN"/>
              </w:rPr>
              <w:t>根据</w:t>
            </w:r>
            <w:r>
              <w:rPr>
                <w:rFonts w:hint="default" w:ascii="Times New Roman" w:hAnsi="Times New Roman" w:eastAsia="宋体" w:cs="Times New Roman"/>
                <w:color w:val="auto"/>
                <w:sz w:val="24"/>
                <w:szCs w:val="24"/>
                <w:u w:val="wave" w:color="auto"/>
                <w:lang w:val="en-US" w:eastAsia="zh-CN"/>
              </w:rPr>
              <w:t>厂</w:t>
            </w:r>
            <w:r>
              <w:rPr>
                <w:rFonts w:hint="default" w:ascii="Times New Roman" w:hAnsi="Times New Roman" w:eastAsia="宋体" w:cs="Times New Roman"/>
                <w:color w:val="auto"/>
                <w:sz w:val="24"/>
                <w:szCs w:val="24"/>
                <w:u w:val="wave" w:color="auto"/>
                <w:lang w:eastAsia="zh-CN"/>
              </w:rPr>
              <w:t>界预测结果</w:t>
            </w:r>
            <w:r>
              <w:rPr>
                <w:rFonts w:hint="default" w:ascii="Times New Roman" w:hAnsi="Times New Roman" w:eastAsia="宋体" w:cs="Times New Roman"/>
                <w:color w:val="auto"/>
                <w:sz w:val="24"/>
                <w:szCs w:val="24"/>
                <w:u w:val="wave" w:color="auto"/>
              </w:rPr>
              <w:t>，</w:t>
            </w:r>
            <w:r>
              <w:rPr>
                <w:rFonts w:hint="default" w:ascii="Times New Roman" w:hAnsi="Times New Roman" w:eastAsia="宋体" w:cs="Times New Roman"/>
                <w:color w:val="auto"/>
                <w:sz w:val="24"/>
                <w:szCs w:val="24"/>
                <w:u w:val="wave" w:color="auto"/>
                <w:lang w:eastAsia="zh-CN"/>
              </w:rPr>
              <w:t>运营期</w:t>
            </w:r>
            <w:r>
              <w:rPr>
                <w:rFonts w:hint="default" w:ascii="Times New Roman" w:hAnsi="Times New Roman" w:eastAsia="宋体" w:cs="Times New Roman"/>
                <w:color w:val="auto"/>
                <w:sz w:val="24"/>
                <w:szCs w:val="24"/>
                <w:u w:val="wave" w:color="auto"/>
              </w:rPr>
              <w:t>厂界东、南、</w:t>
            </w:r>
            <w:r>
              <w:rPr>
                <w:rFonts w:hint="eastAsia" w:ascii="Times New Roman" w:hAnsi="Times New Roman" w:eastAsia="宋体" w:cs="Times New Roman"/>
                <w:color w:val="auto"/>
                <w:sz w:val="24"/>
                <w:szCs w:val="24"/>
                <w:u w:val="wave" w:color="auto"/>
                <w:lang w:eastAsia="zh-CN"/>
              </w:rPr>
              <w:t>西、</w:t>
            </w:r>
            <w:r>
              <w:rPr>
                <w:rFonts w:hint="default" w:ascii="Times New Roman" w:hAnsi="Times New Roman" w:eastAsia="宋体" w:cs="Times New Roman"/>
                <w:color w:val="auto"/>
                <w:sz w:val="24"/>
                <w:szCs w:val="24"/>
                <w:u w:val="wave" w:color="auto"/>
              </w:rPr>
              <w:t>北侧噪声</w:t>
            </w:r>
            <w:r>
              <w:rPr>
                <w:rFonts w:hint="default" w:ascii="Times New Roman" w:hAnsi="Times New Roman" w:eastAsia="宋体" w:cs="Times New Roman"/>
                <w:color w:val="auto"/>
                <w:sz w:val="24"/>
                <w:szCs w:val="24"/>
                <w:u w:val="wave" w:color="auto"/>
                <w:lang w:val="en-US" w:eastAsia="zh-CN"/>
              </w:rPr>
              <w:t>满足《工业企业厂界环境噪声排放标准》（GB12348-2008）2类标准要求。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color w:val="auto"/>
                <w:sz w:val="24"/>
                <w:szCs w:val="24"/>
                <w:u w:val="none"/>
                <w:lang w:eastAsia="zh-CN"/>
              </w:rPr>
            </w:pPr>
            <w:r>
              <w:drawing>
                <wp:inline distT="0" distB="0" distL="114300" distR="114300">
                  <wp:extent cx="5149215" cy="3587750"/>
                  <wp:effectExtent l="0" t="0" r="13335" b="1270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20"/>
                          <a:stretch>
                            <a:fillRect/>
                          </a:stretch>
                        </pic:blipFill>
                        <pic:spPr>
                          <a:xfrm>
                            <a:off x="0" y="0"/>
                            <a:ext cx="5149215" cy="3587750"/>
                          </a:xfrm>
                          <a:prstGeom prst="rect">
                            <a:avLst/>
                          </a:prstGeom>
                          <a:noFill/>
                          <a:ln>
                            <a:noFill/>
                          </a:ln>
                        </pic:spPr>
                      </pic:pic>
                    </a:graphicData>
                  </a:graphic>
                </wp:inline>
              </w:drawing>
            </w:r>
          </w:p>
          <w:p>
            <w:pPr>
              <w:pStyle w:val="59"/>
              <w:keepNext w:val="0"/>
              <w:keepLines w:val="0"/>
              <w:pageBreakBefore w:val="0"/>
              <w:widowControl w:val="0"/>
              <w:kinsoku/>
              <w:wordWrap/>
              <w:overflowPunct/>
              <w:topLinePunct w:val="0"/>
              <w:autoSpaceDE/>
              <w:autoSpaceDN/>
              <w:bidi w:val="0"/>
              <w:adjustRightInd/>
              <w:snapToGrid/>
              <w:spacing w:before="157" w:beforeLines="50" w:after="0" w:line="240" w:lineRule="auto"/>
              <w:ind w:left="0" w:leftChars="0" w:right="0" w:firstLine="0" w:firstLineChars="0"/>
              <w:jc w:val="center"/>
              <w:textAlignment w:val="auto"/>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lang w:eastAsia="zh-CN"/>
              </w:rPr>
              <w:t>图4-</w:t>
            </w:r>
            <w:r>
              <w:rPr>
                <w:rFonts w:hint="eastAsia" w:ascii="Times New Roman" w:hAnsi="Times New Roman" w:eastAsia="宋体" w:cs="Times New Roman"/>
                <w:b/>
                <w:bCs/>
                <w:color w:val="auto"/>
                <w:sz w:val="21"/>
                <w:szCs w:val="21"/>
                <w:u w:val="none"/>
                <w:lang w:val="en-US" w:eastAsia="zh-CN"/>
              </w:rPr>
              <w:t>3</w:t>
            </w:r>
            <w:r>
              <w:rPr>
                <w:rFonts w:hint="default" w:ascii="Times New Roman" w:hAnsi="Times New Roman" w:eastAsia="宋体" w:cs="Times New Roman"/>
                <w:b/>
                <w:bCs/>
                <w:color w:val="auto"/>
                <w:sz w:val="21"/>
                <w:szCs w:val="21"/>
                <w:u w:val="none"/>
                <w:lang w:eastAsia="zh-CN"/>
              </w:rPr>
              <w:t xml:space="preserve">  厂界噪声预测等值线图</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2" w:firstLineChars="200"/>
              <w:textAlignment w:val="auto"/>
              <w:rPr>
                <w:rFonts w:hint="default" w:ascii="Times New Roman" w:hAnsi="Times New Roman" w:eastAsia="宋体" w:cs="Times New Roman"/>
                <w:b/>
                <w:bCs/>
                <w:color w:val="auto"/>
                <w:sz w:val="24"/>
                <w:szCs w:val="24"/>
                <w:lang w:eastAsia="zh-CN"/>
              </w:rPr>
            </w:pPr>
            <w:r>
              <w:rPr>
                <w:rFonts w:hint="eastAsia"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lang w:eastAsia="zh-CN"/>
              </w:rPr>
              <w:t>噪声污染防治措施可行性分析</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本项目在设计、建设与运行时采取如下噪声污染防治措施：</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①对于设备选型方面，应尽量选用低噪声设备。</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②对设备进行合理布局，项目应将高噪声设备放置在远离厂界的位置，通过墙体的阻隔作</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用减少噪声对周边环境的影响。</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③尽量选用低噪设备，对等离子切割机、剪切机、空压机等高噪声设备，安装中采取减振、隔振措施，在支撑料件的台座上使用不发声的衬垫材料、对设备加装隔振垫。</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④运营期间加强对生产机械设备的日常维护和定期检查维修，确保设备正常运行避免设备</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带病运行产生的异常噪声，使设备处于最佳工作状态。</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⑤加强对进入厂区内的车辆管理，设置专用进出口，设置引导标志；同时规范停放秩序、禁鸣喇叭、减少启动次数和怠速行驶。</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⑥应严格管理生产作业，合理安排生产时间。</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wave"/>
                <w:lang w:eastAsia="zh-CN"/>
              </w:rPr>
            </w:pPr>
            <w:r>
              <w:rPr>
                <w:rFonts w:hint="default" w:ascii="Times New Roman" w:hAnsi="Times New Roman" w:eastAsia="宋体" w:cs="Times New Roman"/>
                <w:color w:val="auto"/>
                <w:sz w:val="24"/>
                <w:szCs w:val="24"/>
                <w:u w:val="wave"/>
                <w:lang w:eastAsia="zh-CN"/>
              </w:rPr>
              <w:t>综合分析，只要建设单位落实好各类设备的减噪措施，项目建成运营产生的噪声对周围环境影响不大。</w:t>
            </w:r>
          </w:p>
          <w:p>
            <w:pPr>
              <w:pStyle w:val="59"/>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right="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3、监测计划</w:t>
            </w:r>
          </w:p>
          <w:p>
            <w:pPr>
              <w:pStyle w:val="59"/>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right="0"/>
              <w:jc w:val="center"/>
              <w:textAlignment w:val="auto"/>
              <w:rPr>
                <w:rFonts w:hint="default" w:ascii="Times New Roman" w:hAnsi="Times New Roman" w:eastAsia="宋体" w:cs="Times New Roman"/>
                <w:b/>
                <w:bCs/>
                <w:color w:val="auto"/>
                <w:u w:val="none"/>
                <w:lang w:val="en-US" w:eastAsia="zh-CN"/>
              </w:rPr>
            </w:pPr>
            <w:r>
              <w:rPr>
                <w:rFonts w:hint="default" w:ascii="Times New Roman" w:hAnsi="Times New Roman" w:eastAsia="宋体" w:cs="Times New Roman"/>
                <w:b/>
                <w:bCs/>
                <w:color w:val="auto"/>
                <w:u w:val="none"/>
                <w:lang w:val="en-US" w:eastAsia="zh-CN"/>
              </w:rPr>
              <w:t>表4-</w:t>
            </w:r>
            <w:r>
              <w:rPr>
                <w:rFonts w:hint="eastAsia" w:ascii="Times New Roman" w:hAnsi="Times New Roman" w:eastAsia="宋体" w:cs="Times New Roman"/>
                <w:b/>
                <w:bCs/>
                <w:color w:val="auto"/>
                <w:u w:val="none"/>
                <w:lang w:val="en-US" w:eastAsia="zh-CN"/>
              </w:rPr>
              <w:t>11</w:t>
            </w:r>
            <w:r>
              <w:rPr>
                <w:rFonts w:hint="default" w:ascii="Times New Roman" w:hAnsi="Times New Roman" w:eastAsia="宋体" w:cs="Times New Roman"/>
                <w:b/>
                <w:bCs/>
                <w:color w:val="auto"/>
                <w:u w:val="none"/>
                <w:lang w:val="en-US" w:eastAsia="zh-CN"/>
              </w:rPr>
              <w:t xml:space="preserve">  噪声监测计划表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2049"/>
              <w:gridCol w:w="1348"/>
              <w:gridCol w:w="1147"/>
              <w:gridCol w:w="3573"/>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126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监测点位</w:t>
                  </w:r>
                </w:p>
              </w:tc>
              <w:tc>
                <w:tcPr>
                  <w:tcW w:w="830"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rPr>
                    <w:t>监测</w:t>
                  </w:r>
                  <w:r>
                    <w:rPr>
                      <w:rFonts w:hint="default" w:ascii="Times New Roman" w:hAnsi="Times New Roman" w:eastAsia="宋体" w:cs="Times New Roman"/>
                      <w:b/>
                      <w:bCs/>
                      <w:color w:val="auto"/>
                      <w:sz w:val="21"/>
                      <w:szCs w:val="21"/>
                      <w:u w:val="none"/>
                      <w:lang w:eastAsia="zh-CN"/>
                    </w:rPr>
                    <w:t>项目</w:t>
                  </w:r>
                </w:p>
              </w:tc>
              <w:tc>
                <w:tcPr>
                  <w:tcW w:w="70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监测频次</w:t>
                  </w:r>
                </w:p>
              </w:tc>
              <w:tc>
                <w:tcPr>
                  <w:tcW w:w="2200"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执行标准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450" w:hRule="atLeast"/>
                <w:jc w:val="center"/>
              </w:trPr>
              <w:tc>
                <w:tcPr>
                  <w:tcW w:w="1262"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eastAsia="zh-CN"/>
                    </w:rPr>
                    <w:t>厂界东、南、西</w:t>
                  </w:r>
                  <w:r>
                    <w:rPr>
                      <w:rFonts w:hint="eastAsia" w:ascii="Times New Roman" w:hAnsi="Times New Roman" w:eastAsia="宋体" w:cs="Times New Roman"/>
                      <w:color w:val="auto"/>
                      <w:sz w:val="21"/>
                      <w:szCs w:val="21"/>
                      <w:u w:val="none"/>
                      <w:lang w:eastAsia="zh-CN"/>
                    </w:rPr>
                    <w:t>、</w:t>
                  </w:r>
                  <w:r>
                    <w:rPr>
                      <w:rFonts w:hint="default" w:ascii="Times New Roman" w:hAnsi="Times New Roman" w:eastAsia="宋体" w:cs="Times New Roman"/>
                      <w:color w:val="auto"/>
                      <w:sz w:val="21"/>
                      <w:szCs w:val="21"/>
                      <w:u w:val="none"/>
                      <w:lang w:eastAsia="zh-CN"/>
                    </w:rPr>
                    <w:t>北</w:t>
                  </w:r>
                  <w:r>
                    <w:rPr>
                      <w:rFonts w:hint="default" w:ascii="Times New Roman" w:hAnsi="Times New Roman" w:eastAsia="宋体" w:cs="Times New Roman"/>
                      <w:color w:val="auto"/>
                      <w:sz w:val="21"/>
                      <w:szCs w:val="21"/>
                      <w:u w:val="none"/>
                      <w:lang w:val="en-US" w:eastAsia="zh-CN"/>
                    </w:rPr>
                    <w:t>侧外1m</w:t>
                  </w:r>
                </w:p>
              </w:tc>
              <w:tc>
                <w:tcPr>
                  <w:tcW w:w="830"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eastAsia="zh-CN"/>
                    </w:rPr>
                    <w:t>等效</w:t>
                  </w:r>
                  <w:r>
                    <w:rPr>
                      <w:rFonts w:hint="default" w:ascii="Times New Roman" w:hAnsi="Times New Roman" w:eastAsia="宋体" w:cs="Times New Roman"/>
                      <w:color w:val="auto"/>
                      <w:sz w:val="21"/>
                      <w:szCs w:val="21"/>
                      <w:u w:val="none"/>
                      <w:lang w:val="en-US" w:eastAsia="zh-CN"/>
                    </w:rPr>
                    <w:t>A声级</w:t>
                  </w:r>
                </w:p>
              </w:tc>
              <w:tc>
                <w:tcPr>
                  <w:tcW w:w="706"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rPr>
                    <w:t>1次/</w:t>
                  </w:r>
                  <w:r>
                    <w:rPr>
                      <w:rFonts w:hint="eastAsia" w:ascii="Times New Roman" w:hAnsi="Times New Roman" w:eastAsia="宋体" w:cs="Times New Roman"/>
                      <w:color w:val="auto"/>
                      <w:sz w:val="21"/>
                      <w:szCs w:val="21"/>
                      <w:u w:val="none"/>
                      <w:lang w:val="en-US" w:eastAsia="zh-CN"/>
                    </w:rPr>
                    <w:t>季</w:t>
                  </w:r>
                </w:p>
              </w:tc>
              <w:tc>
                <w:tcPr>
                  <w:tcW w:w="2200" w:type="pc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《工业企业厂界环境噪声排放标准》（GB12348-2008）中的2类标准</w:t>
                  </w:r>
                </w:p>
              </w:tc>
            </w:tr>
          </w:tbl>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2" w:firstLineChars="20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eastAsia="zh-CN"/>
              </w:rPr>
              <w:t>（</w:t>
            </w:r>
            <w:r>
              <w:rPr>
                <w:rFonts w:hint="default" w:ascii="Times New Roman" w:hAnsi="Times New Roman" w:eastAsia="宋体" w:cs="Times New Roman"/>
                <w:b/>
                <w:bCs/>
                <w:color w:val="auto"/>
                <w:sz w:val="24"/>
                <w:szCs w:val="24"/>
                <w:u w:val="none"/>
                <w:lang w:val="en-US" w:eastAsia="zh-CN"/>
              </w:rPr>
              <w:t>四</w:t>
            </w:r>
            <w:r>
              <w:rPr>
                <w:rFonts w:hint="default" w:ascii="Times New Roman" w:hAnsi="Times New Roman" w:eastAsia="宋体" w:cs="Times New Roman"/>
                <w:b/>
                <w:bCs/>
                <w:color w:val="auto"/>
                <w:sz w:val="24"/>
                <w:szCs w:val="24"/>
                <w:u w:val="none"/>
                <w:lang w:eastAsia="zh-CN"/>
              </w:rPr>
              <w:t>）</w:t>
            </w:r>
            <w:r>
              <w:rPr>
                <w:rFonts w:hint="default" w:ascii="Times New Roman" w:hAnsi="Times New Roman" w:eastAsia="宋体" w:cs="Times New Roman"/>
                <w:b/>
                <w:bCs/>
                <w:color w:val="auto"/>
                <w:sz w:val="24"/>
                <w:szCs w:val="24"/>
                <w:u w:val="none"/>
                <w:lang w:val="en-US" w:eastAsia="zh-CN"/>
              </w:rPr>
              <w:t>固体废物</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2" w:firstLineChars="200"/>
              <w:textAlignment w:val="auto"/>
              <w:rPr>
                <w:rFonts w:hint="default" w:ascii="Times New Roman" w:hAnsi="Times New Roman" w:eastAsia="宋体" w:cs="Times New Roman"/>
                <w:b/>
                <w:bCs/>
                <w:color w:val="auto"/>
                <w:sz w:val="24"/>
                <w:szCs w:val="24"/>
                <w:u w:val="none"/>
                <w:lang w:eastAsia="zh-CN"/>
              </w:rPr>
            </w:pPr>
            <w:r>
              <w:rPr>
                <w:rFonts w:hint="default" w:ascii="Times New Roman" w:hAnsi="Times New Roman" w:eastAsia="宋体" w:cs="Times New Roman"/>
                <w:b/>
                <w:bCs/>
                <w:color w:val="auto"/>
                <w:sz w:val="24"/>
                <w:szCs w:val="24"/>
                <w:u w:val="none"/>
                <w:lang w:val="en-US" w:eastAsia="zh-CN"/>
              </w:rPr>
              <w:t>1、运营期固废源强核算</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none"/>
                <w:lang w:eastAsia="zh-CN"/>
              </w:rPr>
            </w:pPr>
            <w:r>
              <w:rPr>
                <w:rFonts w:hint="default" w:ascii="Times New Roman" w:hAnsi="Times New Roman" w:eastAsia="宋体" w:cs="Times New Roman"/>
                <w:b w:val="0"/>
                <w:color w:val="auto"/>
                <w:sz w:val="24"/>
                <w:szCs w:val="24"/>
                <w:u w:val="none"/>
                <w:lang w:eastAsia="zh-CN"/>
              </w:rPr>
              <w:t>本项目固体废物主要包括一般工业固体废物、危险废物和生活垃圾。</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none"/>
                <w:lang w:eastAsia="zh-CN"/>
              </w:rPr>
            </w:pPr>
            <w:r>
              <w:rPr>
                <w:rFonts w:hint="eastAsia" w:ascii="Times New Roman" w:hAnsi="Times New Roman" w:eastAsia="宋体" w:cs="Times New Roman"/>
                <w:b w:val="0"/>
                <w:color w:val="auto"/>
                <w:sz w:val="24"/>
                <w:szCs w:val="24"/>
                <w:u w:val="none"/>
                <w:lang w:eastAsia="zh-CN"/>
              </w:rPr>
              <w:t>（</w:t>
            </w:r>
            <w:r>
              <w:rPr>
                <w:rFonts w:hint="eastAsia" w:ascii="Times New Roman" w:hAnsi="Times New Roman" w:eastAsia="宋体" w:cs="Times New Roman"/>
                <w:b w:val="0"/>
                <w:color w:val="auto"/>
                <w:sz w:val="24"/>
                <w:szCs w:val="24"/>
                <w:u w:val="none"/>
                <w:lang w:val="en-US" w:eastAsia="zh-CN"/>
              </w:rPr>
              <w:t>1</w:t>
            </w:r>
            <w:r>
              <w:rPr>
                <w:rFonts w:hint="eastAsia" w:ascii="Times New Roman" w:hAnsi="Times New Roman" w:eastAsia="宋体" w:cs="Times New Roman"/>
                <w:b w:val="0"/>
                <w:color w:val="auto"/>
                <w:sz w:val="24"/>
                <w:szCs w:val="24"/>
                <w:u w:val="none"/>
                <w:lang w:eastAsia="zh-CN"/>
              </w:rPr>
              <w:t>）</w:t>
            </w:r>
            <w:r>
              <w:rPr>
                <w:rFonts w:hint="default" w:ascii="Times New Roman" w:hAnsi="Times New Roman" w:eastAsia="宋体" w:cs="Times New Roman"/>
                <w:b w:val="0"/>
                <w:color w:val="auto"/>
                <w:sz w:val="24"/>
                <w:szCs w:val="24"/>
                <w:u w:val="none"/>
                <w:lang w:eastAsia="zh-CN"/>
              </w:rPr>
              <w:t>生活垃圾</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none"/>
                <w:lang w:eastAsia="zh-CN"/>
              </w:rPr>
            </w:pPr>
            <w:r>
              <w:rPr>
                <w:rFonts w:hint="default" w:ascii="Times New Roman" w:hAnsi="Times New Roman" w:eastAsia="宋体" w:cs="Times New Roman"/>
                <w:b w:val="0"/>
                <w:color w:val="auto"/>
                <w:sz w:val="24"/>
                <w:szCs w:val="24"/>
                <w:u w:val="none"/>
                <w:lang w:eastAsia="zh-CN"/>
              </w:rPr>
              <w:t>项目劳动定员</w:t>
            </w:r>
            <w:r>
              <w:rPr>
                <w:rFonts w:hint="eastAsia" w:ascii="Times New Roman" w:hAnsi="Times New Roman" w:eastAsia="宋体" w:cs="Times New Roman"/>
                <w:b w:val="0"/>
                <w:color w:val="auto"/>
                <w:sz w:val="24"/>
                <w:szCs w:val="24"/>
                <w:u w:val="none"/>
                <w:lang w:val="en-US" w:eastAsia="zh-CN"/>
              </w:rPr>
              <w:t>1</w:t>
            </w:r>
            <w:r>
              <w:rPr>
                <w:rFonts w:hint="default" w:ascii="Times New Roman" w:hAnsi="Times New Roman" w:eastAsia="宋体" w:cs="Times New Roman"/>
                <w:b w:val="0"/>
                <w:color w:val="auto"/>
                <w:sz w:val="24"/>
                <w:szCs w:val="24"/>
                <w:u w:val="none"/>
                <w:lang w:eastAsia="zh-CN"/>
              </w:rPr>
              <w:t>0人，生活垃圾产生量按0.5kg/人/d，年工作300天，本项目运营期生活垃圾产生量为</w:t>
            </w:r>
            <w:r>
              <w:rPr>
                <w:rFonts w:hint="eastAsia" w:ascii="Times New Roman" w:hAnsi="Times New Roman" w:eastAsia="宋体" w:cs="Times New Roman"/>
                <w:b w:val="0"/>
                <w:color w:val="auto"/>
                <w:sz w:val="24"/>
                <w:szCs w:val="24"/>
                <w:u w:val="none"/>
                <w:lang w:val="en-US" w:eastAsia="zh-CN"/>
              </w:rPr>
              <w:t>1.5</w:t>
            </w:r>
            <w:r>
              <w:rPr>
                <w:rFonts w:hint="default" w:ascii="Times New Roman" w:hAnsi="Times New Roman" w:eastAsia="宋体" w:cs="Times New Roman"/>
                <w:b w:val="0"/>
                <w:color w:val="auto"/>
                <w:sz w:val="24"/>
                <w:szCs w:val="24"/>
                <w:u w:val="none"/>
                <w:lang w:eastAsia="zh-CN"/>
              </w:rPr>
              <w:t>t/a。生活垃圾经垃圾桶集中收集后，由环卫部门定期清运。</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none"/>
                <w:lang w:eastAsia="zh-CN"/>
              </w:rPr>
            </w:pPr>
            <w:r>
              <w:rPr>
                <w:rFonts w:hint="eastAsia" w:ascii="Times New Roman" w:hAnsi="Times New Roman" w:eastAsia="宋体" w:cs="Times New Roman"/>
                <w:b w:val="0"/>
                <w:color w:val="auto"/>
                <w:sz w:val="24"/>
                <w:szCs w:val="24"/>
                <w:u w:val="none"/>
                <w:lang w:eastAsia="zh-CN"/>
              </w:rPr>
              <w:t>（</w:t>
            </w:r>
            <w:r>
              <w:rPr>
                <w:rFonts w:hint="eastAsia" w:ascii="Times New Roman" w:hAnsi="Times New Roman" w:eastAsia="宋体" w:cs="Times New Roman"/>
                <w:b w:val="0"/>
                <w:color w:val="auto"/>
                <w:sz w:val="24"/>
                <w:szCs w:val="24"/>
                <w:u w:val="none"/>
                <w:lang w:val="en-US" w:eastAsia="zh-CN"/>
              </w:rPr>
              <w:t>2</w:t>
            </w:r>
            <w:r>
              <w:rPr>
                <w:rFonts w:hint="eastAsia" w:ascii="Times New Roman" w:hAnsi="Times New Roman" w:eastAsia="宋体" w:cs="Times New Roman"/>
                <w:b w:val="0"/>
                <w:color w:val="auto"/>
                <w:sz w:val="24"/>
                <w:szCs w:val="24"/>
                <w:u w:val="none"/>
                <w:lang w:eastAsia="zh-CN"/>
              </w:rPr>
              <w:t>）</w:t>
            </w:r>
            <w:r>
              <w:rPr>
                <w:rFonts w:hint="default" w:ascii="Times New Roman" w:hAnsi="Times New Roman" w:eastAsia="宋体" w:cs="Times New Roman"/>
                <w:b w:val="0"/>
                <w:color w:val="auto"/>
                <w:sz w:val="24"/>
                <w:szCs w:val="24"/>
                <w:u w:val="none"/>
                <w:lang w:eastAsia="zh-CN"/>
              </w:rPr>
              <w:t>一般固废</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none"/>
                <w:lang w:eastAsia="zh-CN"/>
              </w:rPr>
            </w:pPr>
            <w:r>
              <w:rPr>
                <w:rFonts w:hint="default" w:ascii="Times New Roman" w:hAnsi="Times New Roman" w:eastAsia="宋体" w:cs="Times New Roman"/>
                <w:b w:val="0"/>
                <w:color w:val="auto"/>
                <w:sz w:val="24"/>
                <w:szCs w:val="24"/>
                <w:u w:val="none"/>
                <w:lang w:eastAsia="zh-CN"/>
              </w:rPr>
              <w:t>一般工业固体废弃物分为可回收固体废物和不可利用固体废物，可回收固体废物包括钢材、有色金属、塑料、橡胶、玻璃等物质，可利用零部件，外售处理。不可利用固体废物有废安全气囊等，则委托环卫部门清运。</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wave"/>
                <w:lang w:eastAsia="zh-CN"/>
              </w:rPr>
            </w:pPr>
            <w:r>
              <w:rPr>
                <w:rFonts w:hint="eastAsia" w:ascii="Times New Roman" w:hAnsi="Times New Roman" w:eastAsia="宋体" w:cs="Times New Roman"/>
                <w:b w:val="0"/>
                <w:color w:val="auto"/>
                <w:sz w:val="24"/>
                <w:szCs w:val="24"/>
                <w:u w:val="wave"/>
                <w:lang w:eastAsia="zh-CN"/>
              </w:rPr>
              <w:t>（</w:t>
            </w:r>
            <w:r>
              <w:rPr>
                <w:rFonts w:hint="eastAsia" w:ascii="Times New Roman" w:hAnsi="Times New Roman" w:eastAsia="宋体" w:cs="Times New Roman"/>
                <w:b w:val="0"/>
                <w:color w:val="auto"/>
                <w:sz w:val="24"/>
                <w:szCs w:val="24"/>
                <w:u w:val="wave"/>
                <w:lang w:val="en-US" w:eastAsia="zh-CN"/>
              </w:rPr>
              <w:t>3</w:t>
            </w:r>
            <w:r>
              <w:rPr>
                <w:rFonts w:hint="eastAsia" w:ascii="Times New Roman" w:hAnsi="Times New Roman" w:eastAsia="宋体" w:cs="Times New Roman"/>
                <w:b w:val="0"/>
                <w:color w:val="auto"/>
                <w:sz w:val="24"/>
                <w:szCs w:val="24"/>
                <w:u w:val="wave"/>
                <w:lang w:eastAsia="zh-CN"/>
              </w:rPr>
              <w:t>）</w:t>
            </w:r>
            <w:r>
              <w:rPr>
                <w:rFonts w:hint="default" w:ascii="Times New Roman" w:hAnsi="Times New Roman" w:eastAsia="宋体" w:cs="Times New Roman"/>
                <w:b w:val="0"/>
                <w:color w:val="auto"/>
                <w:sz w:val="24"/>
                <w:szCs w:val="24"/>
                <w:u w:val="wave"/>
                <w:lang w:eastAsia="zh-CN"/>
              </w:rPr>
              <w:t>危险废物</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wave"/>
                <w:lang w:eastAsia="zh-CN"/>
              </w:rPr>
            </w:pPr>
            <w:r>
              <w:rPr>
                <w:rFonts w:hint="default" w:ascii="Times New Roman" w:hAnsi="Times New Roman" w:eastAsia="宋体" w:cs="Times New Roman"/>
                <w:b w:val="0"/>
                <w:color w:val="auto"/>
                <w:sz w:val="24"/>
                <w:szCs w:val="24"/>
                <w:u w:val="wave"/>
                <w:lang w:eastAsia="zh-CN"/>
              </w:rPr>
              <w:t>本项目产生的危险废物有废铅蓄电池、废油液、废滤清器、废空调制冷剂、废尾气净化装置、含多氯联苯的电容器、废电路板、废有毒物质部件、抹布手套等。均妥善收集后暂存于危废暂存间，定期委托有资质单位处置。具体情况如下。</w:t>
            </w:r>
          </w:p>
          <w:p>
            <w:pPr>
              <w:pStyle w:val="59"/>
              <w:keepNext w:val="0"/>
              <w:keepLines w:val="0"/>
              <w:pageBreakBefore w:val="0"/>
              <w:widowControl w:val="0"/>
              <w:kinsoku/>
              <w:wordWrap/>
              <w:overflowPunct/>
              <w:topLinePunct w:val="0"/>
              <w:autoSpaceDE/>
              <w:autoSpaceDN/>
              <w:bidi w:val="0"/>
              <w:adjustRightInd w:val="0"/>
              <w:snapToGrid/>
              <w:spacing w:before="0" w:after="0" w:line="360" w:lineRule="auto"/>
              <w:ind w:leftChars="0" w:right="0" w:firstLine="480" w:firstLineChars="200"/>
              <w:textAlignment w:val="auto"/>
              <w:rPr>
                <w:rFonts w:hint="default" w:ascii="Times New Roman" w:hAnsi="Times New Roman" w:eastAsia="宋体" w:cs="Times New Roman"/>
                <w:b w:val="0"/>
                <w:color w:val="auto"/>
                <w:sz w:val="24"/>
                <w:szCs w:val="24"/>
                <w:u w:val="none"/>
                <w:lang w:val="en-US" w:eastAsia="zh-CN"/>
              </w:rPr>
            </w:pPr>
            <w:r>
              <w:rPr>
                <w:rFonts w:hint="default" w:ascii="Times New Roman" w:hAnsi="Times New Roman" w:eastAsia="宋体" w:cs="Times New Roman"/>
                <w:b w:val="0"/>
                <w:color w:val="auto"/>
                <w:sz w:val="24"/>
                <w:szCs w:val="24"/>
                <w:u w:val="none"/>
                <w:lang w:eastAsia="zh-CN"/>
              </w:rPr>
              <w:t>根据拆解产生的物品一览表，项目建成后固废汇总详见表4-1</w:t>
            </w:r>
            <w:r>
              <w:rPr>
                <w:rFonts w:hint="eastAsia" w:ascii="Times New Roman" w:hAnsi="Times New Roman" w:eastAsia="宋体" w:cs="Times New Roman"/>
                <w:b w:val="0"/>
                <w:color w:val="auto"/>
                <w:sz w:val="24"/>
                <w:szCs w:val="24"/>
                <w:u w:val="none"/>
                <w:lang w:val="en-US" w:eastAsia="zh-CN"/>
              </w:rPr>
              <w:t>2</w:t>
            </w:r>
            <w:r>
              <w:rPr>
                <w:rFonts w:hint="eastAsia" w:ascii="Times New Roman" w:hAnsi="Times New Roman" w:eastAsia="宋体" w:cs="Times New Roman"/>
                <w:b w:val="0"/>
                <w:color w:val="auto"/>
                <w:sz w:val="24"/>
                <w:szCs w:val="24"/>
                <w:u w:val="none"/>
                <w:lang w:eastAsia="zh-CN"/>
              </w:rPr>
              <w:t>。</w:t>
            </w:r>
          </w:p>
          <w:p>
            <w:pPr>
              <w:pStyle w:val="9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sz w:val="21"/>
              </w:rPr>
            </w:pPr>
            <w:r>
              <w:rPr>
                <w:rFonts w:ascii="Times New Roman" w:hAnsi="Times New Roman" w:eastAsia="宋体" w:cs="Times New Roman"/>
                <w:sz w:val="21"/>
              </w:rPr>
              <w:t>表4-</w:t>
            </w:r>
            <w:r>
              <w:rPr>
                <w:rFonts w:hint="eastAsia" w:ascii="Times New Roman" w:hAnsi="Times New Roman" w:eastAsia="宋体" w:cs="Times New Roman"/>
                <w:sz w:val="21"/>
                <w:lang w:val="en-US" w:eastAsia="zh-CN"/>
              </w:rPr>
              <w:t xml:space="preserve">12 </w:t>
            </w:r>
            <w:r>
              <w:rPr>
                <w:rFonts w:ascii="Times New Roman" w:hAnsi="Times New Roman" w:eastAsia="宋体" w:cs="Times New Roman"/>
                <w:sz w:val="21"/>
              </w:rPr>
              <w:t xml:space="preserve"> 一般固体废物产生情况一览表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1"/>
              <w:gridCol w:w="1171"/>
              <w:gridCol w:w="1383"/>
              <w:gridCol w:w="663"/>
              <w:gridCol w:w="703"/>
              <w:gridCol w:w="911"/>
              <w:gridCol w:w="1096"/>
              <w:gridCol w:w="13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产生</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来源</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污染物</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废物代码</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固废属性</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物理</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性状</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产生量t/a</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暂存方式</w:t>
                  </w:r>
                </w:p>
              </w:tc>
              <w:tc>
                <w:tcPr>
                  <w:tcW w:w="829"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办公生活</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生活垃圾</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生活垃圾</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垃圾桶收集</w:t>
                  </w:r>
                </w:p>
              </w:tc>
              <w:tc>
                <w:tcPr>
                  <w:tcW w:w="829"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集中收集后由环卫部门处理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废动力蓄电池</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900-012-S17</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53.1</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动力电池暂存间</w:t>
                  </w:r>
                </w:p>
              </w:tc>
              <w:tc>
                <w:tcPr>
                  <w:tcW w:w="829"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废安全气囊</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900-007-S17</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1220.5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一般固废贮存区</w:t>
                  </w:r>
                </w:p>
              </w:tc>
              <w:tc>
                <w:tcPr>
                  <w:tcW w:w="829"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废电线电缆</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900-008-S17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193.29</w:t>
                  </w:r>
                </w:p>
              </w:tc>
              <w:tc>
                <w:tcPr>
                  <w:tcW w:w="675" w:type="pct"/>
                  <w:vMerge w:val="restar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分别贮存在成品堆放区</w:t>
                  </w:r>
                </w:p>
              </w:tc>
              <w:tc>
                <w:tcPr>
                  <w:tcW w:w="829" w:type="pct"/>
                  <w:vMerge w:val="restar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废玻璃</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900-004-S17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382.41</w:t>
                  </w:r>
                </w:p>
              </w:tc>
              <w:tc>
                <w:tcPr>
                  <w:tcW w:w="675"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废钢铁</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900-001-S17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27993.96</w:t>
                  </w:r>
                </w:p>
              </w:tc>
              <w:tc>
                <w:tcPr>
                  <w:tcW w:w="675"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废橡胶</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900-006-S17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1251.96</w:t>
                  </w:r>
                </w:p>
              </w:tc>
              <w:tc>
                <w:tcPr>
                  <w:tcW w:w="675"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废塑料</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900-003-S17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659.4</w:t>
                  </w:r>
                </w:p>
              </w:tc>
              <w:tc>
                <w:tcPr>
                  <w:tcW w:w="675"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废有色金属</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900-002-S17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591.645</w:t>
                  </w:r>
                </w:p>
              </w:tc>
              <w:tc>
                <w:tcPr>
                  <w:tcW w:w="675"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不可利用材料（包含海绵、电子废物、布料等）</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900-007-S17、900-008-S17</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一般固废</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4344.84</w:t>
                  </w:r>
                </w:p>
              </w:tc>
              <w:tc>
                <w:tcPr>
                  <w:tcW w:w="675"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废铅蓄电池</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900-052-31</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158.6</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耐酸性专用容器</w:t>
                  </w:r>
                </w:p>
              </w:tc>
              <w:tc>
                <w:tcPr>
                  <w:tcW w:w="829" w:type="pct"/>
                  <w:vMerge w:val="restar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危废暂存间暂存，委托有资质单位处置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废油液（机油、润滑油、液压油、制动液等）</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kern w:val="2"/>
                      <w:sz w:val="18"/>
                      <w:szCs w:val="18"/>
                    </w:rPr>
                    <w:t>900-199-08</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液态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51.145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密闭容器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燃料油（汽柴油）</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kern w:val="2"/>
                      <w:sz w:val="18"/>
                      <w:szCs w:val="18"/>
                    </w:rPr>
                    <w:t>900-199-08</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液态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27.775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密闭容器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废有机溶剂与含有机溶剂废物</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kern w:val="0"/>
                      <w:sz w:val="18"/>
                      <w:szCs w:val="18"/>
                      <w:lang w:val="en-US" w:eastAsia="zh-CN" w:bidi="ar-SA"/>
                    </w:rPr>
                    <w:t>900-404-06</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液态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7.13</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密闭容器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废滤清器</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900-249-08</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13.4</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抹布手套/吸油毡</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900-041-49</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0.5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废空调制冷剂</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900-999-49</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液态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4.145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密闭容器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废尾气净化装置</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kern w:val="2"/>
                      <w:sz w:val="18"/>
                      <w:szCs w:val="18"/>
                    </w:rPr>
                    <w:t>900-</w:t>
                  </w:r>
                  <w:r>
                    <w:rPr>
                      <w:rFonts w:hint="default" w:ascii="Times New Roman" w:hAnsi="Times New Roman" w:eastAsia="宋体" w:cs="Times New Roman"/>
                      <w:kern w:val="2"/>
                      <w:sz w:val="18"/>
                      <w:szCs w:val="18"/>
                      <w:lang w:val="en-US" w:eastAsia="zh-CN"/>
                    </w:rPr>
                    <w:t>049-50</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23.75</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含多氯联苯的电容器</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900-008-10</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3.03</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预处理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废电路板</w:t>
                  </w:r>
                </w:p>
              </w:tc>
              <w:tc>
                <w:tcPr>
                  <w:tcW w:w="852"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kern w:val="2"/>
                      <w:sz w:val="18"/>
                      <w:szCs w:val="18"/>
                    </w:rPr>
                    <w:t>900-045-49</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1.81</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预处理、拆解加工</w:t>
                  </w:r>
                </w:p>
              </w:tc>
              <w:tc>
                <w:tcPr>
                  <w:tcW w:w="72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废有毒物质部件（含铅部件、含汞开关）</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kern w:val="0"/>
                      <w:sz w:val="18"/>
                      <w:szCs w:val="18"/>
                      <w:lang w:val="en-US" w:eastAsia="zh-CN" w:bidi="ar-SA"/>
                    </w:rPr>
                    <w:t>900-045-49</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危险废物</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19.74</w:t>
                  </w:r>
                </w:p>
              </w:tc>
              <w:tc>
                <w:tcPr>
                  <w:tcW w:w="675"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lang w:val="en-US" w:eastAsia="zh-CN" w:bidi="ar-SA"/>
                    </w:rPr>
                  </w:pPr>
                  <w:r>
                    <w:rPr>
                      <w:rFonts w:hint="default" w:ascii="Times New Roman" w:hAnsi="Times New Roman" w:eastAsia="宋体" w:cs="Times New Roman"/>
                      <w:sz w:val="18"/>
                      <w:szCs w:val="18"/>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eastAsia" w:ascii="Times New Roman" w:cs="Times New Roman"/>
                      <w:sz w:val="18"/>
                      <w:szCs w:val="18"/>
                      <w:u w:val="wave"/>
                      <w:lang w:val="en-US" w:eastAsia="zh-CN"/>
                    </w:rPr>
                    <w:t>废气处理设施</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eastAsia" w:ascii="Times New Roman" w:cs="Times New Roman"/>
                      <w:sz w:val="18"/>
                      <w:szCs w:val="18"/>
                      <w:u w:val="wave"/>
                      <w:lang w:val="en-US" w:eastAsia="zh-CN"/>
                    </w:rPr>
                    <w:t>废活性炭</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u w:val="wave"/>
                      <w:lang w:val="en-US" w:eastAsia="zh-CN" w:bidi="ar-SA"/>
                    </w:rPr>
                  </w:pPr>
                  <w:r>
                    <w:rPr>
                      <w:rFonts w:hint="eastAsia" w:ascii="Times New Roman" w:cs="Times New Roman"/>
                      <w:kern w:val="0"/>
                      <w:sz w:val="18"/>
                      <w:szCs w:val="18"/>
                      <w:u w:val="wave"/>
                      <w:lang w:val="en-US" w:eastAsia="zh-CN" w:bidi="ar-SA"/>
                    </w:rPr>
                    <w:t>900-039-49</w:t>
                  </w:r>
                </w:p>
              </w:tc>
              <w:tc>
                <w:tcPr>
                  <w:tcW w:w="408"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u w:val="wave"/>
                      <w:lang w:val="en-US" w:eastAsia="zh-CN" w:bidi="ar-SA"/>
                    </w:rPr>
                  </w:pPr>
                  <w:r>
                    <w:rPr>
                      <w:rFonts w:hint="default" w:ascii="Times New Roman" w:hAnsi="Times New Roman" w:eastAsia="宋体" w:cs="Times New Roman"/>
                      <w:sz w:val="18"/>
                      <w:szCs w:val="18"/>
                      <w:u w:val="wave"/>
                      <w:lang w:val="en-US" w:eastAsia="zh-CN"/>
                    </w:rPr>
                    <w:t>危险废物</w:t>
                  </w:r>
                </w:p>
              </w:tc>
              <w:tc>
                <w:tcPr>
                  <w:tcW w:w="433"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u w:val="wave"/>
                      <w:lang w:val="en-US" w:eastAsia="zh-CN" w:bidi="ar-SA"/>
                    </w:rPr>
                  </w:pPr>
                  <w:r>
                    <w:rPr>
                      <w:rFonts w:hint="default" w:ascii="Times New Roman" w:hAnsi="Times New Roman" w:eastAsia="宋体" w:cs="Times New Roman"/>
                      <w:sz w:val="18"/>
                      <w:szCs w:val="18"/>
                      <w:u w:val="wave"/>
                      <w:lang w:val="en-US" w:eastAsia="zh-CN"/>
                    </w:rPr>
                    <w:t>固态</w:t>
                  </w:r>
                </w:p>
              </w:tc>
              <w:tc>
                <w:tcPr>
                  <w:tcW w:w="561"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18"/>
                      <w:szCs w:val="18"/>
                      <w:u w:val="wave"/>
                      <w:lang w:val="en-US" w:eastAsia="zh-CN" w:bidi="ar-SA"/>
                    </w:rPr>
                  </w:pPr>
                  <w:r>
                    <w:rPr>
                      <w:rFonts w:hint="eastAsia" w:ascii="Times New Roman" w:hAnsi="Times New Roman" w:eastAsia="宋体" w:cs="Times New Roman"/>
                      <w:i w:val="0"/>
                      <w:iCs w:val="0"/>
                      <w:color w:val="000000"/>
                      <w:kern w:val="0"/>
                      <w:sz w:val="18"/>
                      <w:szCs w:val="18"/>
                      <w:u w:val="wave"/>
                      <w:lang w:val="en-US" w:eastAsia="zh-CN" w:bidi="ar"/>
                    </w:rPr>
                    <w:t>1</w:t>
                  </w:r>
                </w:p>
              </w:tc>
              <w:tc>
                <w:tcPr>
                  <w:tcW w:w="675"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u w:val="wave"/>
                      <w:lang w:val="en-US" w:eastAsia="zh-CN" w:bidi="ar-SA"/>
                    </w:rPr>
                  </w:pPr>
                  <w:r>
                    <w:rPr>
                      <w:rFonts w:hint="default" w:ascii="Times New Roman" w:hAnsi="Times New Roman" w:eastAsia="宋体" w:cs="Times New Roman"/>
                      <w:sz w:val="18"/>
                      <w:szCs w:val="18"/>
                      <w:u w:val="wave"/>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51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default" w:ascii="Times New Roman" w:hAnsi="Times New Roman" w:eastAsia="宋体" w:cs="Times New Roman"/>
                      <w:sz w:val="18"/>
                      <w:szCs w:val="18"/>
                      <w:u w:val="wave"/>
                      <w:lang w:val="en-US" w:eastAsia="zh-CN"/>
                    </w:rPr>
                    <w:t>初期雨水、车间拖洗废水处理</w:t>
                  </w:r>
                </w:p>
              </w:tc>
              <w:tc>
                <w:tcPr>
                  <w:tcW w:w="72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default" w:ascii="Times New Roman" w:hAnsi="Times New Roman" w:eastAsia="宋体" w:cs="Times New Roman"/>
                      <w:sz w:val="18"/>
                      <w:szCs w:val="18"/>
                      <w:u w:val="wave"/>
                      <w:lang w:val="en-US" w:eastAsia="zh-CN"/>
                    </w:rPr>
                    <w:t>初期雨水收集池、隔油沉淀池废油及污泥</w:t>
                  </w:r>
                </w:p>
              </w:tc>
              <w:tc>
                <w:tcPr>
                  <w:tcW w:w="852" w:type="pct"/>
                  <w:tcBorders>
                    <w:tl2br w:val="nil"/>
                    <w:tr2bl w:val="nil"/>
                  </w:tcBorders>
                  <w:shd w:val="clear" w:color="auto" w:fill="auto"/>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kern w:val="0"/>
                      <w:sz w:val="18"/>
                      <w:szCs w:val="18"/>
                      <w:u w:val="wave"/>
                      <w:lang w:val="en-US" w:eastAsia="zh-CN" w:bidi="ar-SA"/>
                    </w:rPr>
                  </w:pPr>
                  <w:r>
                    <w:rPr>
                      <w:rFonts w:hint="default" w:ascii="Times New Roman" w:hAnsi="Times New Roman" w:eastAsia="宋体" w:cs="Times New Roman"/>
                      <w:kern w:val="0"/>
                      <w:sz w:val="18"/>
                      <w:szCs w:val="18"/>
                      <w:u w:val="wave"/>
                      <w:lang w:val="en-US" w:eastAsia="zh-CN" w:bidi="ar-SA"/>
                    </w:rPr>
                    <w:t>900-210-08</w:t>
                  </w:r>
                </w:p>
              </w:tc>
              <w:tc>
                <w:tcPr>
                  <w:tcW w:w="408"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default" w:ascii="Times New Roman" w:hAnsi="Times New Roman" w:eastAsia="宋体" w:cs="Times New Roman"/>
                      <w:sz w:val="18"/>
                      <w:szCs w:val="18"/>
                      <w:u w:val="wave"/>
                      <w:lang w:val="en-US" w:eastAsia="zh-CN"/>
                    </w:rPr>
                    <w:t>危险废物</w:t>
                  </w:r>
                </w:p>
              </w:tc>
              <w:tc>
                <w:tcPr>
                  <w:tcW w:w="433"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default" w:ascii="Times New Roman" w:hAnsi="Times New Roman" w:eastAsia="宋体" w:cs="Times New Roman"/>
                      <w:sz w:val="18"/>
                      <w:szCs w:val="18"/>
                      <w:u w:val="wave"/>
                      <w:lang w:val="en-US" w:eastAsia="zh-CN"/>
                    </w:rPr>
                    <w:t>液态</w:t>
                  </w:r>
                </w:p>
              </w:tc>
              <w:tc>
                <w:tcPr>
                  <w:tcW w:w="561"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sz w:val="18"/>
                      <w:szCs w:val="18"/>
                      <w:u w:val="wave"/>
                      <w:lang w:val="en-US" w:eastAsia="zh-CN"/>
                    </w:rPr>
                  </w:pPr>
                  <w:r>
                    <w:rPr>
                      <w:rFonts w:hint="default" w:ascii="Times New Roman" w:hAnsi="Times New Roman" w:eastAsia="宋体" w:cs="Times New Roman"/>
                      <w:sz w:val="18"/>
                      <w:szCs w:val="18"/>
                      <w:u w:val="wave"/>
                      <w:lang w:val="en-US" w:eastAsia="zh-CN"/>
                    </w:rPr>
                    <w:t>1.2</w:t>
                  </w:r>
                </w:p>
              </w:tc>
              <w:tc>
                <w:tcPr>
                  <w:tcW w:w="675" w:type="pct"/>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u w:val="wave"/>
                      <w:lang w:val="en-US" w:eastAsia="zh-CN"/>
                    </w:rPr>
                  </w:pPr>
                  <w:r>
                    <w:rPr>
                      <w:rFonts w:hint="default" w:ascii="Times New Roman" w:hAnsi="Times New Roman" w:eastAsia="宋体" w:cs="Times New Roman"/>
                      <w:sz w:val="18"/>
                      <w:szCs w:val="18"/>
                      <w:u w:val="wave"/>
                      <w:lang w:val="en-US" w:eastAsia="zh-CN"/>
                    </w:rPr>
                    <w:t>专用容器</w:t>
                  </w:r>
                </w:p>
              </w:tc>
              <w:tc>
                <w:tcPr>
                  <w:tcW w:w="829" w:type="pct"/>
                  <w:vMerge w:val="continue"/>
                  <w:tcBorders>
                    <w:tl2br w:val="nil"/>
                    <w:tr2bl w:val="nil"/>
                  </w:tcBorders>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rPr>
                      <w:rFonts w:hint="default" w:ascii="Times New Roman" w:hAnsi="Times New Roman" w:eastAsia="宋体" w:cs="Times New Roman"/>
                      <w:sz w:val="18"/>
                      <w:szCs w:val="18"/>
                      <w:lang w:val="en-US" w:eastAsia="zh-CN"/>
                    </w:rPr>
                  </w:pPr>
                </w:p>
              </w:tc>
            </w:tr>
          </w:tbl>
          <w:p>
            <w:pPr>
              <w:pStyle w:val="9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宋体" w:cs="Times New Roman"/>
                <w:sz w:val="21"/>
              </w:rPr>
            </w:pPr>
            <w:r>
              <w:rPr>
                <w:rFonts w:ascii="Times New Roman" w:hAnsi="Times New Roman" w:eastAsia="宋体" w:cs="Times New Roman"/>
                <w:sz w:val="21"/>
              </w:rPr>
              <w:t>表4-</w:t>
            </w:r>
            <w:r>
              <w:rPr>
                <w:rFonts w:hint="eastAsia" w:ascii="Times New Roman" w:hAnsi="Times New Roman" w:eastAsia="宋体" w:cs="Times New Roman"/>
                <w:sz w:val="21"/>
                <w:lang w:val="en-US" w:eastAsia="zh-CN"/>
              </w:rPr>
              <w:t xml:space="preserve">13 </w:t>
            </w:r>
            <w:r>
              <w:rPr>
                <w:rFonts w:ascii="Times New Roman" w:hAnsi="Times New Roman" w:eastAsia="宋体" w:cs="Times New Roman"/>
                <w:sz w:val="21"/>
              </w:rPr>
              <w:t xml:space="preserve"> 危险废物产生情况一览表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576"/>
              <w:gridCol w:w="1157"/>
              <w:gridCol w:w="1176"/>
              <w:gridCol w:w="1157"/>
              <w:gridCol w:w="1157"/>
              <w:gridCol w:w="11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序号</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名称</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危废类别</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危废代码</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产生量</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主要成分</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危险特性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shd w:val="clear" w:color="auto" w:fill="auto"/>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970" w:type="pct"/>
                  <w:tcBorders>
                    <w:tl2br w:val="nil"/>
                    <w:tr2bl w:val="nil"/>
                  </w:tcBorders>
                  <w:shd w:val="clear" w:color="auto" w:fill="auto"/>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废铅蓄电池</w:t>
                  </w:r>
                </w:p>
              </w:tc>
              <w:tc>
                <w:tcPr>
                  <w:tcW w:w="712" w:type="pct"/>
                  <w:tcBorders>
                    <w:tl2br w:val="nil"/>
                    <w:tr2bl w:val="nil"/>
                  </w:tcBorders>
                  <w:shd w:val="clear" w:color="auto" w:fill="auto"/>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HW31</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含铅废物</w:t>
                  </w:r>
                </w:p>
              </w:tc>
              <w:tc>
                <w:tcPr>
                  <w:tcW w:w="724" w:type="pct"/>
                  <w:tcBorders>
                    <w:tl2br w:val="nil"/>
                    <w:tr2bl w:val="nil"/>
                  </w:tcBorders>
                  <w:shd w:val="clear" w:color="auto" w:fill="auto"/>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900-052-31</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158.6</w:t>
                  </w:r>
                </w:p>
              </w:tc>
              <w:tc>
                <w:tcPr>
                  <w:tcW w:w="712" w:type="pct"/>
                  <w:tcBorders>
                    <w:tl2br w:val="nil"/>
                    <w:tr2bl w:val="nil"/>
                  </w:tcBorders>
                  <w:shd w:val="clear" w:color="auto" w:fill="auto"/>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含铅、稀硫酸</w:t>
                  </w:r>
                </w:p>
              </w:tc>
              <w:tc>
                <w:tcPr>
                  <w:tcW w:w="713" w:type="pct"/>
                  <w:tcBorders>
                    <w:tl2br w:val="nil"/>
                    <w:tr2bl w:val="nil"/>
                  </w:tcBorders>
                  <w:shd w:val="clear" w:color="auto" w:fill="auto"/>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废油液（机油、润滑油、液压油、制动液等）</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HW08</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废矿物油与含矿物油废物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900-199-08</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51.145</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废矿物油</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燃料油（汽柴油）</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HW08</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废矿物油与含矿物油废物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900-199-08</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27.775</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废矿物油</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废有机溶剂与含有机溶剂废物（防冻液、冷却液）</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HW06</w:t>
                  </w:r>
                </w:p>
                <w:p>
                  <w:pPr>
                    <w:keepNext w:val="0"/>
                    <w:keepLines w:val="0"/>
                    <w:pageBreakBefore w:val="0"/>
                    <w:widowControl w:val="0"/>
                    <w:kinsoku/>
                    <w:wordWrap/>
                    <w:overflowPunct/>
                    <w:topLinePunct w:val="0"/>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废有机溶剂与含有机溶剂废物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900-404-06</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7.13</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有机溶剂</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T，I，R</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废滤清器</w:t>
                  </w:r>
                </w:p>
              </w:tc>
              <w:tc>
                <w:tcPr>
                  <w:tcW w:w="71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HW49</w:t>
                  </w: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其他废物</w:t>
                  </w:r>
                </w:p>
              </w:tc>
              <w:tc>
                <w:tcPr>
                  <w:tcW w:w="72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900-041-49</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13.4</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废矿物油</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T/In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抹布手套/吸油毡</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HW49</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其他废物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color w:val="auto"/>
                      <w:sz w:val="21"/>
                      <w:szCs w:val="21"/>
                      <w:u w:val="none" w:color="auto"/>
                      <w:lang w:val="en-US" w:eastAsia="zh-CN"/>
                    </w:rPr>
                    <w:t>900-041-49</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废矿物油</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T/In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7</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废空调制冷剂*</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4.145</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R12、R22、R134a</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毒性（温室气体）*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废尾气净化装置</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HW50</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废催化剂</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900-049-50</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23.75</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催化剂</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9</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含多氯联苯的电容器</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HW10</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多氯（溴）联苯类废物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900-008-10</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3.03</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多氯联苯</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10</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废电路板</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HW49</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其他废物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900-045-49</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1.81</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铅、汞、镉、铬等</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废有毒物质部件</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HW49</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其他废物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900-045-49</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19.74</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含汞开关、含铅部件</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u w:val="wave"/>
                      <w:lang w:val="en-US" w:eastAsia="zh-CN"/>
                    </w:rPr>
                  </w:pPr>
                  <w:r>
                    <w:rPr>
                      <w:rFonts w:hint="eastAsia" w:ascii="Times New Roman" w:cs="Times New Roman"/>
                      <w:sz w:val="21"/>
                      <w:szCs w:val="21"/>
                      <w:u w:val="wave"/>
                      <w:lang w:val="en-US" w:eastAsia="zh-CN"/>
                    </w:rPr>
                    <w:t>12</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u w:val="wave"/>
                      <w:lang w:val="en-US" w:eastAsia="zh-CN"/>
                    </w:rPr>
                  </w:pPr>
                  <w:r>
                    <w:rPr>
                      <w:rFonts w:hint="eastAsia" w:ascii="Times New Roman" w:cs="Times New Roman"/>
                      <w:sz w:val="21"/>
                      <w:szCs w:val="21"/>
                      <w:u w:val="wave"/>
                      <w:lang w:val="en-US" w:eastAsia="zh-CN"/>
                    </w:rPr>
                    <w:t>废活性炭</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eastAsia="宋体" w:cs="Times New Roman"/>
                      <w:kern w:val="0"/>
                      <w:sz w:val="21"/>
                      <w:szCs w:val="21"/>
                      <w:u w:val="wave"/>
                      <w:lang w:val="en-US" w:eastAsia="zh-CN" w:bidi="ar-SA"/>
                    </w:rPr>
                    <w:t>HW49</w:t>
                  </w:r>
                </w:p>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u w:val="wave"/>
                      <w:lang w:val="en-US" w:eastAsia="zh-CN" w:bidi="ar-SA"/>
                    </w:rPr>
                  </w:pPr>
                  <w:r>
                    <w:rPr>
                      <w:rFonts w:hint="default" w:ascii="Times New Roman" w:hAnsi="Times New Roman" w:eastAsia="宋体" w:cs="Times New Roman"/>
                      <w:kern w:val="0"/>
                      <w:sz w:val="21"/>
                      <w:szCs w:val="21"/>
                      <w:u w:val="wave"/>
                      <w:lang w:val="en-US" w:eastAsia="zh-CN" w:bidi="ar-SA"/>
                    </w:rPr>
                    <w:t>其他废物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kern w:val="0"/>
                      <w:sz w:val="21"/>
                      <w:szCs w:val="21"/>
                      <w:u w:val="wave"/>
                      <w:lang w:val="en-US" w:eastAsia="zh-CN" w:bidi="ar-SA"/>
                    </w:rPr>
                  </w:pPr>
                  <w:r>
                    <w:rPr>
                      <w:rFonts w:hint="eastAsia" w:ascii="Times New Roman" w:cs="Times New Roman"/>
                      <w:kern w:val="0"/>
                      <w:sz w:val="18"/>
                      <w:szCs w:val="18"/>
                      <w:u w:val="wave"/>
                      <w:lang w:val="en-US" w:eastAsia="zh-CN" w:bidi="ar-SA"/>
                    </w:rPr>
                    <w:t>900-039-49</w:t>
                  </w:r>
                </w:p>
              </w:tc>
              <w:tc>
                <w:tcPr>
                  <w:tcW w:w="712" w:type="pct"/>
                  <w:tcBorders>
                    <w:tl2br w:val="nil"/>
                    <w:tr2bl w:val="nil"/>
                  </w:tcBorders>
                  <w:shd w:val="clear" w:color="auto" w:fill="auto"/>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rPr>
                      <w:rFonts w:hint="default" w:ascii="Times New Roman" w:hAnsi="Times New Roman" w:eastAsia="宋体" w:cs="Times New Roman"/>
                      <w:i w:val="0"/>
                      <w:iCs w:val="0"/>
                      <w:color w:val="000000"/>
                      <w:kern w:val="0"/>
                      <w:sz w:val="21"/>
                      <w:szCs w:val="21"/>
                      <w:u w:val="wave"/>
                      <w:lang w:val="en-US" w:eastAsia="zh-CN" w:bidi="ar"/>
                    </w:rPr>
                  </w:pPr>
                  <w:r>
                    <w:rPr>
                      <w:rFonts w:hint="eastAsia" w:ascii="Times New Roman" w:cs="Times New Roman"/>
                      <w:i w:val="0"/>
                      <w:iCs w:val="0"/>
                      <w:color w:val="000000"/>
                      <w:kern w:val="0"/>
                      <w:sz w:val="21"/>
                      <w:szCs w:val="21"/>
                      <w:u w:val="wave"/>
                      <w:lang w:val="en-US" w:eastAsia="zh-CN" w:bidi="ar"/>
                    </w:rPr>
                    <w:t>1</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u w:val="wave"/>
                      <w:lang w:val="en-US" w:eastAsia="zh-CN"/>
                    </w:rPr>
                  </w:pPr>
                  <w:r>
                    <w:rPr>
                      <w:rFonts w:hint="eastAsia" w:ascii="Times New Roman" w:cs="Times New Roman"/>
                      <w:sz w:val="21"/>
                      <w:szCs w:val="21"/>
                      <w:u w:val="wave"/>
                      <w:lang w:val="en-US" w:eastAsia="zh-CN"/>
                    </w:rPr>
                    <w:t>废活性炭</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sz w:val="21"/>
                      <w:szCs w:val="21"/>
                      <w:u w:val="wave"/>
                      <w:lang w:val="en-US" w:eastAsia="zh-CN"/>
                    </w:rPr>
                  </w:pPr>
                  <w:r>
                    <w:rPr>
                      <w:rFonts w:hint="eastAsia" w:ascii="Times New Roman" w:cs="Times New Roman"/>
                      <w:sz w:val="21"/>
                      <w:szCs w:val="21"/>
                      <w:u w:val="wave"/>
                      <w:lang w:val="en-US" w:eastAsia="zh-CN"/>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ascii="Times New Roman" w:cs="Times New Roman"/>
                      <w:color w:val="auto"/>
                      <w:sz w:val="21"/>
                      <w:szCs w:val="21"/>
                      <w:lang w:val="en-US" w:eastAsia="zh-CN"/>
                    </w:rPr>
                    <w:t>3</w:t>
                  </w:r>
                </w:p>
              </w:tc>
              <w:tc>
                <w:tcPr>
                  <w:tcW w:w="970"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初期雨水收集池、隔油沉淀池废油及污泥</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HW08废矿物油与含矿物油废物</w:t>
                  </w:r>
                </w:p>
              </w:tc>
              <w:tc>
                <w:tcPr>
                  <w:tcW w:w="724"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900-210-08</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r>
                    <w:rPr>
                      <w:rFonts w:hint="eastAsia" w:ascii="Times New Roman" w:hAnsi="Times New Roman" w:eastAsia="宋体" w:cs="Times New Roman"/>
                      <w:color w:val="auto"/>
                      <w:sz w:val="21"/>
                      <w:szCs w:val="21"/>
                      <w:lang w:val="en-US" w:eastAsia="zh-CN"/>
                    </w:rPr>
                    <w:t>.2</w:t>
                  </w:r>
                </w:p>
              </w:tc>
              <w:tc>
                <w:tcPr>
                  <w:tcW w:w="712"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废矿物油</w:t>
                  </w:r>
                </w:p>
              </w:tc>
              <w:tc>
                <w:tcPr>
                  <w:tcW w:w="713" w:type="pct"/>
                  <w:tcBorders>
                    <w:tl2br w:val="nil"/>
                    <w:tr2bl w:val="nil"/>
                  </w:tcBorders>
                  <w:vAlign w:val="center"/>
                </w:tcPr>
                <w:p>
                  <w:pPr>
                    <w:pStyle w:val="44"/>
                    <w:keepNext w:val="0"/>
                    <w:keepLines w:val="0"/>
                    <w:pageBreakBefore w:val="0"/>
                    <w:widowControl w:val="0"/>
                    <w:kinsoku/>
                    <w:wordWrap/>
                    <w:overflowPunct/>
                    <w:topLinePunct w:val="0"/>
                    <w:bidi w:val="0"/>
                    <w:adjustRightInd/>
                    <w:snapToGrid/>
                    <w:spacing w:beforeLines="0" w:afterLines="0"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T，I</w:t>
                  </w:r>
                </w:p>
              </w:tc>
            </w:tr>
          </w:tbl>
          <w:p>
            <w:pPr>
              <w:bidi w:val="0"/>
              <w:spacing w:line="360" w:lineRule="auto"/>
              <w:rPr>
                <w:rFonts w:hint="default" w:ascii="Times New Roman" w:hAnsi="Times New Roman" w:eastAsia="宋体" w:cs="Times New Roman"/>
                <w:color w:val="auto"/>
                <w:sz w:val="21"/>
                <w:szCs w:val="24"/>
                <w:u w:val="none" w:color="auto"/>
              </w:rPr>
            </w:pPr>
            <w:r>
              <w:rPr>
                <w:rFonts w:hint="default" w:ascii="Times New Roman" w:hAnsi="Times New Roman" w:eastAsia="宋体" w:cs="Times New Roman"/>
                <w:color w:val="auto"/>
                <w:sz w:val="21"/>
                <w:szCs w:val="24"/>
                <w:u w:val="none" w:color="auto"/>
              </w:rPr>
              <w:t>注：*表示危险特性为《报废机动车拆解环境保护技术规范编制说明》中判定的危废特种。</w:t>
            </w:r>
          </w:p>
          <w:p>
            <w:pPr>
              <w:bidi w:val="0"/>
              <w:spacing w:line="360" w:lineRule="auto"/>
              <w:ind w:firstLine="482" w:firstLineChars="200"/>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2、</w:t>
            </w:r>
            <w:r>
              <w:rPr>
                <w:rFonts w:hint="default" w:ascii="Times New Roman" w:hAnsi="Times New Roman" w:eastAsia="宋体" w:cs="Times New Roman"/>
                <w:b/>
                <w:bCs/>
                <w:color w:val="auto"/>
                <w:sz w:val="24"/>
                <w:szCs w:val="32"/>
                <w:u w:val="none" w:color="auto"/>
                <w:lang w:val="en-US" w:eastAsia="zh-CN"/>
              </w:rPr>
              <w:t>环境管理要求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（1）事故应急池/消防池</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突发环境事件应急管理办法》（环境保护部令第34号）第九条明确，企业事业单位的突发环境事件风险防控措施包括有效防止泄漏物质、消防水、污染雨水等扩散至外环境的收集、导流、拦截、降污等措施。本项目事故应急池采取地下式；采取防渗、防腐、防洪、抗震等措施进行建设。且建设在厂区高程最低处。</w:t>
            </w:r>
          </w:p>
          <w:p>
            <w:pPr>
              <w:bidi w:val="0"/>
              <w:spacing w:line="360" w:lineRule="auto"/>
              <w:ind w:firstLine="480" w:firstLineChars="200"/>
              <w:rPr>
                <w:rFonts w:hint="default" w:ascii="Times New Roman" w:hAnsi="Times New Roman" w:eastAsia="宋体" w:cs="Times New Roman"/>
                <w:color w:val="auto"/>
                <w:sz w:val="24"/>
                <w:szCs w:val="32"/>
                <w:u w:val="none" w:color="auto"/>
                <w:vertAlign w:val="baseline"/>
                <w:lang w:val="en-US" w:eastAsia="zh-CN"/>
              </w:rPr>
            </w:pPr>
            <w:r>
              <w:rPr>
                <w:rFonts w:hint="default" w:ascii="Times New Roman" w:hAnsi="Times New Roman" w:eastAsia="宋体" w:cs="Times New Roman"/>
                <w:color w:val="auto"/>
                <w:sz w:val="24"/>
                <w:szCs w:val="32"/>
                <w:u w:val="none" w:color="auto"/>
                <w:lang w:val="en-US" w:eastAsia="zh-CN"/>
              </w:rPr>
              <w:t>本项目易泄露的危险废物有废油液、燃料油、废有机溶剂，一个月委外处理一次，厂区最大暂存量为</w:t>
            </w:r>
            <w:r>
              <w:rPr>
                <w:rFonts w:hint="eastAsia" w:ascii="Times New Roman" w:hAnsi="Times New Roman" w:eastAsia="宋体" w:cs="Times New Roman"/>
                <w:color w:val="auto"/>
                <w:sz w:val="24"/>
                <w:szCs w:val="32"/>
                <w:u w:val="none" w:color="auto"/>
                <w:lang w:val="en-US" w:eastAsia="zh-CN"/>
              </w:rPr>
              <w:t>7.2</w:t>
            </w:r>
            <w:r>
              <w:rPr>
                <w:rFonts w:hint="default" w:ascii="Times New Roman" w:hAnsi="Times New Roman" w:eastAsia="宋体" w:cs="Times New Roman"/>
                <w:color w:val="auto"/>
                <w:sz w:val="24"/>
                <w:szCs w:val="32"/>
                <w:u w:val="none" w:color="auto"/>
                <w:lang w:val="en-US" w:eastAsia="zh-CN"/>
              </w:rPr>
              <w:t>t，单次最大初期雨水量</w:t>
            </w:r>
            <w:r>
              <w:rPr>
                <w:rFonts w:hint="eastAsia" w:ascii="Times New Roman" w:hAnsi="Times New Roman" w:eastAsia="宋体" w:cs="Times New Roman"/>
                <w:color w:val="auto"/>
                <w:sz w:val="24"/>
                <w:szCs w:val="32"/>
                <w:u w:val="none" w:color="auto"/>
                <w:lang w:val="en-US" w:eastAsia="zh-CN"/>
              </w:rPr>
              <w:t>129.67</w:t>
            </w:r>
            <w:r>
              <w:rPr>
                <w:rFonts w:hint="default" w:ascii="Times New Roman" w:hAnsi="Times New Roman" w:eastAsia="宋体" w:cs="Times New Roman"/>
                <w:color w:val="auto"/>
                <w:sz w:val="24"/>
                <w:szCs w:val="32"/>
                <w:u w:val="none" w:color="auto"/>
                <w:lang w:val="en-US" w:eastAsia="zh-CN"/>
              </w:rPr>
              <w:t>m</w:t>
            </w:r>
            <w:r>
              <w:rPr>
                <w:rFonts w:hint="default" w:ascii="Times New Roman" w:hAnsi="Times New Roman" w:eastAsia="宋体" w:cs="Times New Roman"/>
                <w:color w:val="auto"/>
                <w:sz w:val="24"/>
                <w:szCs w:val="32"/>
                <w:u w:val="none" w:color="auto"/>
                <w:vertAlign w:val="superscript"/>
                <w:lang w:val="en-US" w:eastAsia="zh-CN"/>
              </w:rPr>
              <w:t>3</w:t>
            </w:r>
            <w:r>
              <w:rPr>
                <w:rFonts w:hint="default" w:ascii="Times New Roman" w:hAnsi="Times New Roman" w:eastAsia="宋体" w:cs="Times New Roman"/>
                <w:color w:val="auto"/>
                <w:sz w:val="24"/>
                <w:szCs w:val="32"/>
                <w:u w:val="none" w:color="auto"/>
                <w:lang w:val="en-US" w:eastAsia="zh-CN"/>
              </w:rPr>
              <w:t>。消防用水量根据《消防给水及消火栓系统技术规范》（GB50974-2014）计算，预估单次火灾持续时间2h，消防栓设计流量15L/S，消防水量108m</w:t>
            </w:r>
            <w:r>
              <w:rPr>
                <w:rFonts w:hint="default" w:ascii="Times New Roman" w:hAnsi="Times New Roman" w:eastAsia="宋体" w:cs="Times New Roman"/>
                <w:color w:val="auto"/>
                <w:sz w:val="24"/>
                <w:szCs w:val="32"/>
                <w:u w:val="none" w:color="auto"/>
                <w:vertAlign w:val="superscript"/>
                <w:lang w:val="en-US" w:eastAsia="zh-CN"/>
              </w:rPr>
              <w:t>3</w:t>
            </w:r>
            <w:r>
              <w:rPr>
                <w:rFonts w:hint="default" w:ascii="Times New Roman" w:hAnsi="Times New Roman" w:eastAsia="宋体" w:cs="Times New Roman"/>
                <w:color w:val="auto"/>
                <w:sz w:val="24"/>
                <w:szCs w:val="32"/>
                <w:u w:val="none" w:color="auto"/>
                <w:lang w:val="en-US" w:eastAsia="zh-CN"/>
              </w:rPr>
              <w:t>/次。故最大泄露废水量为</w:t>
            </w:r>
            <w:r>
              <w:rPr>
                <w:rFonts w:hint="eastAsia" w:ascii="Times New Roman" w:hAnsi="Times New Roman" w:eastAsia="宋体" w:cs="Times New Roman"/>
                <w:color w:val="auto"/>
                <w:sz w:val="24"/>
                <w:szCs w:val="32"/>
                <w:u w:val="none" w:color="auto"/>
                <w:lang w:val="en-US" w:eastAsia="zh-CN"/>
              </w:rPr>
              <w:t>244.87</w:t>
            </w:r>
            <w:r>
              <w:rPr>
                <w:rFonts w:hint="default" w:ascii="Times New Roman" w:hAnsi="Times New Roman" w:eastAsia="宋体" w:cs="Times New Roman"/>
                <w:color w:val="auto"/>
                <w:sz w:val="24"/>
                <w:szCs w:val="32"/>
                <w:u w:val="none" w:color="auto"/>
                <w:lang w:val="en-US" w:eastAsia="zh-CN"/>
              </w:rPr>
              <w:t>m</w:t>
            </w:r>
            <w:r>
              <w:rPr>
                <w:rFonts w:hint="default" w:ascii="Times New Roman" w:hAnsi="Times New Roman" w:eastAsia="宋体" w:cs="Times New Roman"/>
                <w:color w:val="auto"/>
                <w:sz w:val="24"/>
                <w:szCs w:val="32"/>
                <w:u w:val="none" w:color="auto"/>
                <w:vertAlign w:val="superscript"/>
                <w:lang w:val="en-US" w:eastAsia="zh-CN"/>
              </w:rPr>
              <w:t>3</w:t>
            </w:r>
            <w:r>
              <w:rPr>
                <w:rFonts w:hint="default" w:ascii="Times New Roman" w:hAnsi="Times New Roman" w:eastAsia="宋体" w:cs="Times New Roman"/>
                <w:color w:val="auto"/>
                <w:sz w:val="24"/>
                <w:szCs w:val="32"/>
                <w:u w:val="none" w:color="auto"/>
                <w:lang w:val="en-US" w:eastAsia="zh-CN"/>
              </w:rPr>
              <w:t>。厂区内</w:t>
            </w:r>
            <w:r>
              <w:rPr>
                <w:rFonts w:hint="default" w:ascii="Times New Roman" w:hAnsi="Times New Roman" w:eastAsia="宋体" w:cs="Times New Roman"/>
                <w:color w:val="auto"/>
                <w:sz w:val="24"/>
                <w:szCs w:val="32"/>
                <w:u w:val="none" w:color="auto"/>
              </w:rPr>
              <w:t>围堰、防火堤、排水设施等</w:t>
            </w:r>
            <w:r>
              <w:rPr>
                <w:rFonts w:hint="default" w:ascii="Times New Roman" w:hAnsi="Times New Roman" w:eastAsia="宋体" w:cs="Times New Roman"/>
                <w:color w:val="auto"/>
                <w:sz w:val="24"/>
                <w:szCs w:val="32"/>
                <w:u w:val="none" w:color="auto"/>
                <w:lang w:val="en-US" w:eastAsia="zh-CN"/>
              </w:rPr>
              <w:t>具有</w:t>
            </w:r>
            <w:r>
              <w:rPr>
                <w:rFonts w:hint="default" w:ascii="Times New Roman" w:hAnsi="Times New Roman" w:eastAsia="宋体" w:cs="Times New Roman"/>
                <w:color w:val="auto"/>
                <w:sz w:val="24"/>
                <w:szCs w:val="32"/>
                <w:u w:val="none" w:color="auto"/>
              </w:rPr>
              <w:t>暂存事故废水</w:t>
            </w:r>
            <w:r>
              <w:rPr>
                <w:rFonts w:hint="default" w:ascii="Times New Roman" w:hAnsi="Times New Roman" w:eastAsia="宋体" w:cs="Times New Roman"/>
                <w:color w:val="auto"/>
                <w:sz w:val="24"/>
                <w:szCs w:val="32"/>
                <w:u w:val="none" w:color="auto"/>
                <w:lang w:val="en-US" w:eastAsia="zh-CN"/>
              </w:rPr>
              <w:t>功能</w:t>
            </w:r>
            <w:r>
              <w:rPr>
                <w:rFonts w:hint="default" w:ascii="Times New Roman" w:hAnsi="Times New Roman" w:eastAsia="宋体" w:cs="Times New Roman"/>
                <w:color w:val="auto"/>
                <w:sz w:val="24"/>
                <w:szCs w:val="32"/>
                <w:u w:val="none" w:color="auto"/>
                <w:lang w:eastAsia="zh-CN"/>
              </w:rPr>
              <w:t>，</w:t>
            </w:r>
            <w:r>
              <w:rPr>
                <w:rFonts w:hint="default" w:ascii="Times New Roman" w:hAnsi="Times New Roman" w:eastAsia="宋体" w:cs="Times New Roman"/>
                <w:color w:val="auto"/>
                <w:sz w:val="24"/>
                <w:szCs w:val="32"/>
                <w:u w:val="none" w:color="auto"/>
                <w:lang w:val="en-US" w:eastAsia="zh-CN"/>
              </w:rPr>
              <w:t>本项目厂区内建有消防栓，接通消防用水，可满足消防用水需求，无须建设消防水池，</w:t>
            </w:r>
            <w:r>
              <w:rPr>
                <w:rFonts w:hint="eastAsia" w:ascii="Times New Roman" w:hAnsi="Times New Roman" w:eastAsia="宋体" w:cs="Times New Roman"/>
                <w:color w:val="auto"/>
                <w:sz w:val="24"/>
                <w:szCs w:val="32"/>
                <w:u w:val="none" w:color="auto"/>
                <w:lang w:val="en-US" w:eastAsia="zh-CN"/>
              </w:rPr>
              <w:t>项目拟设收集池1</w:t>
            </w:r>
            <w:r>
              <w:rPr>
                <w:rFonts w:hint="eastAsia" w:cs="Times New Roman"/>
                <w:color w:val="auto"/>
                <w:sz w:val="24"/>
                <w:szCs w:val="32"/>
                <w:u w:val="none" w:color="auto"/>
                <w:lang w:val="en-US" w:eastAsia="zh-CN"/>
              </w:rPr>
              <w:t>5</w:t>
            </w:r>
            <w:r>
              <w:rPr>
                <w:rFonts w:hint="eastAsia" w:ascii="Times New Roman" w:hAnsi="Times New Roman" w:eastAsia="宋体" w:cs="Times New Roman"/>
                <w:color w:val="auto"/>
                <w:sz w:val="24"/>
                <w:szCs w:val="32"/>
                <w:u w:val="none" w:color="auto"/>
                <w:lang w:val="en-US" w:eastAsia="zh-CN"/>
              </w:rPr>
              <w:t>0m</w:t>
            </w:r>
            <w:r>
              <w:rPr>
                <w:rFonts w:hint="eastAsia" w:ascii="Times New Roman" w:hAnsi="Times New Roman" w:eastAsia="宋体" w:cs="Times New Roman"/>
                <w:color w:val="auto"/>
                <w:sz w:val="24"/>
                <w:szCs w:val="32"/>
                <w:u w:val="none" w:color="auto"/>
                <w:vertAlign w:val="superscript"/>
                <w:lang w:val="en-US" w:eastAsia="zh-CN"/>
              </w:rPr>
              <w:t>3</w:t>
            </w:r>
            <w:r>
              <w:rPr>
                <w:rFonts w:hint="eastAsia" w:ascii="Times New Roman" w:hAnsi="Times New Roman" w:eastAsia="宋体" w:cs="Times New Roman"/>
                <w:color w:val="auto"/>
                <w:sz w:val="24"/>
                <w:szCs w:val="32"/>
                <w:u w:val="none" w:color="auto"/>
                <w:vertAlign w:val="baseline"/>
                <w:lang w:val="en-US" w:eastAsia="zh-CN"/>
              </w:rPr>
              <w:t>，用于收集初期雨水池和车间地面拖洗废水，另拟设不小于140</w:t>
            </w:r>
            <w:r>
              <w:rPr>
                <w:rFonts w:hint="eastAsia" w:ascii="Times New Roman" w:hAnsi="Times New Roman" w:eastAsia="宋体" w:cs="Times New Roman"/>
                <w:color w:val="auto"/>
                <w:sz w:val="24"/>
                <w:szCs w:val="32"/>
                <w:u w:val="none" w:color="auto"/>
                <w:lang w:val="en-US" w:eastAsia="zh-CN"/>
              </w:rPr>
              <w:t>m</w:t>
            </w:r>
            <w:r>
              <w:rPr>
                <w:rFonts w:hint="eastAsia" w:ascii="Times New Roman" w:hAnsi="Times New Roman" w:eastAsia="宋体" w:cs="Times New Roman"/>
                <w:color w:val="auto"/>
                <w:sz w:val="24"/>
                <w:szCs w:val="32"/>
                <w:u w:val="none" w:color="auto"/>
                <w:vertAlign w:val="superscript"/>
                <w:lang w:val="en-US" w:eastAsia="zh-CN"/>
              </w:rPr>
              <w:t>3</w:t>
            </w:r>
            <w:r>
              <w:rPr>
                <w:rFonts w:hint="eastAsia" w:ascii="Times New Roman" w:hAnsi="Times New Roman" w:eastAsia="宋体" w:cs="Times New Roman"/>
                <w:color w:val="auto"/>
                <w:sz w:val="24"/>
                <w:szCs w:val="32"/>
                <w:u w:val="none" w:color="auto"/>
                <w:vertAlign w:val="baseline"/>
                <w:lang w:val="en-US" w:eastAsia="zh-CN"/>
              </w:rPr>
              <w:t>事故应急池，用于收集消防废水和</w:t>
            </w:r>
            <w:r>
              <w:rPr>
                <w:rFonts w:hint="default" w:ascii="Times New Roman" w:hAnsi="Times New Roman" w:eastAsia="宋体" w:cs="Times New Roman"/>
                <w:color w:val="auto"/>
                <w:sz w:val="24"/>
                <w:szCs w:val="32"/>
                <w:u w:val="none" w:color="auto"/>
                <w:lang w:val="en-US" w:eastAsia="zh-CN"/>
              </w:rPr>
              <w:t>易</w:t>
            </w:r>
            <w:r>
              <w:rPr>
                <w:rFonts w:hint="eastAsia" w:ascii="Times New Roman" w:hAnsi="Times New Roman" w:eastAsia="宋体" w:cs="Times New Roman"/>
                <w:color w:val="auto"/>
                <w:sz w:val="24"/>
                <w:szCs w:val="32"/>
                <w:u w:val="none" w:color="auto"/>
                <w:vertAlign w:val="baseline"/>
                <w:lang w:val="en-US" w:eastAsia="zh-CN"/>
              </w:rPr>
              <w:t>泄露的危废。</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（2）管理要求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对于汽车拆解下来的固废，项目利用危废暂存间贮存危险废物，固废暂存间贮存可回收利用的一般固体废弃物。其中，危废贮存场所必须严格按照《报废机动车拆解环境保护技术规范》（HJ348-2022）及《危险废物贮存污染控制标准》（GB18597-2023）及其修改单的要求设置危废暂存间和管理危险废物，严格按照《报废机动车回收拆解企业技术规范》（GB22128-2019）贮存，项目产生的危险废物应分类收集和存放，暂存于专用的危险废物暂存间内，委托有资质单位安全处置，具体要求如下：</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①固体废物的贮存设施建设应符合GB18599、GB18597、HJ2025的要求。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②一般工业固体废物贮存设施及包装物应按GB15562.2进行标识，危险废物贮存设施及包装物的标志应符合GB18597的要求。所有固体废物应避免混合、混放。</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③对拆解后的所有固体废物分类贮存和标识，妥善处置固体废物，不应非法转移、倾倒、利用和处置。</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④不同类型的制冷剂应分别回收，使用专门容器单独存放。</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⑤废弃电器、铅蓄电池贮存场地不得有明火。</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⑥容器和装置要防漏和防止洒溅</w:t>
            </w:r>
            <w:r>
              <w:rPr>
                <w:rFonts w:hint="eastAsia" w:ascii="Times New Roman" w:hAnsi="Times New Roman" w:eastAsia="宋体" w:cs="Times New Roman"/>
                <w:color w:val="auto"/>
                <w:sz w:val="24"/>
                <w:szCs w:val="32"/>
                <w:u w:val="none" w:color="auto"/>
                <w:lang w:val="en-US" w:eastAsia="zh-CN"/>
              </w:rPr>
              <w:t>功能</w:t>
            </w:r>
            <w:r>
              <w:rPr>
                <w:rFonts w:hint="default" w:ascii="Times New Roman" w:hAnsi="Times New Roman" w:eastAsia="宋体" w:cs="Times New Roman"/>
                <w:color w:val="auto"/>
                <w:sz w:val="24"/>
                <w:szCs w:val="32"/>
                <w:u w:val="none" w:color="auto"/>
                <w:lang w:val="en-US" w:eastAsia="zh-CN"/>
              </w:rPr>
              <w:t>，未引爆安全气囊的贮存装置应防爆，并对其进行日常性检查。</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⑦危险废物暂存间做好防风、防雨、防晒和防渗漏措施，防渗层建议采用2mm厚HDPE防渗膜或其他人工材料，以达到地表防渗目的。</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⑧危废暂存间内部设置分区，确保危险废物分类收集和装入对应的贮存容器单独贮存，禁止混装。</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⑨废铅蓄电池、废尾气净化装置（含催化剂）、废油液、废空调制冷剂采用专门的收集容器分类收集，容器外必须贴上相应的危险废物标识标牌。</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⑩张贴危险废物标识标牌，建立危险废物管理台账；及时联系有资质单位转移和处置危险废物，并严格执行《危险废物转移联单制度》。</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（3）</w:t>
            </w:r>
            <w:r>
              <w:rPr>
                <w:rFonts w:hint="default" w:ascii="Times New Roman" w:hAnsi="Times New Roman" w:eastAsia="宋体" w:cs="Times New Roman"/>
                <w:color w:val="auto"/>
                <w:sz w:val="24"/>
                <w:szCs w:val="32"/>
                <w:u w:val="wave" w:color="auto"/>
                <w:lang w:val="en-US" w:eastAsia="zh-CN"/>
              </w:rPr>
              <w:t>危险废物贮存及运行管理要求</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default" w:ascii="Times New Roman" w:hAnsi="Times New Roman" w:eastAsia="宋体" w:cs="Times New Roman"/>
                <w:color w:val="auto"/>
                <w:sz w:val="24"/>
                <w:szCs w:val="32"/>
                <w:u w:val="wave" w:color="auto"/>
                <w:lang w:val="en-US" w:eastAsia="zh-CN"/>
              </w:rPr>
              <w:t>本项目对危险废物的详细管理办法及措施如下：</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1）</w:t>
            </w:r>
            <w:r>
              <w:rPr>
                <w:rFonts w:hint="default" w:ascii="Times New Roman" w:hAnsi="Times New Roman" w:eastAsia="宋体" w:cs="Times New Roman"/>
                <w:color w:val="auto"/>
                <w:sz w:val="24"/>
                <w:szCs w:val="32"/>
                <w:u w:val="wave" w:color="auto"/>
                <w:lang w:val="en-US" w:eastAsia="zh-CN"/>
              </w:rPr>
              <w:t>分类收集本单位产生的危险废物，按照类别分置于防渗漏、防锐器穿透的专用包装物或者密闭的容器内。</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2）</w:t>
            </w:r>
            <w:r>
              <w:rPr>
                <w:rFonts w:hint="default" w:ascii="Times New Roman" w:hAnsi="Times New Roman" w:eastAsia="宋体" w:cs="Times New Roman"/>
                <w:color w:val="auto"/>
                <w:sz w:val="24"/>
                <w:szCs w:val="32"/>
                <w:u w:val="wave" w:color="auto"/>
                <w:lang w:val="en-US" w:eastAsia="zh-CN"/>
              </w:rPr>
              <w:t>应当建设危险废物的暂时贮存设施、设备。</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3）</w:t>
            </w:r>
            <w:r>
              <w:rPr>
                <w:rFonts w:hint="default" w:ascii="Times New Roman" w:hAnsi="Times New Roman" w:eastAsia="宋体" w:cs="Times New Roman"/>
                <w:color w:val="auto"/>
                <w:sz w:val="24"/>
                <w:szCs w:val="32"/>
                <w:u w:val="wave" w:color="auto"/>
                <w:lang w:val="en-US" w:eastAsia="zh-CN"/>
              </w:rPr>
              <w:t>危险废物专用包装物、容器，应当有明显的警示标识和警示说明。</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4）</w:t>
            </w:r>
            <w:r>
              <w:rPr>
                <w:rFonts w:hint="default" w:ascii="Times New Roman" w:hAnsi="Times New Roman" w:eastAsia="宋体" w:cs="Times New Roman"/>
                <w:color w:val="auto"/>
                <w:sz w:val="24"/>
                <w:szCs w:val="32"/>
                <w:u w:val="wave" w:color="auto"/>
                <w:lang w:val="en-US" w:eastAsia="zh-CN"/>
              </w:rPr>
              <w:t>危险废物的暂时贮存设施、设备，应当远离人员活动区以及生活垃圾存放场所，并设置明显的警示标识和防漏、防鼠、防蚊蝇、防蟑螂、防盗以及预防儿童接触等安全措施。</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5）</w:t>
            </w:r>
            <w:r>
              <w:rPr>
                <w:rFonts w:hint="default" w:ascii="Times New Roman" w:hAnsi="Times New Roman" w:eastAsia="宋体" w:cs="Times New Roman"/>
                <w:color w:val="auto"/>
                <w:sz w:val="24"/>
                <w:szCs w:val="32"/>
                <w:u w:val="wave" w:color="auto"/>
                <w:lang w:val="en-US" w:eastAsia="zh-CN"/>
              </w:rPr>
              <w:t>危险废物的暂时贮存设施、设备应当定期消毒和清洁。</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6）</w:t>
            </w:r>
            <w:r>
              <w:rPr>
                <w:rFonts w:hint="default" w:ascii="Times New Roman" w:hAnsi="Times New Roman" w:eastAsia="宋体" w:cs="Times New Roman"/>
                <w:color w:val="auto"/>
                <w:sz w:val="24"/>
                <w:szCs w:val="32"/>
                <w:u w:val="wave" w:color="auto"/>
                <w:lang w:val="en-US" w:eastAsia="zh-CN"/>
              </w:rPr>
              <w:t>应使用防渗漏、防遗撒的专用运送工具，按照确定的内部危险废物运送时间、线路，将危险废物收集、运送到暂时贮存地点。</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7）</w:t>
            </w:r>
            <w:r>
              <w:rPr>
                <w:rFonts w:hint="default" w:ascii="Times New Roman" w:hAnsi="Times New Roman" w:eastAsia="宋体" w:cs="Times New Roman"/>
                <w:color w:val="auto"/>
                <w:sz w:val="24"/>
                <w:szCs w:val="32"/>
                <w:u w:val="wave" w:color="auto"/>
                <w:lang w:val="en-US" w:eastAsia="zh-CN"/>
              </w:rPr>
              <w:t>运送工具使用后应当在指定的地点及时消毒和清洁。</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eastAsia" w:cs="Times New Roman"/>
                <w:color w:val="auto"/>
                <w:sz w:val="24"/>
                <w:szCs w:val="32"/>
                <w:u w:val="wave" w:color="auto"/>
                <w:lang w:val="en-US" w:eastAsia="zh-CN"/>
              </w:rPr>
              <w:t>8）</w:t>
            </w:r>
            <w:r>
              <w:rPr>
                <w:rFonts w:hint="default" w:ascii="Times New Roman" w:hAnsi="Times New Roman" w:eastAsia="宋体" w:cs="Times New Roman"/>
                <w:color w:val="auto"/>
                <w:sz w:val="24"/>
                <w:szCs w:val="32"/>
                <w:u w:val="wave" w:color="auto"/>
                <w:lang w:val="en-US" w:eastAsia="zh-CN"/>
              </w:rPr>
              <w:t>暂存点需按照《危险废物贮存污染控制标准》（GB18597-2023）建设和维护。</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eastAsia" w:cs="Times New Roman"/>
                <w:color w:val="auto"/>
                <w:sz w:val="24"/>
                <w:szCs w:val="32"/>
                <w:u w:val="none" w:color="auto"/>
                <w:lang w:val="en-US" w:eastAsia="zh-CN"/>
              </w:rPr>
              <w:t>（4）</w:t>
            </w:r>
            <w:r>
              <w:rPr>
                <w:rFonts w:hint="default" w:ascii="Times New Roman" w:hAnsi="Times New Roman" w:eastAsia="宋体" w:cs="Times New Roman"/>
                <w:color w:val="auto"/>
                <w:sz w:val="24"/>
                <w:szCs w:val="32"/>
                <w:u w:val="none" w:color="auto"/>
                <w:lang w:val="en-US" w:eastAsia="zh-CN"/>
              </w:rPr>
              <w:t>危险废物转运要求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运输过程中使用符合标准的容器盛装危险废物：容器完好无损、材质满足相应的强度要求、衬里要与危险废物相容、容器上必须粘贴符合相应标准的标签，避免撒落。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危废废物转运应综合考虑确认转运路线，尽量避开车辆较多的路段，在转运的过程中应对转运路线进行检查，确保无危险废物撒落在转运路线上，在落实本环评提出的措施后，风险较小，不会给外环境造成二次污染。</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对于委托处理的危险废物，运输中应做到以下几点：</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①该运输车辆须经主管单位检查，并持有有关单位签发的许可证。负责运输的司机应通过培训，持有有效证件。</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②承载危险废物的车辆须有明显的标志或适当的危险符号，以引起注意。</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③载有危险废物的车辆在公路上行驶时，需持有运输许可证，其上应注明废物来源、性质和运往地点。</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④组装危险废物的运输单位，在事先需作出周密的运输计划和行驶路线，其中包括有效的废物泄漏情况下的应急措施。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综上，营运期固废均能够得到有效处置，对环境的影响较小。</w:t>
            </w:r>
          </w:p>
          <w:p>
            <w:pPr>
              <w:bidi w:val="0"/>
              <w:spacing w:line="360" w:lineRule="auto"/>
              <w:ind w:firstLine="482" w:firstLineChars="200"/>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3、</w:t>
            </w:r>
            <w:r>
              <w:rPr>
                <w:rFonts w:hint="default" w:ascii="Times New Roman" w:hAnsi="Times New Roman" w:eastAsia="宋体" w:cs="Times New Roman"/>
                <w:b/>
                <w:bCs/>
                <w:color w:val="auto"/>
                <w:sz w:val="24"/>
                <w:szCs w:val="32"/>
                <w:u w:val="none" w:color="auto"/>
                <w:lang w:val="en-US" w:eastAsia="zh-CN"/>
              </w:rPr>
              <w:t>危险废物暂存间环境影响分析</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1）危险废物暂存间建设情况</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本项目危废暂存间贮存危险废物，所在区域地质结构稳定，危废暂存间底部高于地下水最高水位，所在区域不处于易受自然灾害影响地区，危废暂存间平面布局图详见附图3平面布置图。</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2）危废废物贮存能力可行性分析</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根据工程分析可知，项目</w:t>
            </w:r>
            <w:r>
              <w:rPr>
                <w:rFonts w:hint="eastAsia" w:ascii="Times New Roman" w:hAnsi="Times New Roman" w:eastAsia="宋体" w:cs="Times New Roman"/>
                <w:color w:val="auto"/>
                <w:sz w:val="24"/>
                <w:szCs w:val="32"/>
                <w:u w:val="none" w:color="auto"/>
                <w:lang w:val="en-US" w:eastAsia="zh-CN"/>
              </w:rPr>
              <w:t>运营</w:t>
            </w:r>
            <w:r>
              <w:rPr>
                <w:rFonts w:hint="default" w:ascii="Times New Roman" w:hAnsi="Times New Roman" w:eastAsia="宋体" w:cs="Times New Roman"/>
                <w:color w:val="auto"/>
                <w:sz w:val="24"/>
                <w:szCs w:val="32"/>
                <w:u w:val="none" w:color="auto"/>
                <w:lang w:val="en-US" w:eastAsia="zh-CN"/>
              </w:rPr>
              <w:t>后产生的危险废物</w:t>
            </w:r>
            <w:r>
              <w:rPr>
                <w:rFonts w:hint="eastAsia" w:ascii="Times New Roman" w:hAnsi="Times New Roman" w:eastAsia="宋体" w:cs="Times New Roman"/>
                <w:color w:val="auto"/>
                <w:sz w:val="24"/>
                <w:szCs w:val="32"/>
                <w:u w:val="none" w:color="auto"/>
                <w:lang w:val="en-US" w:eastAsia="zh-CN"/>
              </w:rPr>
              <w:t>312.225</w:t>
            </w:r>
            <w:r>
              <w:rPr>
                <w:rFonts w:hint="default" w:ascii="Times New Roman" w:hAnsi="Times New Roman" w:eastAsia="宋体" w:cs="Times New Roman"/>
                <w:color w:val="auto"/>
                <w:sz w:val="24"/>
                <w:szCs w:val="32"/>
                <w:u w:val="none" w:color="auto"/>
                <w:lang w:val="en-US" w:eastAsia="zh-CN"/>
              </w:rPr>
              <w:t>t/a，危废暂存间面积10</w:t>
            </w:r>
            <w:r>
              <w:rPr>
                <w:rFonts w:hint="eastAsia" w:ascii="Times New Roman" w:hAnsi="Times New Roman" w:eastAsia="宋体" w:cs="Times New Roman"/>
                <w:color w:val="auto"/>
                <w:sz w:val="24"/>
                <w:szCs w:val="32"/>
                <w:u w:val="none" w:color="auto"/>
                <w:lang w:val="en-US" w:eastAsia="zh-CN"/>
              </w:rPr>
              <w:t>0</w:t>
            </w:r>
            <w:r>
              <w:rPr>
                <w:rFonts w:hint="default" w:ascii="Times New Roman" w:hAnsi="Times New Roman" w:eastAsia="宋体" w:cs="Times New Roman"/>
                <w:color w:val="auto"/>
                <w:sz w:val="24"/>
                <w:szCs w:val="32"/>
                <w:u w:val="none" w:color="auto"/>
                <w:lang w:val="en-US" w:eastAsia="zh-CN"/>
              </w:rPr>
              <w:t>m</w:t>
            </w:r>
            <w:r>
              <w:rPr>
                <w:rFonts w:hint="default" w:ascii="Times New Roman" w:hAnsi="Times New Roman" w:eastAsia="宋体" w:cs="Times New Roman"/>
                <w:color w:val="auto"/>
                <w:sz w:val="24"/>
                <w:szCs w:val="32"/>
                <w:u w:val="none" w:color="auto"/>
                <w:vertAlign w:val="superscript"/>
                <w:lang w:val="en-US" w:eastAsia="zh-CN"/>
              </w:rPr>
              <w:t>2</w:t>
            </w:r>
            <w:r>
              <w:rPr>
                <w:rFonts w:hint="default" w:ascii="Times New Roman" w:hAnsi="Times New Roman" w:eastAsia="宋体" w:cs="Times New Roman"/>
                <w:color w:val="auto"/>
                <w:sz w:val="24"/>
                <w:szCs w:val="32"/>
                <w:u w:val="none" w:color="auto"/>
                <w:lang w:val="en-US" w:eastAsia="zh-CN"/>
              </w:rPr>
              <w:t>，按照《报废机动车拆解环境保护技术规范》（HJ348-2022）要求，项目危险废物（除废铅蓄电池）存储期不得超过一年；按照《废铅酸蓄电池处理污染控制技术规范》（HJ519-2020）要求，本项目产生的废蓄电池贮存期最大不超过30d。项目危废最大储存量应严格落实本次评价提出的要求，详见表4-1</w:t>
            </w:r>
            <w:r>
              <w:rPr>
                <w:rFonts w:hint="eastAsia" w:ascii="Times New Roman" w:hAnsi="Times New Roman" w:eastAsia="宋体" w:cs="Times New Roman"/>
                <w:color w:val="auto"/>
                <w:sz w:val="24"/>
                <w:szCs w:val="32"/>
                <w:u w:val="none" w:color="auto"/>
                <w:lang w:val="en-US" w:eastAsia="zh-CN"/>
              </w:rPr>
              <w:t>4</w:t>
            </w:r>
            <w:r>
              <w:rPr>
                <w:rFonts w:hint="default" w:ascii="Times New Roman" w:hAnsi="Times New Roman" w:eastAsia="宋体" w:cs="Times New Roman"/>
                <w:color w:val="auto"/>
                <w:sz w:val="24"/>
                <w:szCs w:val="32"/>
                <w:u w:val="none" w:color="auto"/>
                <w:lang w:val="en-US" w:eastAsia="zh-CN"/>
              </w:rPr>
              <w:t>。</w:t>
            </w:r>
          </w:p>
          <w:p>
            <w:pPr>
              <w:bidi w:val="0"/>
              <w:spacing w:line="360" w:lineRule="auto"/>
              <w:ind w:left="0" w:leftChars="0" w:firstLine="0" w:firstLineChars="0"/>
              <w:jc w:val="center"/>
              <w:rPr>
                <w:rFonts w:hint="default" w:ascii="Times New Roman" w:hAnsi="Times New Roman" w:eastAsia="宋体" w:cs="Times New Roman"/>
                <w:b/>
                <w:bCs/>
                <w:color w:val="auto"/>
                <w:sz w:val="21"/>
                <w:szCs w:val="24"/>
                <w:u w:val="none" w:color="auto"/>
                <w:lang w:val="en-US" w:eastAsia="zh-CN"/>
              </w:rPr>
            </w:pPr>
            <w:r>
              <w:rPr>
                <w:rFonts w:hint="default" w:ascii="Times New Roman" w:hAnsi="Times New Roman" w:eastAsia="宋体" w:cs="Times New Roman"/>
                <w:b/>
                <w:bCs/>
                <w:color w:val="auto"/>
                <w:sz w:val="21"/>
                <w:szCs w:val="24"/>
                <w:u w:val="none" w:color="auto"/>
                <w:lang w:val="en-US" w:eastAsia="zh-CN"/>
              </w:rPr>
              <w:t>表4-1</w:t>
            </w:r>
            <w:r>
              <w:rPr>
                <w:rFonts w:hint="eastAsia" w:ascii="Times New Roman" w:hAnsi="Times New Roman" w:eastAsia="宋体" w:cs="Times New Roman"/>
                <w:b/>
                <w:bCs/>
                <w:color w:val="auto"/>
                <w:sz w:val="21"/>
                <w:szCs w:val="24"/>
                <w:u w:val="none" w:color="auto"/>
                <w:lang w:val="en-US" w:eastAsia="zh-CN"/>
              </w:rPr>
              <w:t>4</w:t>
            </w:r>
            <w:r>
              <w:rPr>
                <w:rFonts w:hint="default" w:ascii="Times New Roman" w:hAnsi="Times New Roman" w:eastAsia="宋体" w:cs="Times New Roman"/>
                <w:b/>
                <w:bCs/>
                <w:color w:val="auto"/>
                <w:sz w:val="21"/>
                <w:szCs w:val="24"/>
                <w:u w:val="none" w:color="auto"/>
                <w:lang w:val="en-US" w:eastAsia="zh-CN"/>
              </w:rPr>
              <w:t xml:space="preserve">  危废废物贮存能力可行性分析</w:t>
            </w:r>
          </w:p>
          <w:tbl>
            <w:tblPr>
              <w:tblStyle w:val="26"/>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291"/>
              <w:gridCol w:w="1240"/>
              <w:gridCol w:w="1269"/>
              <w:gridCol w:w="1192"/>
              <w:gridCol w:w="13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序号</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名称</w:t>
                  </w:r>
                </w:p>
              </w:tc>
              <w:tc>
                <w:tcPr>
                  <w:tcW w:w="76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产生量t/a</w:t>
                  </w:r>
                </w:p>
              </w:tc>
              <w:tc>
                <w:tcPr>
                  <w:tcW w:w="78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最大储存量t/a</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储存时间</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储存位置及容量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废铅蓄电池</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158.6</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13.22</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4</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废油液（机油、润滑油、液压油、制动液等）</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51.145</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4.26</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3</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燃料油</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27.775</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2.31</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4</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废有机溶剂与含有机溶剂废物</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7.13</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0.59</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5</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废滤清器</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13.4</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1.12</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6</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抹布手套/吸油毡</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0.5</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0.04</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1</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7</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废空调制冷剂</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4.145</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0.35</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8</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废尾气净化装置</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23.75</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1.98</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9</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含多氯联苯的电容器</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3.03</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0.25</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10</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废电路板</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1.81</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0.15</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2#，2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11</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废有毒物质部件</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19.74</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1.65</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12</w:t>
                  </w:r>
                </w:p>
              </w:tc>
              <w:tc>
                <w:tcPr>
                  <w:tcW w:w="141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初期雨水收集池、隔油沉淀池废油及污泥</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1.2</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0.10</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一个月</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w:t>
                  </w:r>
                  <w:r>
                    <w:rPr>
                      <w:rFonts w:hint="default" w:ascii="Times New Roman" w:hAnsi="Times New Roman" w:eastAsia="宋体" w:cs="Times New Roman"/>
                      <w:color w:val="auto"/>
                      <w:sz w:val="21"/>
                      <w:szCs w:val="21"/>
                      <w:u w:val="none" w:color="auto"/>
                      <w:lang w:val="en-US" w:eastAsia="zh-CN"/>
                    </w:rPr>
                    <w:t>#，2</w:t>
                  </w:r>
                  <w:r>
                    <w:rPr>
                      <w:rFonts w:hint="eastAsia" w:ascii="Times New Roman" w:hAnsi="Times New Roman" w:eastAsia="宋体" w:cs="Times New Roman"/>
                      <w:color w:val="auto"/>
                      <w:sz w:val="21"/>
                      <w:szCs w:val="21"/>
                      <w:u w:val="none" w:color="auto"/>
                      <w:lang w:val="en-US" w:eastAsia="zh-CN"/>
                    </w:rPr>
                    <w:t>5</w:t>
                  </w:r>
                  <w:r>
                    <w:rPr>
                      <w:rFonts w:hint="default" w:ascii="Times New Roman" w:hAnsi="Times New Roman" w:eastAsia="宋体" w:cs="Times New Roman"/>
                      <w:color w:val="auto"/>
                      <w:sz w:val="21"/>
                      <w:szCs w:val="21"/>
                      <w:u w:val="none" w:color="auto"/>
                      <w:lang w:val="en-US" w:eastAsia="zh-CN"/>
                    </w:rPr>
                    <w:t>m</w:t>
                  </w:r>
                  <w:r>
                    <w:rPr>
                      <w:rFonts w:hint="default" w:ascii="Times New Roman" w:hAnsi="Times New Roman" w:eastAsia="宋体" w:cs="Times New Roman"/>
                      <w:color w:val="auto"/>
                      <w:sz w:val="21"/>
                      <w:szCs w:val="21"/>
                      <w:u w:val="none" w:color="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84"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合计</w:t>
                  </w:r>
                </w:p>
              </w:tc>
              <w:tc>
                <w:tcPr>
                  <w:tcW w:w="12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312.225</w:t>
                  </w:r>
                </w:p>
              </w:tc>
              <w:tc>
                <w:tcPr>
                  <w:tcW w:w="127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eastAsia" w:ascii="Times New Roman" w:hAnsi="Times New Roman" w:eastAsia="宋体" w:cs="Times New Roman"/>
                      <w:color w:val="auto"/>
                      <w:sz w:val="21"/>
                      <w:szCs w:val="21"/>
                      <w:u w:val="none" w:color="auto"/>
                      <w:lang w:val="en-US" w:eastAsia="zh-CN"/>
                    </w:rPr>
                    <w:t>26.0</w:t>
                  </w:r>
                </w:p>
              </w:tc>
              <w:tc>
                <w:tcPr>
                  <w:tcW w:w="7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w:t>
                  </w:r>
                </w:p>
              </w:tc>
              <w:tc>
                <w:tcPr>
                  <w:tcW w:w="83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none" w:color="auto"/>
                      <w:lang w:val="en-US" w:eastAsia="zh-CN"/>
                    </w:rPr>
                  </w:pPr>
                  <w:r>
                    <w:rPr>
                      <w:rFonts w:hint="default" w:ascii="Times New Roman" w:hAnsi="Times New Roman" w:eastAsia="宋体" w:cs="Times New Roman"/>
                      <w:color w:val="auto"/>
                      <w:sz w:val="21"/>
                      <w:szCs w:val="21"/>
                      <w:u w:val="none" w:color="auto"/>
                      <w:lang w:val="en-US" w:eastAsia="zh-CN"/>
                    </w:rPr>
                    <w:t>/</w:t>
                  </w:r>
                </w:p>
              </w:tc>
            </w:tr>
          </w:tbl>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①危险废物的收集包装</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a、应使用符合国家标准的容器盛装危险废物；项目收集空调制冷剂采用专用制冷剂储藏罐暂存危废暂存间；废机油、汽油、柴油分别采用加仑桶装盛并密闭暂存危废暂存间；电容器、废电子部件用塑料桶盛装；催化剂、油水分离器废油、污泥、废吸油毡分别采用小型加仑油桶盛装暂存。空调制冷剂、废机油、汽油/柴油等危废均需分类、分区暂存。</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b、危险废物的收集容器应在醒目位置贴有危险废物标签，在收集场所醒目的地方设置危险废物警告标识。所有收集容器必须密闭。</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c、危险废物标签应标明以下信息：主要化学成分或危险废物名称、数量、物理形态、危险类别、安全措施以及危险废物产生单位名称、地址、联系人及电话。</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②新增危险废物的暂存要求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a、按GB15562.2《环境保护图形标识－－固体废物贮存（处置）场》设置警示标志。</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b、必须有耐腐蚀的硬化地面和基础防渗层，地面无裂隙；设施底部必须高于地下水最高水位，项目危废暂存间拟采用20cm厚混凝砼硬化层+2.0mm环氧树脂漆防腐、防渗层，保证渗透系数K≤1×10</w:t>
            </w:r>
            <w:r>
              <w:rPr>
                <w:rFonts w:hint="default" w:ascii="Times New Roman" w:hAnsi="Times New Roman" w:eastAsia="宋体" w:cs="Times New Roman"/>
                <w:color w:val="auto"/>
                <w:sz w:val="24"/>
                <w:szCs w:val="32"/>
                <w:u w:val="none" w:color="auto"/>
                <w:vertAlign w:val="superscript"/>
                <w:lang w:val="en-US" w:eastAsia="zh-CN"/>
              </w:rPr>
              <w:t>-10</w:t>
            </w:r>
            <w:r>
              <w:rPr>
                <w:rFonts w:hint="default" w:ascii="Times New Roman" w:hAnsi="Times New Roman" w:eastAsia="宋体" w:cs="Times New Roman"/>
                <w:color w:val="auto"/>
                <w:sz w:val="24"/>
                <w:szCs w:val="32"/>
                <w:u w:val="none" w:color="auto"/>
                <w:lang w:val="en-US" w:eastAsia="zh-CN"/>
              </w:rPr>
              <w:t>cm/s。</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c、要求必要的防风、防雨、防晒措施。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d、要求设置围堰。</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e、应配备通讯设备、照明设施、安全防护服装及工具，并设有报警装置和应急防护设施。</w:t>
            </w:r>
          </w:p>
          <w:p>
            <w:pPr>
              <w:bidi w:val="0"/>
              <w:spacing w:line="360" w:lineRule="auto"/>
              <w:ind w:firstLine="482" w:firstLineChars="200"/>
              <w:rPr>
                <w:rFonts w:hint="default" w:ascii="Times New Roman" w:hAnsi="Times New Roman" w:eastAsia="宋体" w:cs="Times New Roman"/>
                <w:b/>
                <w:bCs/>
                <w:color w:val="auto"/>
                <w:sz w:val="24"/>
                <w:szCs w:val="32"/>
                <w:u w:val="none" w:color="auto"/>
              </w:rPr>
            </w:pPr>
            <w:r>
              <w:rPr>
                <w:rFonts w:hint="default" w:ascii="Times New Roman" w:hAnsi="Times New Roman" w:eastAsia="宋体" w:cs="Times New Roman"/>
                <w:b/>
                <w:bCs/>
                <w:color w:val="auto"/>
                <w:sz w:val="24"/>
                <w:szCs w:val="32"/>
                <w:u w:val="none" w:color="auto"/>
                <w:lang w:val="en-US"/>
              </w:rPr>
              <w:t>4</w:t>
            </w:r>
            <w:r>
              <w:rPr>
                <w:rFonts w:hint="eastAsia" w:ascii="Times New Roman" w:hAnsi="Times New Roman" w:eastAsia="宋体" w:cs="Times New Roman"/>
                <w:b/>
                <w:bCs/>
                <w:color w:val="auto"/>
                <w:sz w:val="24"/>
                <w:szCs w:val="32"/>
                <w:u w:val="none" w:color="auto"/>
                <w:lang w:eastAsia="zh-CN"/>
              </w:rPr>
              <w:t>、</w:t>
            </w:r>
            <w:r>
              <w:rPr>
                <w:rFonts w:hint="default" w:ascii="Times New Roman" w:hAnsi="Times New Roman" w:eastAsia="宋体" w:cs="Times New Roman"/>
                <w:b/>
                <w:bCs/>
                <w:color w:val="auto"/>
                <w:sz w:val="24"/>
                <w:szCs w:val="32"/>
                <w:u w:val="none" w:color="auto"/>
              </w:rPr>
              <w:t>运输过程环境影响分析</w:t>
            </w:r>
          </w:p>
          <w:p>
            <w:pPr>
              <w:bidi w:val="0"/>
              <w:spacing w:line="360" w:lineRule="auto"/>
              <w:ind w:firstLine="480" w:firstLineChars="200"/>
              <w:rPr>
                <w:rFonts w:hint="default" w:ascii="Times New Roman" w:hAnsi="Times New Roman" w:eastAsia="宋体" w:cs="Times New Roman"/>
                <w:color w:val="auto"/>
                <w:sz w:val="24"/>
                <w:szCs w:val="32"/>
                <w:u w:val="none" w:color="auto"/>
              </w:rPr>
            </w:pPr>
            <w:r>
              <w:rPr>
                <w:rFonts w:hint="default" w:ascii="Times New Roman" w:hAnsi="Times New Roman" w:eastAsia="宋体" w:cs="Times New Roman"/>
                <w:color w:val="auto"/>
                <w:sz w:val="24"/>
                <w:szCs w:val="32"/>
                <w:u w:val="none" w:color="auto"/>
              </w:rPr>
              <w:t>本项目危险固废全部委托有资质单位进行清运，由有资质单位在本项目场地进行收取，因此本项目不涉及危险固体废物运输过程环境影响分析。</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综上分析，本项目产生的各类固体废物均得到妥善的处理处置，只要做好厂区暂存设施的防治工作，严格按《危险废物转移联单制度》转移产生的危险废物，由有资质单位的运输车辆运输，固废对周边环境和运输沿途影响较小。</w:t>
            </w:r>
          </w:p>
          <w:p>
            <w:pPr>
              <w:bidi w:val="0"/>
              <w:spacing w:line="360" w:lineRule="auto"/>
              <w:ind w:firstLine="482" w:firstLineChars="200"/>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（五）</w:t>
            </w:r>
            <w:r>
              <w:rPr>
                <w:rFonts w:hint="default" w:ascii="Times New Roman" w:hAnsi="Times New Roman" w:eastAsia="宋体" w:cs="Times New Roman"/>
                <w:b/>
                <w:bCs/>
                <w:color w:val="auto"/>
                <w:sz w:val="24"/>
                <w:szCs w:val="32"/>
                <w:u w:val="none" w:color="auto"/>
                <w:lang w:val="en-US" w:eastAsia="zh-CN"/>
              </w:rPr>
              <w:t>地下水、土壤影响分析</w:t>
            </w:r>
          </w:p>
          <w:p>
            <w:pPr>
              <w:bidi w:val="0"/>
              <w:spacing w:line="360" w:lineRule="auto"/>
              <w:ind w:firstLine="482" w:firstLineChars="200"/>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1、</w:t>
            </w:r>
            <w:r>
              <w:rPr>
                <w:rFonts w:hint="default" w:ascii="Times New Roman" w:hAnsi="Times New Roman" w:eastAsia="宋体" w:cs="Times New Roman"/>
                <w:b/>
                <w:bCs/>
                <w:color w:val="auto"/>
                <w:sz w:val="24"/>
                <w:szCs w:val="32"/>
                <w:u w:val="none" w:color="auto"/>
                <w:lang w:val="en-US" w:eastAsia="zh-CN"/>
              </w:rPr>
              <w:t>地下水、土壤环境影响分析</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（1）地下水环境</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本项目职工生活污水经化粪池处理后排入市政污水管网，纳入</w:t>
            </w:r>
            <w:r>
              <w:rPr>
                <w:rFonts w:hint="eastAsia" w:ascii="Times New Roman" w:hAnsi="Times New Roman" w:eastAsia="宋体" w:cs="Times New Roman"/>
                <w:color w:val="auto"/>
                <w:sz w:val="24"/>
                <w:szCs w:val="32"/>
                <w:u w:val="none" w:color="auto"/>
                <w:lang w:val="en-US" w:eastAsia="zh-CN"/>
              </w:rPr>
              <w:t>衡阳县西渡高新区污水处理厂</w:t>
            </w:r>
            <w:r>
              <w:rPr>
                <w:rFonts w:hint="default" w:ascii="Times New Roman" w:hAnsi="Times New Roman" w:eastAsia="宋体" w:cs="Times New Roman"/>
                <w:color w:val="auto"/>
                <w:sz w:val="24"/>
                <w:szCs w:val="32"/>
                <w:u w:val="none" w:color="auto"/>
                <w:lang w:val="en-US" w:eastAsia="zh-CN"/>
              </w:rPr>
              <w:t>处理。生活废水水质较简单，不含有毒有害污染物，不含重金属等污染物，本项目废水均可得到妥善处置，不排入周边地表水体，对地下水环境影响不大。根据现场调查，项目评价区域无饮用水水源地。</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项目拆解区地面应水泥硬化并做好防渗处理，一般工业固废暂存场所严格按照《一般工业固体废物贮存和填埋污染控制标准》（GB18599-2020）中的要求进行建设，危险废物暂存间按照《危险废物贮存污染控制标准》（GB18597-2023）要求进行建设，具备防风、防雨、防晒、防渗漏等要求。在正常工况，不会对评价区地下水产生明显影响，其影响程度在可接受的范围内。</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危废暂存间应采取防泄漏、防溢流、防腐蚀等措施，严格遵守危险化学品的管理，正常工况下不会导致危险化学品进入地下污染地下水。</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综上所述，项目在正常运行工况下，项目对地下水影响不大。但公司应加强管理，杜绝防渗层破裂等事故影响。</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（2）土壤环境</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土壤污染与大气、水体污染有所不同，大气、水体污染比较直观，严重时通过人的感官即能发现，而土壤污染往往是以食物链方式通过粮食、蔬菜、水果、茶叶及草食性动物（如家禽家畜）乃至肉食性动物等最后进入人体而影响人群健康。因此，这是一个逐步累积的过程，具有隐蔽性和潜伏性。</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根据土壤污染物的来源不同，可将土壤污染分为废水污染型、废气污染型、固体废物污染型、农业污染型和生物污染型。该项目土壤污染将以废水、固废污染型为主。</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项目生产废气均可达标排放，对区域环境空气贡献值较小，对土壤环境的影响很小。</w:t>
            </w:r>
          </w:p>
          <w:p>
            <w:pPr>
              <w:bidi w:val="0"/>
              <w:spacing w:line="360" w:lineRule="auto"/>
              <w:ind w:firstLine="480" w:firstLineChars="200"/>
              <w:rPr>
                <w:rFonts w:hint="default" w:ascii="Times New Roman" w:hAnsi="Times New Roman" w:eastAsia="宋体" w:cs="Times New Roman"/>
                <w:color w:val="auto"/>
                <w:sz w:val="24"/>
                <w:szCs w:val="32"/>
                <w:u w:val="wave" w:color="auto"/>
                <w:lang w:val="en-US" w:eastAsia="zh-CN"/>
              </w:rPr>
            </w:pPr>
            <w:r>
              <w:rPr>
                <w:rFonts w:hint="default" w:ascii="Times New Roman" w:hAnsi="Times New Roman" w:eastAsia="宋体" w:cs="Times New Roman"/>
                <w:color w:val="auto"/>
                <w:sz w:val="24"/>
                <w:szCs w:val="32"/>
                <w:u w:val="wave" w:color="auto"/>
                <w:lang w:val="en-US" w:eastAsia="zh-CN"/>
              </w:rPr>
              <w:t>职工生活污水经厂区化粪池处理设备处理后纳入市政污水管网，初期雨水经初期雨水收集池收集后，与项目车间地面拖洗废水一并经三级隔油沉淀池+高效油水分离器处理后排入园区污水管网最后进入衡阳西渡高新区污水处理厂深度处理。正常情况下，项目运营期废水对土壤环境的影响不大。</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项目产生的危险废物暂存在危废暂存间内，危险废物暂存间防渗要求按《危险废物贮存污染控制标准》（GB18597-2023）进行设计，且具有防雨、防渗、防风、防日晒的功能。采取以上措施后，项目危险废物对土壤环境的影响不大。</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拆解区地面已水泥硬化并做好防渗处理，拆解过程中产生的废油等污染物对土壤环境的影响不大。综上所述，项目在正常运行工况下，项目对土壤环境影响不大，建设单位应加强污染源控制和土壤污染防治，防止排放事故出现，则对该区域土壤环境影响总体不大，是可以接受的。</w:t>
            </w:r>
          </w:p>
          <w:p>
            <w:pPr>
              <w:bidi w:val="0"/>
              <w:spacing w:line="360" w:lineRule="auto"/>
              <w:ind w:firstLine="482" w:firstLineChars="200"/>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2、</w:t>
            </w:r>
            <w:r>
              <w:rPr>
                <w:rFonts w:hint="default" w:ascii="Times New Roman" w:hAnsi="Times New Roman" w:eastAsia="宋体" w:cs="Times New Roman"/>
                <w:b/>
                <w:bCs/>
                <w:color w:val="auto"/>
                <w:sz w:val="24"/>
                <w:szCs w:val="32"/>
                <w:u w:val="none" w:color="auto"/>
                <w:lang w:val="en-US" w:eastAsia="zh-CN"/>
              </w:rPr>
              <w:t>地下水、土壤环境防控措施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（1）防渗措施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eastAsia" w:ascii="Times New Roman" w:hAnsi="Times New Roman" w:eastAsia="宋体" w:cs="Times New Roman"/>
                <w:color w:val="auto"/>
                <w:sz w:val="24"/>
                <w:szCs w:val="32"/>
                <w:u w:val="none" w:color="auto"/>
                <w:lang w:val="en-US" w:eastAsia="zh-CN"/>
              </w:rPr>
              <w:t>1）</w:t>
            </w:r>
            <w:r>
              <w:rPr>
                <w:rFonts w:hint="default" w:ascii="Times New Roman" w:hAnsi="Times New Roman" w:eastAsia="宋体" w:cs="Times New Roman"/>
                <w:color w:val="auto"/>
                <w:sz w:val="24"/>
                <w:szCs w:val="32"/>
                <w:u w:val="none" w:color="auto"/>
                <w:lang w:val="en-US" w:eastAsia="zh-CN"/>
              </w:rPr>
              <w:t>合理进行防渗区域划分</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根据本项目厂区可能泄漏至地面区域污染物的性质和生产单元的构筑方式，将厂区划分为重点污染防治区、一般污染防治区，针对不同的区域提出相应的防渗要求。结合项目的特点，项目防渗防治分区见表4-</w:t>
            </w:r>
            <w:r>
              <w:rPr>
                <w:rFonts w:hint="eastAsia" w:ascii="Times New Roman" w:hAnsi="Times New Roman" w:eastAsia="宋体" w:cs="Times New Roman"/>
                <w:color w:val="auto"/>
                <w:sz w:val="24"/>
                <w:szCs w:val="32"/>
                <w:u w:val="none" w:color="auto"/>
                <w:lang w:val="en-US" w:eastAsia="zh-CN"/>
              </w:rPr>
              <w:t>15</w:t>
            </w:r>
            <w:r>
              <w:rPr>
                <w:rFonts w:hint="default" w:ascii="Times New Roman" w:hAnsi="Times New Roman" w:eastAsia="宋体" w:cs="Times New Roman"/>
                <w:color w:val="auto"/>
                <w:sz w:val="24"/>
                <w:szCs w:val="32"/>
                <w:u w:val="none" w:color="auto"/>
                <w:lang w:val="en-US" w:eastAsia="zh-CN"/>
              </w:rPr>
              <w:t>。</w:t>
            </w:r>
          </w:p>
          <w:p>
            <w:pPr>
              <w:bidi w:val="0"/>
              <w:spacing w:line="360" w:lineRule="auto"/>
              <w:ind w:left="0" w:leftChars="0" w:firstLine="0" w:firstLineChars="0"/>
              <w:jc w:val="center"/>
              <w:rPr>
                <w:rFonts w:hint="default" w:ascii="Times New Roman" w:hAnsi="Times New Roman" w:eastAsia="宋体" w:cs="Times New Roman"/>
                <w:b/>
                <w:bCs/>
                <w:color w:val="auto"/>
                <w:sz w:val="21"/>
                <w:szCs w:val="24"/>
                <w:u w:val="wave" w:color="auto"/>
                <w:lang w:val="en-US" w:eastAsia="zh-CN"/>
              </w:rPr>
            </w:pPr>
            <w:r>
              <w:rPr>
                <w:rFonts w:hint="default" w:ascii="Times New Roman" w:hAnsi="Times New Roman" w:eastAsia="宋体" w:cs="Times New Roman"/>
                <w:b/>
                <w:bCs/>
                <w:color w:val="auto"/>
                <w:sz w:val="21"/>
                <w:szCs w:val="24"/>
                <w:u w:val="wave" w:color="auto"/>
                <w:lang w:val="en-US" w:eastAsia="zh-CN"/>
              </w:rPr>
              <w:t>表4-</w:t>
            </w:r>
            <w:r>
              <w:rPr>
                <w:rFonts w:hint="eastAsia" w:ascii="Times New Roman" w:hAnsi="Times New Roman" w:eastAsia="宋体" w:cs="Times New Roman"/>
                <w:b/>
                <w:bCs/>
                <w:color w:val="auto"/>
                <w:sz w:val="21"/>
                <w:szCs w:val="24"/>
                <w:u w:val="wave" w:color="auto"/>
                <w:lang w:val="en-US" w:eastAsia="zh-CN"/>
              </w:rPr>
              <w:t>15</w:t>
            </w:r>
            <w:r>
              <w:rPr>
                <w:rFonts w:hint="default" w:ascii="Times New Roman" w:hAnsi="Times New Roman" w:eastAsia="宋体" w:cs="Times New Roman"/>
                <w:b/>
                <w:bCs/>
                <w:color w:val="auto"/>
                <w:sz w:val="21"/>
                <w:szCs w:val="24"/>
                <w:u w:val="wave" w:color="auto"/>
                <w:lang w:val="en-US" w:eastAsia="zh-CN"/>
              </w:rPr>
              <w:t>土壤污染防治分区一览表</w:t>
            </w:r>
          </w:p>
          <w:tbl>
            <w:tblPr>
              <w:tblStyle w:val="25"/>
              <w:tblW w:w="8424"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1899"/>
              <w:gridCol w:w="4656"/>
              <w:gridCol w:w="1869"/>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1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4"/>
                      <w:u w:val="wave" w:color="auto"/>
                      <w:lang w:val="en-US" w:eastAsia="zh-CN"/>
                    </w:rPr>
                  </w:pPr>
                  <w:r>
                    <w:rPr>
                      <w:rFonts w:hint="default" w:ascii="Times New Roman" w:hAnsi="Times New Roman" w:eastAsia="宋体" w:cs="Times New Roman"/>
                      <w:b/>
                      <w:bCs/>
                      <w:color w:val="auto"/>
                      <w:sz w:val="21"/>
                      <w:szCs w:val="24"/>
                      <w:u w:val="wave" w:color="auto"/>
                      <w:lang w:val="en-US" w:eastAsia="zh-CN"/>
                    </w:rPr>
                    <w:t>防治分区</w:t>
                  </w:r>
                </w:p>
              </w:tc>
              <w:tc>
                <w:tcPr>
                  <w:tcW w:w="4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4"/>
                      <w:u w:val="wave" w:color="auto"/>
                      <w:lang w:val="en-US" w:eastAsia="zh-CN"/>
                    </w:rPr>
                  </w:pPr>
                  <w:r>
                    <w:rPr>
                      <w:rFonts w:hint="default" w:ascii="Times New Roman" w:hAnsi="Times New Roman" w:eastAsia="宋体" w:cs="Times New Roman"/>
                      <w:b/>
                      <w:bCs/>
                      <w:color w:val="auto"/>
                      <w:sz w:val="21"/>
                      <w:szCs w:val="24"/>
                      <w:u w:val="wave" w:color="auto"/>
                      <w:lang w:val="en-US" w:eastAsia="zh-CN"/>
                    </w:rPr>
                    <w:t>装置或者构筑物名称</w:t>
                  </w: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auto"/>
                      <w:sz w:val="21"/>
                      <w:szCs w:val="24"/>
                      <w:u w:val="wave" w:color="auto"/>
                      <w:lang w:val="en-US" w:eastAsia="zh-CN"/>
                    </w:rPr>
                  </w:pPr>
                  <w:r>
                    <w:rPr>
                      <w:rFonts w:hint="default" w:ascii="Times New Roman" w:hAnsi="Times New Roman" w:eastAsia="宋体" w:cs="Times New Roman"/>
                      <w:b/>
                      <w:bCs/>
                      <w:color w:val="auto"/>
                      <w:sz w:val="21"/>
                      <w:szCs w:val="24"/>
                      <w:u w:val="wave" w:color="auto"/>
                      <w:lang w:val="en-US" w:eastAsia="zh-CN"/>
                    </w:rPr>
                    <w:t>防渗区域</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1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重点防渗区</w:t>
                  </w:r>
                </w:p>
              </w:tc>
              <w:tc>
                <w:tcPr>
                  <w:tcW w:w="4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危废暂存间、</w:t>
                  </w:r>
                  <w:r>
                    <w:rPr>
                      <w:rFonts w:hint="eastAsia" w:cs="Times New Roman"/>
                      <w:color w:val="auto"/>
                      <w:sz w:val="21"/>
                      <w:szCs w:val="24"/>
                      <w:u w:val="wave" w:color="auto"/>
                      <w:lang w:val="en-US" w:eastAsia="zh-CN"/>
                    </w:rPr>
                    <w:t>拆解车间（</w:t>
                  </w:r>
                  <w:r>
                    <w:rPr>
                      <w:rFonts w:hint="eastAsia" w:ascii="Times New Roman" w:hAnsi="Times New Roman" w:eastAsia="宋体" w:cs="Times New Roman"/>
                      <w:color w:val="auto"/>
                      <w:sz w:val="21"/>
                      <w:szCs w:val="24"/>
                      <w:u w:val="wave" w:color="auto"/>
                      <w:lang w:val="en-US" w:eastAsia="zh-CN"/>
                    </w:rPr>
                    <w:t>小型车</w:t>
                  </w:r>
                  <w:r>
                    <w:rPr>
                      <w:rFonts w:hint="default" w:ascii="Times New Roman" w:hAnsi="Times New Roman" w:eastAsia="宋体" w:cs="Times New Roman"/>
                      <w:color w:val="auto"/>
                      <w:sz w:val="21"/>
                      <w:szCs w:val="24"/>
                      <w:u w:val="wave" w:color="auto"/>
                      <w:lang w:val="en-US" w:eastAsia="zh-CN"/>
                    </w:rPr>
                    <w:t>预处理区、</w:t>
                  </w:r>
                  <w:r>
                    <w:rPr>
                      <w:rFonts w:hint="eastAsia" w:ascii="Times New Roman" w:hAnsi="Times New Roman" w:eastAsia="宋体" w:cs="Times New Roman"/>
                      <w:color w:val="auto"/>
                      <w:sz w:val="21"/>
                      <w:szCs w:val="24"/>
                      <w:u w:val="wave" w:color="auto"/>
                      <w:lang w:val="en-US" w:eastAsia="zh-CN"/>
                    </w:rPr>
                    <w:t>中大型车</w:t>
                  </w:r>
                  <w:r>
                    <w:rPr>
                      <w:rFonts w:hint="default" w:ascii="Times New Roman" w:hAnsi="Times New Roman" w:eastAsia="宋体" w:cs="Times New Roman"/>
                      <w:color w:val="auto"/>
                      <w:sz w:val="21"/>
                      <w:szCs w:val="24"/>
                      <w:u w:val="wave" w:color="auto"/>
                      <w:lang w:val="en-US" w:eastAsia="zh-CN"/>
                    </w:rPr>
                    <w:t>预处理区</w:t>
                  </w:r>
                  <w:r>
                    <w:rPr>
                      <w:rFonts w:hint="eastAsia" w:ascii="Times New Roman" w:hAnsi="Times New Roman" w:eastAsia="宋体" w:cs="Times New Roman"/>
                      <w:color w:val="auto"/>
                      <w:sz w:val="21"/>
                      <w:szCs w:val="24"/>
                      <w:u w:val="wave" w:color="auto"/>
                      <w:lang w:val="en-US" w:eastAsia="zh-CN"/>
                    </w:rPr>
                    <w:t>、小型车精细拆解区、动力总成拆解区</w:t>
                  </w:r>
                  <w:r>
                    <w:rPr>
                      <w:rFonts w:hint="eastAsia" w:cs="Times New Roman"/>
                      <w:color w:val="auto"/>
                      <w:sz w:val="21"/>
                      <w:szCs w:val="24"/>
                      <w:u w:val="wave" w:color="auto"/>
                      <w:lang w:val="en-US" w:eastAsia="zh-CN"/>
                    </w:rPr>
                    <w:t>）</w:t>
                  </w:r>
                  <w:r>
                    <w:rPr>
                      <w:rFonts w:hint="eastAsia" w:ascii="Times New Roman" w:hAnsi="Times New Roman" w:eastAsia="宋体" w:cs="Times New Roman"/>
                      <w:color w:val="auto"/>
                      <w:sz w:val="21"/>
                      <w:szCs w:val="24"/>
                      <w:u w:val="wave" w:color="auto"/>
                      <w:lang w:val="en-US" w:eastAsia="zh-CN"/>
                    </w:rPr>
                    <w:t>、废水</w:t>
                  </w:r>
                  <w:r>
                    <w:rPr>
                      <w:rFonts w:hint="eastAsia" w:cs="Times New Roman"/>
                      <w:color w:val="auto"/>
                      <w:sz w:val="21"/>
                      <w:szCs w:val="24"/>
                      <w:u w:val="wave" w:color="auto"/>
                      <w:lang w:val="en-US" w:eastAsia="zh-CN"/>
                    </w:rPr>
                    <w:t>处理设施</w:t>
                  </w:r>
                  <w:r>
                    <w:rPr>
                      <w:rFonts w:hint="eastAsia" w:ascii="Times New Roman" w:hAnsi="Times New Roman" w:eastAsia="宋体" w:cs="Times New Roman"/>
                      <w:color w:val="auto"/>
                      <w:sz w:val="21"/>
                      <w:szCs w:val="24"/>
                      <w:u w:val="wave" w:color="auto"/>
                      <w:lang w:val="en-US" w:eastAsia="zh-CN"/>
                    </w:rPr>
                    <w:t>及管道、</w:t>
                  </w:r>
                  <w:r>
                    <w:rPr>
                      <w:rFonts w:hint="default" w:ascii="Times New Roman" w:hAnsi="Times New Roman" w:eastAsia="宋体" w:cs="Times New Roman"/>
                      <w:color w:val="auto"/>
                      <w:sz w:val="21"/>
                      <w:szCs w:val="24"/>
                      <w:u w:val="wave" w:color="auto"/>
                      <w:lang w:val="en-US" w:eastAsia="zh-CN"/>
                    </w:rPr>
                    <w:t>事故应急池</w:t>
                  </w: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地面</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1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一般防渗区</w:t>
                  </w:r>
                </w:p>
              </w:tc>
              <w:tc>
                <w:tcPr>
                  <w:tcW w:w="4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eastAsia" w:cs="Times New Roman"/>
                      <w:color w:val="auto"/>
                      <w:sz w:val="21"/>
                      <w:szCs w:val="24"/>
                      <w:u w:val="wave" w:color="auto"/>
                      <w:lang w:val="en-US" w:eastAsia="zh-CN"/>
                    </w:rPr>
                    <w:t>拆解车间（其他区域，如</w:t>
                  </w:r>
                  <w:r>
                    <w:rPr>
                      <w:rFonts w:hint="default" w:ascii="Times New Roman" w:hAnsi="Times New Roman" w:eastAsia="宋体" w:cs="Times New Roman"/>
                      <w:color w:val="auto"/>
                      <w:sz w:val="21"/>
                      <w:szCs w:val="24"/>
                      <w:u w:val="wave" w:color="auto"/>
                      <w:lang w:val="en-US" w:eastAsia="zh-CN"/>
                    </w:rPr>
                    <w:t>一般固废间、车辆暂存区、成品堆放区</w:t>
                  </w:r>
                  <w:r>
                    <w:rPr>
                      <w:rFonts w:hint="eastAsia" w:ascii="Times New Roman" w:hAnsi="Times New Roman" w:eastAsia="宋体" w:cs="Times New Roman"/>
                      <w:color w:val="auto"/>
                      <w:sz w:val="21"/>
                      <w:szCs w:val="24"/>
                      <w:u w:val="wave" w:color="auto"/>
                      <w:lang w:val="en-US" w:eastAsia="zh-CN"/>
                    </w:rPr>
                    <w:t>等</w:t>
                  </w:r>
                  <w:r>
                    <w:rPr>
                      <w:rFonts w:hint="eastAsia" w:cs="Times New Roman"/>
                      <w:color w:val="auto"/>
                      <w:sz w:val="21"/>
                      <w:szCs w:val="24"/>
                      <w:u w:val="wave" w:color="auto"/>
                      <w:lang w:val="en-US" w:eastAsia="zh-CN"/>
                    </w:rPr>
                    <w:t>）、</w:t>
                  </w:r>
                  <w:r>
                    <w:rPr>
                      <w:rFonts w:hint="eastAsia" w:ascii="Times New Roman" w:hAnsi="Times New Roman" w:eastAsia="宋体" w:cs="Times New Roman"/>
                      <w:color w:val="auto"/>
                      <w:sz w:val="21"/>
                      <w:szCs w:val="24"/>
                      <w:u w:val="wave" w:color="auto"/>
                      <w:lang w:val="en-US" w:eastAsia="zh-CN"/>
                    </w:rPr>
                    <w:t>查验区、动力电池暂存间</w:t>
                  </w:r>
                  <w:r>
                    <w:rPr>
                      <w:rFonts w:hint="default" w:ascii="Times New Roman" w:hAnsi="Times New Roman" w:eastAsia="宋体" w:cs="Times New Roman"/>
                      <w:color w:val="auto"/>
                      <w:sz w:val="21"/>
                      <w:szCs w:val="24"/>
                      <w:u w:val="wave" w:color="auto"/>
                      <w:lang w:val="en-US" w:eastAsia="zh-CN"/>
                    </w:rPr>
                    <w:t>、</w:t>
                  </w:r>
                  <w:r>
                    <w:rPr>
                      <w:rFonts w:hint="eastAsia" w:ascii="Times New Roman" w:hAnsi="Times New Roman" w:eastAsia="宋体" w:cs="Times New Roman"/>
                      <w:color w:val="auto"/>
                      <w:sz w:val="21"/>
                      <w:szCs w:val="24"/>
                      <w:u w:val="wave" w:color="auto"/>
                      <w:lang w:val="en-US" w:eastAsia="zh-CN"/>
                    </w:rPr>
                    <w:t>初雨收集</w:t>
                  </w:r>
                  <w:r>
                    <w:rPr>
                      <w:rFonts w:hint="default" w:ascii="Times New Roman" w:hAnsi="Times New Roman" w:eastAsia="宋体" w:cs="Times New Roman"/>
                      <w:color w:val="auto"/>
                      <w:sz w:val="21"/>
                      <w:szCs w:val="24"/>
                      <w:u w:val="wave" w:color="auto"/>
                      <w:lang w:val="en-US" w:eastAsia="zh-CN"/>
                    </w:rPr>
                    <w:t>池</w:t>
                  </w: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地面</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97" w:hRule="atLeast"/>
                <w:jc w:val="center"/>
              </w:trPr>
              <w:tc>
                <w:tcPr>
                  <w:tcW w:w="189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简单防渗区</w:t>
                  </w:r>
                </w:p>
              </w:tc>
              <w:tc>
                <w:tcPr>
                  <w:tcW w:w="46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办公区</w:t>
                  </w:r>
                  <w:r>
                    <w:rPr>
                      <w:rFonts w:hint="eastAsia" w:cs="Times New Roman"/>
                      <w:color w:val="auto"/>
                      <w:sz w:val="21"/>
                      <w:szCs w:val="24"/>
                      <w:u w:val="wave" w:color="auto"/>
                      <w:lang w:val="en-US" w:eastAsia="zh-CN"/>
                    </w:rPr>
                    <w:t>、厂内</w:t>
                  </w:r>
                  <w:r>
                    <w:rPr>
                      <w:rFonts w:hint="eastAsia" w:ascii="Times New Roman" w:hAnsi="Times New Roman" w:eastAsia="宋体" w:cs="Times New Roman"/>
                      <w:color w:val="auto"/>
                      <w:sz w:val="21"/>
                      <w:szCs w:val="24"/>
                      <w:u w:val="wave" w:color="auto"/>
                      <w:lang w:val="en-US" w:eastAsia="zh-CN"/>
                    </w:rPr>
                    <w:t>道路</w:t>
                  </w:r>
                </w:p>
              </w:tc>
              <w:tc>
                <w:tcPr>
                  <w:tcW w:w="186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4"/>
                      <w:u w:val="wave" w:color="auto"/>
                      <w:lang w:val="en-US" w:eastAsia="zh-CN"/>
                    </w:rPr>
                  </w:pPr>
                  <w:r>
                    <w:rPr>
                      <w:rFonts w:hint="default" w:ascii="Times New Roman" w:hAnsi="Times New Roman" w:eastAsia="宋体" w:cs="Times New Roman"/>
                      <w:color w:val="auto"/>
                      <w:sz w:val="21"/>
                      <w:szCs w:val="24"/>
                      <w:u w:val="wave" w:color="auto"/>
                      <w:lang w:val="en-US" w:eastAsia="zh-CN"/>
                    </w:rPr>
                    <w:t>地面</w:t>
                  </w:r>
                </w:p>
              </w:tc>
            </w:tr>
          </w:tbl>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②防渗要求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重点防渗区防渗要求：依据国家危险贮存标准要求设计、施工，采用200mm厚C15砼垫层随打随抹光，设置钢筋混凝土围堰，并采用底部加设土工膜进行防渗，使渗透系数不大于1.0×10</w:t>
            </w:r>
            <w:r>
              <w:rPr>
                <w:rFonts w:hint="default" w:ascii="Times New Roman" w:hAnsi="Times New Roman" w:eastAsia="宋体" w:cs="Times New Roman"/>
                <w:color w:val="auto"/>
                <w:sz w:val="24"/>
                <w:szCs w:val="32"/>
                <w:u w:val="none" w:color="auto"/>
                <w:vertAlign w:val="superscript"/>
                <w:lang w:val="en-US" w:eastAsia="zh-CN"/>
              </w:rPr>
              <w:t>-10</w:t>
            </w:r>
            <w:r>
              <w:rPr>
                <w:rFonts w:hint="default" w:ascii="Times New Roman" w:hAnsi="Times New Roman" w:eastAsia="宋体" w:cs="Times New Roman"/>
                <w:color w:val="auto"/>
                <w:sz w:val="24"/>
                <w:szCs w:val="32"/>
                <w:u w:val="none" w:color="auto"/>
                <w:lang w:val="en-US" w:eastAsia="zh-CN"/>
              </w:rPr>
              <w:t>cm/s，且防雨和防晒。对废水收集沟渠、管网、阀门严格质量管理,如发现问题，应及时解决。管沟、污水渠与污水集水井相连，并设计不低于5‰的排水坡度，便于废水排至集水井统一处理。要做好沿途污水管网的防渗工作。工程管道DN500及以上管道采用钢筋混凝土管，管径小于DN500的管道采用HDPE管。两种管材防水性均较好</w:t>
            </w:r>
            <w:r>
              <w:rPr>
                <w:rFonts w:hint="eastAsia" w:ascii="Times New Roman" w:hAnsi="Times New Roman" w:eastAsia="宋体" w:cs="Times New Roman"/>
                <w:color w:val="auto"/>
                <w:sz w:val="24"/>
                <w:szCs w:val="32"/>
                <w:u w:val="none" w:color="auto"/>
                <w:lang w:val="en-US" w:eastAsia="zh-CN"/>
              </w:rPr>
              <w:t>。</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一般防渗区防渗要求：地面基础防渗和构筑物防渗等级达到渗透系数≤1.0×10</w:t>
            </w:r>
            <w:r>
              <w:rPr>
                <w:rFonts w:hint="default" w:ascii="Times New Roman" w:hAnsi="Times New Roman" w:eastAsia="宋体" w:cs="Times New Roman"/>
                <w:color w:val="auto"/>
                <w:sz w:val="24"/>
                <w:szCs w:val="32"/>
                <w:u w:val="none" w:color="auto"/>
                <w:vertAlign w:val="superscript"/>
                <w:lang w:val="en-US" w:eastAsia="zh-CN"/>
              </w:rPr>
              <w:t>-7</w:t>
            </w:r>
            <w:r>
              <w:rPr>
                <w:rFonts w:hint="default" w:ascii="Times New Roman" w:hAnsi="Times New Roman" w:eastAsia="宋体" w:cs="Times New Roman"/>
                <w:color w:val="auto"/>
                <w:sz w:val="24"/>
                <w:szCs w:val="32"/>
                <w:u w:val="none" w:color="auto"/>
                <w:lang w:val="en-US" w:eastAsia="zh-CN"/>
              </w:rPr>
              <w:t>cm/s，相当于不小于1.5m厚的粘土防护层</w:t>
            </w:r>
            <w:r>
              <w:rPr>
                <w:rFonts w:hint="eastAsia" w:ascii="Times New Roman" w:hAnsi="Times New Roman" w:eastAsia="宋体" w:cs="Times New Roman"/>
                <w:color w:val="auto"/>
                <w:sz w:val="24"/>
                <w:szCs w:val="32"/>
                <w:u w:val="none" w:color="auto"/>
                <w:lang w:val="en-US" w:eastAsia="zh-CN"/>
              </w:rPr>
              <w:t>。</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简单防渗区要求：一般地面硬化。</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（2）监控措施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①项目危险废物暂存间内建设导流沟、动力电池暂存间和废油液暂存间内还设置有泄漏收集池，防止危险废物意外泄漏时四处扩散，并可及时移除或者清理污染源；</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②建立健全环境管理和监测制度，保证各环保设施正常运转，同时强化风险防范意识，如遇环保设施不能正常运转，应立即停产检修；</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③若发生危险废物泄漏，必要时应委托有资质的单位对厂址周边地下水、土壤等进行跟踪监测，掌握厂址周边污染变化趋势；</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④在生产活动中，建设单位应做好设备的维护、检修，杜绝跑、冒、滴、漏现象。同时，加强污染物产生主要环节的收集治理，加强厂区的安全防护、环境风险防范措施，以便及时发现事故隐患，及时采取有效的应对措施；</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⑤项目生产经营用地的用途变更或者在其土地使用权收回、转让前，应当由土地使用权人按照规定进行土壤污染状况调查。</w:t>
            </w:r>
          </w:p>
          <w:p>
            <w:pPr>
              <w:bidi w:val="0"/>
              <w:spacing w:line="360" w:lineRule="auto"/>
              <w:ind w:firstLine="482" w:firstLineChars="200"/>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3、</w:t>
            </w:r>
            <w:r>
              <w:rPr>
                <w:rFonts w:hint="default" w:ascii="Times New Roman" w:hAnsi="Times New Roman" w:eastAsia="宋体" w:cs="Times New Roman"/>
                <w:b/>
                <w:bCs/>
                <w:color w:val="auto"/>
                <w:sz w:val="24"/>
                <w:szCs w:val="32"/>
                <w:u w:val="none" w:color="auto"/>
                <w:lang w:val="en-US" w:eastAsia="zh-CN"/>
              </w:rPr>
              <w:t>跟踪监测要求</w:t>
            </w:r>
          </w:p>
          <w:p>
            <w:pPr>
              <w:bidi w:val="0"/>
              <w:spacing w:line="360" w:lineRule="auto"/>
              <w:ind w:firstLine="480" w:firstLineChars="200"/>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本项目选址于衡阳市衡阳县阳古社区湖南衡利丰陶瓷有限公司内（属于湖南衡阳西渡高新技术产业开发园区范围内），周边以工业企业为主，项目周边地下水、土壤环境相对不敏感，采取有效的防渗措施后，项目对地下水、土壤环境影响很小，因此，本次评价不要求对项目地下水、土壤环境进行跟踪监测。</w:t>
            </w:r>
          </w:p>
          <w:p>
            <w:pPr>
              <w:pStyle w:val="59"/>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right="0" w:firstLine="482" w:firstLineChars="20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（六）生态环境影响分析</w:t>
            </w:r>
          </w:p>
          <w:p>
            <w:pPr>
              <w:pStyle w:val="59"/>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right="0" w:firstLine="480" w:firstLineChars="200"/>
              <w:textAlignment w:val="auto"/>
              <w:rPr>
                <w:rFonts w:hint="default" w:ascii="Times New Roman" w:hAnsi="Times New Roman" w:eastAsia="宋体" w:cs="Times New Roman"/>
                <w:color w:val="auto"/>
                <w:sz w:val="24"/>
                <w:szCs w:val="24"/>
                <w:u w:val="none"/>
                <w:lang w:val="en-US" w:eastAsia="zh-CN"/>
              </w:rPr>
            </w:pPr>
            <w:r>
              <w:rPr>
                <w:rFonts w:hint="default" w:ascii="Times New Roman" w:hAnsi="Times New Roman" w:eastAsia="宋体" w:cs="Times New Roman"/>
                <w:color w:val="auto"/>
                <w:sz w:val="24"/>
                <w:szCs w:val="24"/>
                <w:u w:val="none"/>
                <w:lang w:val="en-US" w:eastAsia="zh-CN"/>
              </w:rPr>
              <w:t>经现场勘察，项目</w:t>
            </w:r>
            <w:r>
              <w:rPr>
                <w:rFonts w:hint="default" w:ascii="Times New Roman" w:hAnsi="Times New Roman" w:eastAsia="宋体" w:cs="Times New Roman"/>
                <w:b w:val="0"/>
                <w:bCs/>
                <w:color w:val="auto"/>
                <w:sz w:val="24"/>
                <w:u w:val="none"/>
                <w:lang w:eastAsia="zh-CN"/>
              </w:rPr>
              <w:t>占地位于衡阳市衡阳县阳古社区湖南衡利丰陶瓷有限公司内（属于湖南衡阳西渡高新技术产业开发园区范围内），</w:t>
            </w:r>
            <w:r>
              <w:rPr>
                <w:rFonts w:hint="eastAsia" w:ascii="Times New Roman" w:hAnsi="Times New Roman" w:eastAsia="宋体" w:cs="Times New Roman"/>
                <w:b w:val="0"/>
                <w:bCs/>
                <w:color w:val="auto"/>
                <w:sz w:val="24"/>
                <w:u w:val="none"/>
                <w:lang w:eastAsia="zh-CN"/>
              </w:rPr>
              <w:t>属于工业园区</w:t>
            </w:r>
            <w:r>
              <w:rPr>
                <w:rFonts w:hint="default" w:ascii="Times New Roman" w:hAnsi="Times New Roman" w:eastAsia="宋体" w:cs="Times New Roman"/>
                <w:b w:val="0"/>
                <w:bCs/>
                <w:color w:val="auto"/>
                <w:sz w:val="24"/>
                <w:u w:val="none"/>
                <w:lang w:eastAsia="zh-CN"/>
              </w:rPr>
              <w:t>，故生态环境影响较小</w:t>
            </w:r>
            <w:r>
              <w:rPr>
                <w:rFonts w:hint="default" w:ascii="Times New Roman" w:hAnsi="Times New Roman" w:eastAsia="宋体" w:cs="Times New Roman"/>
                <w:color w:val="auto"/>
                <w:sz w:val="24"/>
                <w:szCs w:val="24"/>
                <w:u w:val="none"/>
                <w:lang w:val="en-US" w:eastAsia="zh-CN"/>
              </w:rPr>
              <w:t>。</w:t>
            </w:r>
          </w:p>
          <w:p>
            <w:pPr>
              <w:pStyle w:val="59"/>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right="0" w:firstLine="482" w:firstLineChars="20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w:t>
            </w:r>
            <w:r>
              <w:rPr>
                <w:rFonts w:hint="eastAsia" w:ascii="Times New Roman" w:hAnsi="Times New Roman" w:eastAsia="宋体" w:cs="Times New Roman"/>
                <w:b/>
                <w:bCs/>
                <w:color w:val="auto"/>
                <w:sz w:val="24"/>
                <w:szCs w:val="24"/>
                <w:u w:val="none"/>
                <w:lang w:val="en-US" w:eastAsia="zh-CN"/>
              </w:rPr>
              <w:t>七</w:t>
            </w:r>
            <w:r>
              <w:rPr>
                <w:rFonts w:hint="default" w:ascii="Times New Roman" w:hAnsi="Times New Roman" w:eastAsia="宋体" w:cs="Times New Roman"/>
                <w:b/>
                <w:bCs/>
                <w:color w:val="auto"/>
                <w:sz w:val="24"/>
                <w:szCs w:val="24"/>
                <w:u w:val="none"/>
                <w:lang w:val="en-US" w:eastAsia="zh-CN"/>
              </w:rPr>
              <w:t>）环境风险分析</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szCs w:val="24"/>
                <w:u w:val="none" w:color="auto"/>
              </w:rPr>
            </w:pPr>
            <w:r>
              <w:rPr>
                <w:rFonts w:hint="default" w:ascii="Times New Roman" w:hAnsi="Times New Roman" w:eastAsia="宋体" w:cs="Times New Roman"/>
                <w:color w:val="auto"/>
                <w:sz w:val="24"/>
                <w:szCs w:val="24"/>
                <w:u w:val="none" w:color="auto"/>
              </w:rPr>
              <w:t>建设项目环境风险评价是分析和预测建设项目存在的潜在危险、有害素，对项目建设和运行期间的可预测突发性事件或事故（一般不包括人为破坏及自然灾害）引起的有毒有害、易燃易爆等物质泄漏，所造成的人身安全与环境影响和损害程度，提出合理可行的防范、应急与减缓措施，分析可能造成突发性事故的污染源及其影响，并以此为环境管理和生产部门提供决策依据。</w:t>
            </w:r>
          </w:p>
          <w:p>
            <w:pPr>
              <w:keepNext w:val="0"/>
              <w:keepLines w:val="0"/>
              <w:pageBreakBefore w:val="0"/>
              <w:widowControl w:val="0"/>
              <w:kinsoku/>
              <w:wordWrap/>
              <w:overflowPunct/>
              <w:topLinePunct w:val="0"/>
              <w:autoSpaceDE/>
              <w:autoSpaceDN/>
              <w:bidi w:val="0"/>
              <w:adjustRightInd/>
              <w:snapToGrid/>
              <w:spacing w:line="360" w:lineRule="auto"/>
              <w:ind w:right="0" w:firstLine="482" w:firstLineChars="200"/>
              <w:textAlignment w:val="auto"/>
              <w:rPr>
                <w:rFonts w:hint="default" w:ascii="Times New Roman" w:hAnsi="Times New Roman" w:eastAsia="宋体" w:cs="Times New Roman"/>
                <w:b/>
                <w:bCs/>
                <w:color w:val="auto"/>
                <w:sz w:val="24"/>
                <w:szCs w:val="24"/>
                <w:u w:val="none" w:color="auto"/>
                <w:lang w:val="en-US" w:eastAsia="zh-CN"/>
              </w:rPr>
            </w:pPr>
            <w:r>
              <w:rPr>
                <w:rFonts w:hint="eastAsia" w:ascii="Times New Roman" w:hAnsi="Times New Roman" w:eastAsia="宋体" w:cs="Times New Roman"/>
                <w:b/>
                <w:bCs/>
                <w:color w:val="auto"/>
                <w:sz w:val="24"/>
                <w:szCs w:val="24"/>
                <w:u w:val="none" w:color="auto"/>
                <w:lang w:val="en-US" w:eastAsia="zh-CN"/>
              </w:rPr>
              <w:t>1、</w:t>
            </w:r>
            <w:r>
              <w:rPr>
                <w:rFonts w:hint="default" w:ascii="Times New Roman" w:hAnsi="Times New Roman" w:eastAsia="宋体" w:cs="Times New Roman"/>
                <w:b/>
                <w:bCs/>
                <w:color w:val="auto"/>
                <w:sz w:val="24"/>
                <w:szCs w:val="24"/>
                <w:u w:val="none" w:color="auto"/>
                <w:lang w:val="en-US" w:eastAsia="zh-CN"/>
              </w:rPr>
              <w:t>风险潜势初判及评价工作等级划分</w:t>
            </w:r>
          </w:p>
          <w:p>
            <w:pPr>
              <w:pStyle w:val="64"/>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color w:val="auto"/>
              </w:rPr>
            </w:pPr>
            <w:r>
              <w:rPr>
                <w:color w:val="auto"/>
              </w:rPr>
              <w:t>分析建设项目生产、使用、储存过程中涉及的有毒有害、易燃易爆物质，</w:t>
            </w:r>
            <w:r>
              <w:rPr>
                <w:rFonts w:hint="eastAsia"/>
                <w:color w:val="auto"/>
              </w:rPr>
              <w:t>参考</w:t>
            </w:r>
            <w:r>
              <w:rPr>
                <w:color w:val="auto"/>
              </w:rPr>
              <w:t>《建设项目环境风险评价技术导则》（HJ169-2018）附录B确定危险物质的临界量。计算所涉及的每种危险物质在厂界内的最大存在总量与其在附录 B 中对应临界量的比值Q。在不同厂区的同一种物质，按其在厂界内的最大存在总量计算。当只涉及一种危险物质时，计算该物质的总量与其临界量比值，即为Q：</w:t>
            </w:r>
          </w:p>
          <w:p>
            <w:pPr>
              <w:pStyle w:val="64"/>
              <w:adjustRightInd/>
              <w:snapToGrid/>
              <w:spacing w:line="360" w:lineRule="auto"/>
              <w:ind w:firstLine="480" w:firstLineChars="200"/>
              <w:jc w:val="center"/>
              <w:rPr>
                <w:color w:val="auto"/>
              </w:rPr>
            </w:pPr>
            <w:r>
              <w:rPr>
                <w:color w:val="auto"/>
              </w:rPr>
              <w:t>Q=q1/Q1+q2/Q2+ ...qn/Qn</w:t>
            </w:r>
          </w:p>
          <w:p>
            <w:pPr>
              <w:pStyle w:val="64"/>
              <w:adjustRightInd/>
              <w:snapToGrid/>
              <w:spacing w:line="360" w:lineRule="auto"/>
              <w:ind w:firstLine="480" w:firstLineChars="200"/>
              <w:jc w:val="both"/>
              <w:rPr>
                <w:rFonts w:hint="eastAsia"/>
                <w:color w:val="auto"/>
              </w:rPr>
            </w:pPr>
            <w:r>
              <w:rPr>
                <w:color w:val="auto"/>
                <w:lang w:val="zh-CN"/>
              </w:rPr>
              <w:t>式中</w:t>
            </w:r>
            <w:r>
              <w:rPr>
                <w:color w:val="auto"/>
              </w:rPr>
              <w:t>：q1，q2，...，qn——</w:t>
            </w:r>
            <w:r>
              <w:rPr>
                <w:color w:val="auto"/>
                <w:lang w:val="zh-CN"/>
              </w:rPr>
              <w:t>每种危险物质的最大存在总量</w:t>
            </w:r>
            <w:r>
              <w:rPr>
                <w:color w:val="auto"/>
              </w:rPr>
              <w:t>，t</w:t>
            </w:r>
            <w:r>
              <w:rPr>
                <w:rFonts w:hint="eastAsia"/>
                <w:color w:val="auto"/>
              </w:rPr>
              <w:t>；</w:t>
            </w:r>
          </w:p>
          <w:p>
            <w:pPr>
              <w:pStyle w:val="64"/>
              <w:adjustRightInd/>
              <w:snapToGrid/>
              <w:spacing w:line="360" w:lineRule="auto"/>
              <w:ind w:firstLine="480" w:firstLineChars="200"/>
              <w:jc w:val="both"/>
              <w:rPr>
                <w:color w:val="auto"/>
                <w:lang w:val="zh-CN"/>
              </w:rPr>
            </w:pPr>
            <w:r>
              <w:rPr>
                <w:color w:val="auto"/>
                <w:lang w:val="zh-CN"/>
              </w:rPr>
              <w:t>Q1，Q2，...，Qn——每种危险物质的临界量，t</w:t>
            </w:r>
            <w:r>
              <w:rPr>
                <w:rFonts w:hint="eastAsia"/>
                <w:color w:val="auto"/>
                <w:lang w:val="zh-CN"/>
              </w:rPr>
              <w:t>；</w:t>
            </w:r>
          </w:p>
          <w:p>
            <w:pPr>
              <w:pStyle w:val="64"/>
              <w:adjustRightInd/>
              <w:snapToGrid/>
              <w:spacing w:line="360" w:lineRule="auto"/>
              <w:ind w:firstLine="480" w:firstLineChars="200"/>
              <w:jc w:val="both"/>
              <w:rPr>
                <w:color w:val="auto"/>
                <w:lang w:val="zh-CN"/>
              </w:rPr>
            </w:pPr>
            <w:r>
              <w:rPr>
                <w:color w:val="auto"/>
                <w:lang w:val="zh-CN"/>
              </w:rPr>
              <w:t>当Q&lt;1时，该项目环境风险潜势为I。</w:t>
            </w:r>
          </w:p>
          <w:p>
            <w:pPr>
              <w:pStyle w:val="64"/>
              <w:adjustRightInd/>
              <w:snapToGrid/>
              <w:spacing w:line="360" w:lineRule="auto"/>
              <w:ind w:firstLine="480" w:firstLineChars="200"/>
              <w:jc w:val="both"/>
              <w:rPr>
                <w:color w:val="auto"/>
                <w:lang w:val="zh-CN"/>
              </w:rPr>
            </w:pPr>
            <w:r>
              <w:rPr>
                <w:color w:val="auto"/>
                <w:lang w:val="zh-CN"/>
              </w:rPr>
              <w:t>当Q≥1时，将Q值划分为：（1）1≤Q&lt;10；（2）10≤Q&lt;100；（3）Q&gt;100；</w:t>
            </w:r>
          </w:p>
          <w:p>
            <w:pPr>
              <w:bidi w:val="0"/>
              <w:spacing w:line="360" w:lineRule="auto"/>
              <w:ind w:firstLine="480" w:firstLineChars="200"/>
              <w:rPr>
                <w:rFonts w:hint="default" w:ascii="Times New Roman" w:hAnsi="Times New Roman" w:eastAsia="宋体" w:cs="Times New Roman"/>
                <w:color w:val="auto"/>
                <w:sz w:val="24"/>
                <w:szCs w:val="24"/>
                <w:u w:val="single" w:color="auto"/>
                <w:lang w:val="en-US" w:eastAsia="zh-CN"/>
              </w:rPr>
            </w:pPr>
            <w:r>
              <w:rPr>
                <w:color w:val="auto"/>
                <w:sz w:val="24"/>
                <w:szCs w:val="24"/>
              </w:rPr>
              <w:t>根据《建设项目环境风险评价技术导则》（HJ169-2018）附录B进行辨识，本项目</w:t>
            </w:r>
            <w:r>
              <w:rPr>
                <w:rFonts w:hint="eastAsia"/>
                <w:color w:val="auto"/>
                <w:sz w:val="24"/>
                <w:szCs w:val="24"/>
                <w:lang w:val="en-US" w:eastAsia="zh-CN"/>
              </w:rPr>
              <w:t>Q值计算结果如下：</w:t>
            </w:r>
          </w:p>
          <w:p>
            <w:pPr>
              <w:bidi w:val="0"/>
              <w:spacing w:line="360" w:lineRule="auto"/>
              <w:jc w:val="center"/>
              <w:rPr>
                <w:rFonts w:hint="default" w:ascii="Times New Roman" w:hAnsi="Times New Roman" w:eastAsia="宋体" w:cs="Times New Roman"/>
                <w:b/>
                <w:bCs/>
                <w:color w:val="auto"/>
                <w:sz w:val="21"/>
                <w:szCs w:val="21"/>
                <w:u w:val="none" w:color="auto"/>
                <w:lang w:val="en-US" w:eastAsia="zh-CN"/>
              </w:rPr>
            </w:pPr>
            <w:r>
              <w:rPr>
                <w:rFonts w:hint="default" w:ascii="Times New Roman" w:hAnsi="Times New Roman" w:eastAsia="宋体" w:cs="Times New Roman"/>
                <w:b/>
                <w:bCs/>
                <w:color w:val="auto"/>
                <w:sz w:val="21"/>
                <w:szCs w:val="21"/>
                <w:u w:val="none" w:color="auto"/>
                <w:lang w:val="en-US" w:eastAsia="zh-CN"/>
              </w:rPr>
              <w:t>表4-1</w:t>
            </w:r>
            <w:r>
              <w:rPr>
                <w:rFonts w:hint="eastAsia" w:ascii="Times New Roman" w:hAnsi="Times New Roman" w:eastAsia="宋体" w:cs="Times New Roman"/>
                <w:b/>
                <w:bCs/>
                <w:color w:val="auto"/>
                <w:sz w:val="21"/>
                <w:szCs w:val="21"/>
                <w:u w:val="none" w:color="auto"/>
                <w:lang w:val="en-US" w:eastAsia="zh-CN"/>
              </w:rPr>
              <w:t>6</w:t>
            </w:r>
            <w:r>
              <w:rPr>
                <w:rFonts w:hint="default" w:ascii="Times New Roman" w:hAnsi="Times New Roman" w:eastAsia="宋体" w:cs="Times New Roman"/>
                <w:b/>
                <w:bCs/>
                <w:color w:val="auto"/>
                <w:sz w:val="21"/>
                <w:szCs w:val="21"/>
                <w:u w:val="none" w:color="auto"/>
                <w:lang w:val="en-US" w:eastAsia="zh-CN"/>
              </w:rPr>
              <w:t xml:space="preserve"> 项目突发环境事件风险物质Q值确定表</w:t>
            </w:r>
          </w:p>
          <w:tbl>
            <w:tblPr>
              <w:tblStyle w:val="26"/>
              <w:tblW w:w="80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6"/>
              <w:gridCol w:w="2257"/>
              <w:gridCol w:w="1110"/>
              <w:gridCol w:w="1763"/>
              <w:gridCol w:w="1063"/>
              <w:gridCol w:w="11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序号</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风险物质名称</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CAS号</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最大储存量q/t</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临界量Q/t</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Q值q/Q</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废铅蓄电池</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13.22</w:t>
                  </w:r>
                  <w:r>
                    <w:rPr>
                      <w:rFonts w:hint="eastAsia" w:cs="Times New Roman"/>
                      <w:color w:val="auto"/>
                      <w:sz w:val="21"/>
                      <w:szCs w:val="21"/>
                      <w:u w:val="wave" w:color="auto"/>
                      <w:vertAlign w:val="baseline"/>
                      <w:lang w:val="en-US" w:eastAsia="zh-CN"/>
                    </w:rPr>
                    <w:t>（其中硫酸含量为0.636）</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10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0.0636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2</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废油液（机油、润滑油、液压油、制动液等）</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4.26</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2500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3</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燃料油（汽柴油）</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2.31</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2500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4</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废有机溶剂与含有机溶剂废物</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0.59</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2500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废滤清器</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1.12</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6</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抹布手套</w:t>
                  </w:r>
                  <w:r>
                    <w:rPr>
                      <w:rFonts w:hint="default" w:ascii="Times New Roman" w:hAnsi="Times New Roman" w:eastAsia="宋体" w:cs="Times New Roman"/>
                      <w:color w:val="auto"/>
                      <w:sz w:val="21"/>
                      <w:szCs w:val="21"/>
                      <w:u w:val="wave" w:color="auto"/>
                      <w:vertAlign w:val="baseline"/>
                      <w:lang w:val="en-US" w:eastAsia="zh-CN"/>
                    </w:rPr>
                    <w:t>/</w:t>
                  </w:r>
                  <w:r>
                    <w:rPr>
                      <w:rFonts w:hint="eastAsia" w:ascii="Times New Roman" w:hAnsi="Times New Roman" w:eastAsia="宋体" w:cs="Times New Roman"/>
                      <w:color w:val="auto"/>
                      <w:sz w:val="21"/>
                      <w:szCs w:val="21"/>
                      <w:u w:val="wave" w:color="auto"/>
                      <w:vertAlign w:val="baseline"/>
                      <w:lang w:val="en-US" w:eastAsia="zh-CN"/>
                    </w:rPr>
                    <w:t>吸油毡</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0.04</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7</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废空调制冷剂</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0.35</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8</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废尾气净化装置</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1.98</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9</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含多氯联苯的电容器</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0.25</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10</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废电路板</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0.15</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11</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废有毒物质部件</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1.65</w:t>
                  </w:r>
                  <w:r>
                    <w:rPr>
                      <w:rFonts w:hint="eastAsia" w:cs="Times New Roman"/>
                      <w:color w:val="auto"/>
                      <w:sz w:val="21"/>
                      <w:szCs w:val="21"/>
                      <w:u w:val="wave" w:color="auto"/>
                      <w:vertAlign w:val="baseline"/>
                      <w:lang w:val="en-US" w:eastAsia="zh-CN"/>
                    </w:rPr>
                    <w:t>（其中汞含量为0.000165）</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0.5</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w:t>
                  </w:r>
                  <w:r>
                    <w:rPr>
                      <w:rFonts w:hint="eastAsia" w:cs="Times New Roman"/>
                      <w:color w:val="auto"/>
                      <w:sz w:val="21"/>
                      <w:szCs w:val="21"/>
                      <w:u w:val="wave" w:color="auto"/>
                      <w:vertAlign w:val="baseline"/>
                      <w:lang w:val="en-US" w:eastAsia="zh-CN"/>
                    </w:rPr>
                    <w:t>00</w:t>
                  </w:r>
                  <w:r>
                    <w:rPr>
                      <w:rFonts w:hint="default" w:ascii="Times New Roman" w:hAnsi="Times New Roman" w:eastAsia="宋体" w:cs="Times New Roman"/>
                      <w:color w:val="auto"/>
                      <w:sz w:val="21"/>
                      <w:szCs w:val="21"/>
                      <w:u w:val="wave" w:color="auto"/>
                      <w:vertAlign w:val="baseline"/>
                      <w:lang w:val="en-US" w:eastAsia="zh-CN"/>
                    </w:rPr>
                    <w:t>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12</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废活性炭</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1</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w:t>
                  </w:r>
                  <w:r>
                    <w:rPr>
                      <w:rFonts w:hint="eastAsia" w:cs="Times New Roman"/>
                      <w:color w:val="auto"/>
                      <w:sz w:val="21"/>
                      <w:szCs w:val="21"/>
                      <w:u w:val="wave" w:color="auto"/>
                      <w:vertAlign w:val="baseline"/>
                      <w:lang w:val="en-US" w:eastAsia="zh-CN"/>
                    </w:rPr>
                    <w:t>3</w:t>
                  </w:r>
                </w:p>
              </w:tc>
              <w:tc>
                <w:tcPr>
                  <w:tcW w:w="22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初期雨水收集池、隔油沉淀池废油及污泥</w:t>
                  </w:r>
                </w:p>
              </w:tc>
              <w:tc>
                <w:tcPr>
                  <w:tcW w:w="1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w:t>
                  </w:r>
                </w:p>
              </w:tc>
              <w:tc>
                <w:tcPr>
                  <w:tcW w:w="17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0.10</w:t>
                  </w:r>
                </w:p>
              </w:tc>
              <w:tc>
                <w:tcPr>
                  <w:tcW w:w="10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50</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89"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合计</w:t>
                  </w:r>
                </w:p>
              </w:tc>
              <w:tc>
                <w:tcPr>
                  <w:tcW w:w="114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1"/>
                      <w:u w:val="wave" w:color="auto"/>
                      <w:vertAlign w:val="baseline"/>
                      <w:lang w:val="en-US" w:eastAsia="zh-CN"/>
                    </w:rPr>
                    <w:t>0.1665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29"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备注：①废铅酸电池：铅酸电池中电解液占比约为13%（其中硫酸浓度约为30%～37%）；</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both"/>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②含汞开关：内含汞，参考《关于化学品注册、评估、许可和限制的法规》规定，物品中或任何部件中含有大于或等于0.01%的5种苯汞化合物不得投放市场，故开关内汞含量按最大值0.01%折算。</w:t>
                  </w:r>
                </w:p>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both"/>
                    <w:textAlignment w:val="auto"/>
                    <w:rPr>
                      <w:rFonts w:hint="eastAsia" w:ascii="Times New Roman" w:hAnsi="Times New Roman" w:eastAsia="宋体" w:cs="Times New Roman"/>
                      <w:color w:val="auto"/>
                      <w:sz w:val="21"/>
                      <w:szCs w:val="21"/>
                      <w:u w:val="wave" w:color="auto"/>
                      <w:vertAlign w:val="baseline"/>
                      <w:lang w:val="en-US" w:eastAsia="zh-CN"/>
                    </w:rPr>
                  </w:pPr>
                  <w:r>
                    <w:rPr>
                      <w:rFonts w:hint="eastAsia" w:ascii="Times New Roman" w:hAnsi="Times New Roman" w:eastAsia="宋体" w:cs="Times New Roman"/>
                      <w:color w:val="auto"/>
                      <w:sz w:val="21"/>
                      <w:szCs w:val="21"/>
                      <w:u w:val="wave" w:color="auto"/>
                      <w:vertAlign w:val="baseline"/>
                      <w:lang w:val="en-US" w:eastAsia="zh-CN"/>
                    </w:rPr>
                    <w:t>③废油液临界量来源于《建设项目环境风险评价技术导则》（HJ169-2018）表B.1，其他物质临界量参照《建设项目环境风险评价技术导则》（HJ169-2018）表B.2其他危险物质临界量推荐值。</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32"/>
                <w:u w:val="none" w:color="auto"/>
                <w:lang w:val="en-US" w:eastAsia="zh-CN"/>
              </w:rPr>
            </w:pPr>
            <w:r>
              <w:rPr>
                <w:rFonts w:hint="default" w:ascii="Times New Roman" w:hAnsi="Times New Roman" w:eastAsia="宋体" w:cs="Times New Roman"/>
                <w:color w:val="auto"/>
                <w:sz w:val="24"/>
                <w:szCs w:val="32"/>
                <w:u w:val="none" w:color="auto"/>
                <w:lang w:val="en-US" w:eastAsia="zh-CN"/>
              </w:rPr>
              <w:t>由上表可知，本项目风险物质最大储存量均低于临界量，总Q值=</w:t>
            </w:r>
            <w:r>
              <w:rPr>
                <w:rFonts w:hint="eastAsia" w:cs="Times New Roman"/>
                <w:color w:val="auto"/>
                <w:sz w:val="24"/>
                <w:szCs w:val="32"/>
                <w:u w:val="none" w:color="auto"/>
                <w:lang w:val="en-US" w:eastAsia="zh-CN"/>
              </w:rPr>
              <w:t>0.1665</w:t>
            </w:r>
            <w:r>
              <w:rPr>
                <w:rFonts w:hint="default" w:ascii="Times New Roman" w:hAnsi="Times New Roman" w:eastAsia="宋体" w:cs="Times New Roman"/>
                <w:color w:val="auto"/>
                <w:sz w:val="24"/>
                <w:szCs w:val="32"/>
                <w:u w:val="none" w:color="auto"/>
                <w:lang w:val="en-US" w:eastAsia="zh-CN"/>
              </w:rPr>
              <w:t>&lt;1。</w:t>
            </w:r>
            <w:r>
              <w:rPr>
                <w:rFonts w:hint="default" w:ascii="Times New Roman" w:hAnsi="Times New Roman" w:eastAsia="宋体" w:cs="Times New Roman"/>
                <w:color w:val="auto"/>
                <w:sz w:val="24"/>
                <w:szCs w:val="24"/>
              </w:rPr>
              <w:t>根据《建设项目环境风险评价技术导则》（HJ169-2018）4.3评价工作等级划分，本项目</w:t>
            </w:r>
            <w:r>
              <w:rPr>
                <w:rFonts w:hint="eastAsia" w:ascii="Times New Roman" w:hAnsi="Times New Roman" w:eastAsia="宋体" w:cs="Times New Roman"/>
                <w:color w:val="auto"/>
                <w:sz w:val="24"/>
                <w:szCs w:val="24"/>
                <w:lang w:eastAsia="zh-CN"/>
              </w:rPr>
              <w:t>风险</w:t>
            </w:r>
            <w:r>
              <w:rPr>
                <w:rFonts w:hint="default" w:ascii="Times New Roman" w:hAnsi="Times New Roman" w:eastAsia="宋体" w:cs="Times New Roman"/>
                <w:color w:val="auto"/>
                <w:sz w:val="24"/>
                <w:szCs w:val="24"/>
              </w:rPr>
              <w:t>评价等级为简单分析</w:t>
            </w:r>
            <w:r>
              <w:rPr>
                <w:rFonts w:hint="default" w:ascii="Times New Roman" w:hAnsi="Times New Roman" w:eastAsia="宋体" w:cs="Times New Roman"/>
                <w:color w:val="auto"/>
                <w:sz w:val="24"/>
                <w:szCs w:val="32"/>
                <w:u w:val="none" w:color="auto"/>
                <w:lang w:val="en-US" w:eastAsia="zh-CN"/>
              </w:rPr>
              <w:t>。</w:t>
            </w:r>
          </w:p>
          <w:p>
            <w:pPr>
              <w:bidi w:val="0"/>
              <w:spacing w:line="360" w:lineRule="auto"/>
              <w:ind w:firstLine="482" w:firstLineChars="200"/>
              <w:rPr>
                <w:rFonts w:hint="default" w:ascii="Times New Roman" w:hAnsi="Times New Roman" w:eastAsia="宋体" w:cs="Times New Roman"/>
                <w:b/>
                <w:bCs/>
                <w:color w:val="auto"/>
                <w:sz w:val="24"/>
                <w:szCs w:val="32"/>
                <w:u w:val="wave" w:color="auto"/>
                <w:lang w:val="en-US" w:eastAsia="zh-CN"/>
              </w:rPr>
            </w:pPr>
            <w:r>
              <w:rPr>
                <w:rFonts w:hint="eastAsia" w:ascii="Times New Roman" w:hAnsi="Times New Roman" w:eastAsia="宋体" w:cs="Times New Roman"/>
                <w:b/>
                <w:bCs/>
                <w:color w:val="auto"/>
                <w:sz w:val="24"/>
                <w:szCs w:val="32"/>
                <w:u w:val="wave" w:color="auto"/>
                <w:lang w:val="en-US" w:eastAsia="zh-CN"/>
              </w:rPr>
              <w:t>2、环境风险识别与分析</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本项目位于衡阳市衡阳县阳古社区湖南衡利丰陶瓷有限公司内（属于湖南衡阳西渡高新技术产业开发园区范围内），项目周边500m范围内环境敏感目标信息见第三章节环境敏感目标分布。</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本项目运营过程中的安全事故或一些其他突发性事故会导致环境风险物质泄露到环境。</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color w:val="auto"/>
                <w:sz w:val="24"/>
                <w:szCs w:val="32"/>
                <w:u w:val="wave" w:color="auto"/>
                <w:lang w:val="en-US" w:eastAsia="zh-CN"/>
              </w:rPr>
              <w:t>1）</w:t>
            </w:r>
            <w:r>
              <w:rPr>
                <w:rFonts w:hint="eastAsia" w:ascii="Times New Roman" w:hAnsi="Times New Roman" w:eastAsia="宋体"/>
                <w:color w:val="auto"/>
                <w:sz w:val="24"/>
                <w:szCs w:val="32"/>
                <w:u w:val="wave" w:color="auto"/>
              </w:rPr>
              <w:t>汽油、废油液、油箱拆解</w:t>
            </w:r>
            <w:r>
              <w:rPr>
                <w:rFonts w:hint="eastAsia" w:ascii="Times New Roman" w:hAnsi="Times New Roman" w:eastAsia="宋体"/>
                <w:color w:val="auto"/>
                <w:sz w:val="24"/>
                <w:szCs w:val="32"/>
                <w:u w:val="wave" w:color="auto"/>
                <w:lang w:val="en-US" w:eastAsia="zh-CN"/>
              </w:rPr>
              <w:t>发生油类泄漏</w:t>
            </w:r>
            <w:r>
              <w:rPr>
                <w:rFonts w:hint="eastAsia" w:ascii="Times New Roman" w:hAnsi="Times New Roman" w:eastAsia="宋体"/>
                <w:color w:val="auto"/>
                <w:sz w:val="24"/>
                <w:szCs w:val="32"/>
                <w:u w:val="wave" w:color="auto"/>
                <w:lang w:eastAsia="zh-CN"/>
              </w:rPr>
              <w:t>，</w:t>
            </w:r>
            <w:r>
              <w:rPr>
                <w:rFonts w:hint="eastAsia" w:ascii="Times New Roman" w:hAnsi="Times New Roman" w:eastAsia="宋体"/>
                <w:color w:val="auto"/>
                <w:sz w:val="24"/>
                <w:szCs w:val="32"/>
                <w:u w:val="wave" w:color="auto"/>
              </w:rPr>
              <w:t>遇明火很容易就会被点燃而引发火灾，火灾燃烧产生的废气次生污染以及消防过程产生的消防废水也可能对区域空气、地表水、土壤、地下水等环境因素造成污染</w:t>
            </w:r>
            <w:r>
              <w:rPr>
                <w:rFonts w:hint="eastAsia" w:ascii="Times New Roman" w:hAnsi="Times New Roman" w:eastAsia="宋体"/>
                <w:color w:val="auto"/>
                <w:sz w:val="24"/>
                <w:szCs w:val="32"/>
                <w:u w:val="wave" w:color="auto"/>
                <w:lang w:val="en-US" w:eastAsia="zh-CN"/>
              </w:rPr>
              <w:t>。</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color w:val="auto"/>
                <w:sz w:val="24"/>
                <w:szCs w:val="32"/>
                <w:u w:val="wave" w:color="auto"/>
                <w:lang w:val="en-US" w:eastAsia="zh-CN"/>
              </w:rPr>
              <w:t>2）</w:t>
            </w:r>
            <w:r>
              <w:rPr>
                <w:rFonts w:hint="eastAsia" w:ascii="Times New Roman" w:hAnsi="Times New Roman" w:eastAsia="宋体"/>
                <w:color w:val="auto"/>
                <w:sz w:val="24"/>
                <w:szCs w:val="32"/>
                <w:u w:val="wave" w:color="auto"/>
                <w:lang w:val="en-US" w:eastAsia="zh-CN"/>
              </w:rPr>
              <w:t>铅蓄电池可能由于拆解、贮存装置破裂、操作不当等造成泄露，导致人员中毒和环境污染。</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rPr>
              <w:t>废铅酸蓄电池采用专用的存放箱存放，若在搬运过程中箱子跌落，电池破损，泄漏的电解液直接泄漏在储存箱内。开启储存箱进行清理时，电解液中的硫酸少量挥发，对事故处理的工作人员和场区内环境空气造成影响，电解液泄漏至环境中可能对环境空气、地下水产生影响</w:t>
            </w:r>
            <w:r>
              <w:rPr>
                <w:rFonts w:hint="eastAsia" w:ascii="Times New Roman" w:hAnsi="Times New Roman" w:eastAsia="宋体"/>
                <w:color w:val="auto"/>
                <w:sz w:val="24"/>
                <w:szCs w:val="32"/>
                <w:u w:val="wave" w:color="auto"/>
                <w:lang w:val="en-US" w:eastAsia="zh-CN"/>
              </w:rPr>
              <w:t>。</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3）环保设施故障风险事故影响分析</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项目废水处理设施可能发生的事故有：</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①由于管道堵塞、造成废水外溢，污染地表水、地下水及土壤。</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②由于水泵损坏、排水不畅时易引起废水漫溢。</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③由于管理不当等原因，高效油水分离设施处理效率降低，废水不能达标排放。发生高效</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ascii="Times New Roman" w:hAnsi="Times New Roman" w:eastAsia="宋体"/>
                <w:color w:val="auto"/>
                <w:sz w:val="24"/>
                <w:szCs w:val="32"/>
                <w:u w:val="wave" w:color="auto"/>
                <w:lang w:val="en-US" w:eastAsia="zh-CN"/>
              </w:rPr>
              <w:t>油水分离设施事故时应将生产废水排入事故应急池，待高效油水分离设施运行正常后再将事故应急水池内生产废水处理。</w:t>
            </w:r>
          </w:p>
          <w:p>
            <w:pPr>
              <w:bidi w:val="0"/>
              <w:spacing w:line="360" w:lineRule="auto"/>
              <w:ind w:firstLine="480" w:firstLineChars="200"/>
              <w:rPr>
                <w:rFonts w:hint="eastAsia" w:ascii="Times New Roman" w:hAnsi="Times New Roman" w:eastAsia="宋体"/>
                <w:color w:val="auto"/>
                <w:sz w:val="24"/>
                <w:szCs w:val="32"/>
                <w:u w:val="wave" w:color="auto"/>
                <w:lang w:val="en-US" w:eastAsia="zh-CN"/>
              </w:rPr>
            </w:pPr>
            <w:r>
              <w:rPr>
                <w:rFonts w:hint="eastAsia"/>
                <w:color w:val="auto"/>
                <w:sz w:val="24"/>
                <w:szCs w:val="32"/>
                <w:u w:val="wave" w:color="auto"/>
                <w:lang w:val="en-US" w:eastAsia="zh-CN"/>
              </w:rPr>
              <w:t>4）</w:t>
            </w:r>
            <w:r>
              <w:rPr>
                <w:rFonts w:hint="eastAsia" w:ascii="Times New Roman" w:hAnsi="Times New Roman" w:eastAsia="宋体"/>
                <w:color w:val="auto"/>
                <w:sz w:val="24"/>
                <w:szCs w:val="32"/>
                <w:u w:val="wave" w:color="auto"/>
                <w:lang w:val="en-US" w:eastAsia="zh-CN"/>
              </w:rPr>
              <w:t>危险废物在收集、贮存、运送过程中可能存在的风险</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bCs/>
                <w:color w:val="auto"/>
                <w:sz w:val="24"/>
                <w:szCs w:val="32"/>
                <w:u w:val="none" w:color="auto"/>
                <w:lang w:val="en-US" w:eastAsia="zh-CN"/>
              </w:rPr>
            </w:pPr>
            <w:r>
              <w:rPr>
                <w:rFonts w:hint="eastAsia" w:ascii="Times New Roman" w:hAnsi="Times New Roman" w:eastAsia="宋体" w:cs="Times New Roman"/>
                <w:b/>
                <w:bCs/>
                <w:color w:val="auto"/>
                <w:sz w:val="24"/>
                <w:szCs w:val="32"/>
                <w:u w:val="none" w:color="auto"/>
                <w:lang w:val="en-US" w:eastAsia="zh-CN"/>
              </w:rPr>
              <w:t>3、风险防范措施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（1）火灾事故的风险防范措施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a、火患往往起于细微之处，要格外注意用电的安全，合理布置电源电线的使用。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b、车间工作人员及相关责任人均应熟悉其放置地点、用法，而且要经常检查，消防通道保持畅通。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c、应加强消防设施及消防教育建设，对重要场所需要重点防范，制定严格的操作规范，避免火灾等事故发生。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d、确保安全出口和疏散通道畅通无阻。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e、加强电气防火安全管理，消除火灾隐患，不得超负荷用电，不得擅自拉接临时电线。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f、定期对操作人员进行安全生产与安全知识培训，并制定严格的安全操作规程，切实加强生产过程中的温度控制，保证劳动安全，防止意外事故的。发生。应加强消防设施及消防教育建设，制定严格的操作规范，避免火灾等事故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（2）安全管理风险防范措施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a、设计中严格执行国家、行业有关劳动安全卫生的法规和标准规范，完善厂内备用电系统，为了防止因停电而造成事故性排放的发生，厂内必须配套完善备用电系统，采用双电路供电，瞬时切换等。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b、建立安全生产岗位责任制，制定完善的安全生产规章制度、安全操作规程、安全生产检查制度、禁火管理制度、事故管理制度等，必须切实加强安全管理，提高事故防范能力，员工实行持证上岗。易燃、易爆生产装置区、管道等危险区域设置永久性《严禁烟火》标志，按照《工业管路的基本识别色和识别符号》的规定对相关设备涂标志色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ascii="Times New Roman" w:hAnsi="Times New Roman" w:eastAsia="宋体"/>
                <w:color w:val="auto"/>
                <w:sz w:val="24"/>
                <w:szCs w:val="32"/>
                <w:u w:val="none" w:color="auto"/>
              </w:rPr>
              <w:t>c、应加强对从业人员的安全卫生教育和技术培训，使职工较全面的接受有关安全卫生的政策、法规教育，增强法制观念，不断强化职工安全意识，不断提高职工安全素质，增强职工处理突发安全事故的能力。在各生产装置内应按编制情况设专职安全员，并按规范配备个人劳动防护用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color w:val="auto"/>
                <w:sz w:val="24"/>
                <w:szCs w:val="32"/>
                <w:u w:val="none" w:color="auto"/>
                <w:lang w:eastAsia="zh-CN"/>
              </w:rPr>
            </w:pPr>
            <w:r>
              <w:rPr>
                <w:rFonts w:hint="eastAsia" w:ascii="Times New Roman" w:hAnsi="Times New Roman" w:eastAsia="宋体"/>
                <w:color w:val="auto"/>
                <w:sz w:val="24"/>
                <w:szCs w:val="32"/>
                <w:u w:val="none" w:color="auto"/>
              </w:rPr>
              <w:t>d、为了在发生风险事故时，能以最快的速度发挥最大的效能，有序的实施救援，尽快控制事态的发展，降低事故造成的危害，减少事故造成的损失</w:t>
            </w:r>
            <w:r>
              <w:rPr>
                <w:rFonts w:hint="eastAsia"/>
                <w:color w:val="auto"/>
                <w:sz w:val="24"/>
                <w:szCs w:val="32"/>
                <w:u w:val="none" w:color="auto"/>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b/>
                <w:bCs/>
                <w:color w:val="auto"/>
                <w:sz w:val="24"/>
                <w:szCs w:val="32"/>
                <w:u w:val="none" w:color="auto"/>
              </w:rPr>
            </w:pPr>
            <w:r>
              <w:rPr>
                <w:rFonts w:hint="eastAsia" w:ascii="Times New Roman" w:hAnsi="Times New Roman" w:eastAsia="宋体"/>
                <w:b/>
                <w:bCs/>
                <w:color w:val="auto"/>
                <w:sz w:val="24"/>
                <w:szCs w:val="32"/>
                <w:u w:val="none" w:color="auto"/>
                <w:lang w:val="en-US" w:eastAsia="zh-CN"/>
              </w:rPr>
              <w:t>4、</w:t>
            </w:r>
            <w:r>
              <w:rPr>
                <w:rFonts w:hint="eastAsia" w:ascii="Times New Roman" w:hAnsi="Times New Roman" w:eastAsia="宋体"/>
                <w:b/>
                <w:bCs/>
                <w:color w:val="auto"/>
                <w:sz w:val="24"/>
                <w:szCs w:val="32"/>
                <w:u w:val="none" w:color="auto"/>
              </w:rPr>
              <w:t>风险防范综合措施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wave" w:color="auto"/>
              </w:rPr>
            </w:pPr>
            <w:r>
              <w:rPr>
                <w:rFonts w:hint="eastAsia"/>
                <w:color w:val="auto"/>
                <w:sz w:val="24"/>
                <w:szCs w:val="32"/>
                <w:u w:val="wave" w:color="auto"/>
                <w:lang w:val="en-US" w:eastAsia="zh-CN"/>
              </w:rPr>
              <w:t>1）</w:t>
            </w:r>
            <w:r>
              <w:rPr>
                <w:rFonts w:hint="eastAsia" w:ascii="Times New Roman" w:hAnsi="Times New Roman" w:eastAsia="宋体"/>
                <w:color w:val="auto"/>
                <w:sz w:val="24"/>
                <w:szCs w:val="32"/>
                <w:u w:val="wave" w:color="auto"/>
              </w:rPr>
              <w:t>事故应急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olor w:val="auto"/>
                <w:sz w:val="24"/>
                <w:szCs w:val="32"/>
                <w:u w:val="wave" w:color="auto"/>
              </w:rPr>
            </w:pPr>
            <w:r>
              <w:rPr>
                <w:rFonts w:hint="eastAsia" w:ascii="Times New Roman" w:hAnsi="Times New Roman" w:eastAsia="宋体"/>
                <w:b/>
                <w:bCs/>
                <w:color w:val="auto"/>
                <w:sz w:val="24"/>
                <w:szCs w:val="32"/>
                <w:u w:val="wave" w:color="auto"/>
              </w:rPr>
              <w:t>车间内：</w:t>
            </w:r>
            <w:r>
              <w:rPr>
                <w:rFonts w:hint="eastAsia" w:ascii="Times New Roman" w:hAnsi="Times New Roman" w:eastAsia="宋体"/>
                <w:color w:val="auto"/>
                <w:sz w:val="24"/>
                <w:szCs w:val="32"/>
                <w:u w:val="wave" w:color="auto"/>
              </w:rPr>
              <w:t>为应对在作业、贮存等环节发生液态危险废物泄漏事故时，能够及时收集，避免对外部环境造成影响。建设单位拟对车间内事故应急采取的措施如下：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wave" w:color="auto"/>
              </w:rPr>
            </w:pPr>
            <w:r>
              <w:rPr>
                <w:rFonts w:hint="eastAsia" w:ascii="Times New Roman" w:hAnsi="Times New Roman" w:eastAsia="宋体"/>
                <w:color w:val="auto"/>
                <w:sz w:val="24"/>
                <w:szCs w:val="32"/>
                <w:u w:val="wave" w:color="auto"/>
              </w:rPr>
              <w:t>a、对拆解车间地面硬化并进行防渗漏处理，设置污水隔断沟和收集池；b、一般固废暂存区按照标准要求在室内存放并防雨水渗入，设导流沟；c、有色金属存放区分类存放，含油的有色金属中存放在发动机拆解车间，并设置导流沟和收集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wave" w:color="auto"/>
              </w:rPr>
            </w:pPr>
            <w:r>
              <w:rPr>
                <w:rFonts w:hint="eastAsia" w:ascii="Times New Roman" w:hAnsi="Times New Roman" w:eastAsia="宋体"/>
                <w:color w:val="auto"/>
                <w:sz w:val="24"/>
                <w:szCs w:val="32"/>
                <w:u w:val="wave" w:color="auto"/>
              </w:rPr>
              <w:t>本项目产生的废油液等危险废物由专用的危废收集桶收集后贮存于厂内危废暂存间，在危废暂存间内分区分类暂存，液态危废区域设置有围堰，同时危废暂存间设有集液池，一般情况下，泄漏的废油液可在危废暂存间内得到有效收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olor w:val="auto"/>
                <w:sz w:val="24"/>
                <w:szCs w:val="32"/>
                <w:u w:val="wave" w:color="auto"/>
              </w:rPr>
            </w:pPr>
            <w:r>
              <w:rPr>
                <w:rFonts w:hint="eastAsia" w:ascii="Times New Roman" w:hAnsi="Times New Roman" w:eastAsia="宋体"/>
                <w:b/>
                <w:bCs/>
                <w:color w:val="auto"/>
                <w:sz w:val="24"/>
                <w:szCs w:val="32"/>
                <w:u w:val="wave" w:color="auto"/>
              </w:rPr>
              <w:t>车间外：</w:t>
            </w:r>
            <w:r>
              <w:rPr>
                <w:rFonts w:hint="eastAsia" w:ascii="Times New Roman" w:hAnsi="Times New Roman" w:eastAsia="宋体"/>
                <w:color w:val="auto"/>
                <w:sz w:val="24"/>
                <w:szCs w:val="32"/>
                <w:u w:val="wave" w:color="auto"/>
              </w:rPr>
              <w:t>火灾后产生的消防废水，以及废水处理设施进水水质不稳定、设备故障，致废水超标排放。消防废水中主要污染物石油、SS，厂区内设初期雨水池，容量足够容纳本项目全厂一次消防废水量，消防废水收集经</w:t>
            </w:r>
            <w:r>
              <w:rPr>
                <w:rFonts w:hint="eastAsia"/>
                <w:color w:val="auto"/>
                <w:sz w:val="24"/>
                <w:szCs w:val="32"/>
                <w:u w:val="wave" w:color="auto"/>
                <w:lang w:eastAsia="zh-CN"/>
              </w:rPr>
              <w:t>三级隔油沉淀池</w:t>
            </w:r>
            <w:r>
              <w:rPr>
                <w:rFonts w:hint="eastAsia"/>
                <w:color w:val="auto"/>
                <w:sz w:val="24"/>
                <w:szCs w:val="32"/>
                <w:u w:val="wave" w:color="auto"/>
                <w:lang w:val="en-US" w:eastAsia="zh-CN"/>
              </w:rPr>
              <w:t>+高效</w:t>
            </w:r>
            <w:r>
              <w:rPr>
                <w:rFonts w:hint="eastAsia" w:ascii="Times New Roman" w:hAnsi="Times New Roman" w:eastAsia="宋体"/>
                <w:color w:val="auto"/>
                <w:sz w:val="24"/>
                <w:szCs w:val="32"/>
                <w:u w:val="wave" w:color="auto"/>
              </w:rPr>
              <w:t>油水分离器处理达标后排入衡阳县西渡高新区污水处理厂，因此可将超标废水外排的风险控制在管理层面上。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color w:val="auto"/>
                <w:sz w:val="24"/>
                <w:szCs w:val="32"/>
                <w:u w:val="none" w:color="auto"/>
                <w:lang w:val="en-US" w:eastAsia="zh-CN"/>
              </w:rPr>
              <w:t>2）</w:t>
            </w:r>
            <w:r>
              <w:rPr>
                <w:rFonts w:hint="eastAsia" w:ascii="Times New Roman" w:hAnsi="Times New Roman" w:eastAsia="宋体"/>
                <w:color w:val="auto"/>
                <w:sz w:val="24"/>
                <w:szCs w:val="32"/>
                <w:u w:val="none" w:color="auto"/>
              </w:rPr>
              <w:t>强化安全生产管理，必须制订岗位责任制，将责任落实到部门和个人严格遵守操作规程，严格遵守</w:t>
            </w:r>
            <w:r>
              <w:rPr>
                <w:rFonts w:hint="eastAsia"/>
                <w:color w:val="auto"/>
                <w:sz w:val="24"/>
                <w:szCs w:val="32"/>
                <w:u w:val="none" w:color="auto"/>
                <w:lang w:eastAsia="zh-CN"/>
              </w:rPr>
              <w:t>《危险化学品安全管理条例》</w:t>
            </w:r>
            <w:r>
              <w:rPr>
                <w:rFonts w:hint="eastAsia" w:ascii="Times New Roman" w:hAnsi="Times New Roman" w:eastAsia="宋体"/>
                <w:color w:val="auto"/>
                <w:sz w:val="24"/>
                <w:szCs w:val="32"/>
                <w:u w:val="none" w:color="auto"/>
              </w:rPr>
              <w:t>及国家、地方关于易燃、易爆、有毒有害物料的储运使用安全规定。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color w:val="auto"/>
                <w:sz w:val="24"/>
                <w:szCs w:val="32"/>
                <w:u w:val="none" w:color="auto"/>
                <w:lang w:val="en-US" w:eastAsia="zh-CN"/>
              </w:rPr>
              <w:t>3）</w:t>
            </w:r>
            <w:r>
              <w:rPr>
                <w:rFonts w:hint="eastAsia" w:ascii="Times New Roman" w:hAnsi="Times New Roman" w:eastAsia="宋体"/>
                <w:color w:val="auto"/>
                <w:sz w:val="24"/>
                <w:szCs w:val="32"/>
                <w:u w:val="none" w:color="auto"/>
              </w:rPr>
              <w:t>建立健全环保及安全管理部门，该部门应加强监督检查，按规定监测厂内外空气及水体中的有毒有害物质，及时发现，立即处理，避免污染。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color w:val="auto"/>
                <w:sz w:val="24"/>
                <w:szCs w:val="32"/>
                <w:u w:val="none" w:color="auto"/>
                <w:lang w:val="en-US" w:eastAsia="zh-CN"/>
              </w:rPr>
              <w:t>4）</w:t>
            </w:r>
            <w:r>
              <w:rPr>
                <w:rFonts w:hint="eastAsia" w:ascii="Times New Roman" w:hAnsi="Times New Roman" w:eastAsia="宋体"/>
                <w:color w:val="auto"/>
                <w:sz w:val="24"/>
                <w:szCs w:val="32"/>
                <w:u w:val="none" w:color="auto"/>
              </w:rPr>
              <w:t>建设单位应编制建设项目环境风险应急预案，报环保部门批准后生产中实施，并安排环境风险应急预案及风险污染处置演练，进行应急处置宣传、教育。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olor w:val="auto"/>
                <w:sz w:val="24"/>
                <w:szCs w:val="32"/>
                <w:u w:val="none" w:color="auto"/>
              </w:rPr>
            </w:pPr>
            <w:r>
              <w:rPr>
                <w:rFonts w:hint="eastAsia"/>
                <w:color w:val="auto"/>
                <w:sz w:val="24"/>
                <w:szCs w:val="32"/>
                <w:u w:val="none" w:color="auto"/>
                <w:lang w:val="en-US" w:eastAsia="zh-CN"/>
              </w:rPr>
              <w:t>5）</w:t>
            </w:r>
            <w:r>
              <w:rPr>
                <w:rFonts w:hint="eastAsia" w:ascii="Times New Roman" w:hAnsi="Times New Roman" w:eastAsia="宋体"/>
                <w:color w:val="auto"/>
                <w:sz w:val="24"/>
                <w:szCs w:val="32"/>
                <w:u w:val="none" w:color="auto"/>
              </w:rPr>
              <w:t>成立事故应急处理小组，由车间安全负责人担任事故应急小组组长，一旦</w:t>
            </w:r>
            <w:r>
              <w:rPr>
                <w:rFonts w:hint="eastAsia" w:ascii="Times New Roman" w:hAnsi="Times New Roman" w:eastAsia="宋体"/>
                <w:color w:val="auto"/>
                <w:sz w:val="24"/>
                <w:szCs w:val="32"/>
                <w:u w:val="none" w:color="auto"/>
                <w:lang w:eastAsia="zh-CN"/>
              </w:rPr>
              <w:t>发生</w:t>
            </w:r>
            <w:r>
              <w:rPr>
                <w:rFonts w:hint="eastAsia" w:ascii="Times New Roman" w:hAnsi="Times New Roman" w:eastAsia="宋体"/>
                <w:color w:val="auto"/>
                <w:sz w:val="24"/>
                <w:szCs w:val="32"/>
                <w:u w:val="none" w:color="auto"/>
              </w:rPr>
              <w:t>火灾等事故，应立即启动事故应急预案，并向有关环境管理部门汇报情况，协助环境管理部门进行应急监测等工作。</w:t>
            </w:r>
          </w:p>
          <w:p>
            <w:pPr>
              <w:snapToGrid w:val="0"/>
              <w:spacing w:line="240" w:lineRule="auto"/>
              <w:contextualSpacing/>
              <w:jc w:val="center"/>
              <w:rPr>
                <w:rFonts w:hint="default" w:ascii="Times New Roman" w:hAnsi="Times New Roman" w:eastAsia="宋体" w:cs="Times New Roman"/>
                <w:b/>
                <w:color w:val="auto"/>
                <w:sz w:val="21"/>
                <w:u w:val="none" w:color="auto"/>
              </w:rPr>
            </w:pPr>
          </w:p>
          <w:p>
            <w:pPr>
              <w:snapToGrid w:val="0"/>
              <w:spacing w:line="360" w:lineRule="auto"/>
              <w:contextualSpacing/>
              <w:jc w:val="center"/>
              <w:rPr>
                <w:rFonts w:hint="default" w:ascii="Times New Roman" w:hAnsi="Times New Roman" w:eastAsia="宋体" w:cs="Times New Roman"/>
                <w:b/>
                <w:color w:val="auto"/>
                <w:sz w:val="21"/>
                <w:szCs w:val="18"/>
                <w:u w:val="none" w:color="auto"/>
              </w:rPr>
            </w:pPr>
            <w:r>
              <w:rPr>
                <w:rFonts w:hint="default" w:ascii="Times New Roman" w:hAnsi="Times New Roman" w:eastAsia="宋体" w:cs="Times New Roman"/>
                <w:b/>
                <w:color w:val="auto"/>
                <w:sz w:val="21"/>
                <w:u w:val="none" w:color="auto"/>
              </w:rPr>
              <w:t>表</w:t>
            </w:r>
            <w:r>
              <w:rPr>
                <w:rFonts w:hint="default" w:ascii="Times New Roman" w:hAnsi="Times New Roman" w:eastAsia="宋体" w:cs="Times New Roman"/>
                <w:b/>
                <w:color w:val="auto"/>
                <w:sz w:val="21"/>
                <w:u w:val="none" w:color="auto"/>
                <w:lang w:val="en-US" w:eastAsia="zh-CN"/>
              </w:rPr>
              <w:t>4-1</w:t>
            </w:r>
            <w:r>
              <w:rPr>
                <w:rFonts w:hint="eastAsia" w:ascii="Times New Roman" w:hAnsi="Times New Roman" w:eastAsia="宋体" w:cs="Times New Roman"/>
                <w:b/>
                <w:color w:val="auto"/>
                <w:sz w:val="21"/>
                <w:u w:val="none" w:color="auto"/>
                <w:lang w:val="en-US" w:eastAsia="zh-CN"/>
              </w:rPr>
              <w:t>7</w:t>
            </w:r>
            <w:r>
              <w:rPr>
                <w:rFonts w:hint="default" w:ascii="Times New Roman" w:hAnsi="Times New Roman" w:eastAsia="宋体" w:cs="Times New Roman"/>
                <w:b/>
                <w:color w:val="auto"/>
                <w:sz w:val="21"/>
                <w:u w:val="none" w:color="auto"/>
              </w:rPr>
              <w:t xml:space="preserve"> </w:t>
            </w:r>
            <w:r>
              <w:rPr>
                <w:rFonts w:hint="default" w:ascii="Times New Roman" w:hAnsi="Times New Roman" w:eastAsia="宋体" w:cs="Times New Roman"/>
                <w:b/>
                <w:color w:val="auto"/>
                <w:sz w:val="21"/>
                <w:szCs w:val="18"/>
                <w:u w:val="none" w:color="auto"/>
              </w:rPr>
              <w:t>建设项目环境风险简单分析内容表</w:t>
            </w:r>
          </w:p>
          <w:tbl>
            <w:tblPr>
              <w:tblStyle w:val="25"/>
              <w:tblW w:w="4998" w:type="pct"/>
              <w:tblInd w:w="15"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112"/>
              <w:gridCol w:w="1104"/>
              <w:gridCol w:w="1663"/>
              <w:gridCol w:w="1611"/>
              <w:gridCol w:w="162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01"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建设项目名称</w:t>
                  </w:r>
                </w:p>
              </w:tc>
              <w:tc>
                <w:tcPr>
                  <w:tcW w:w="3698" w:type="pct"/>
                  <w:gridSpan w:val="4"/>
                  <w:noWrap w:val="0"/>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衡阳蒸水报废汽车回收拆解有限公司报废汽车回收拆解建设项目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01"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建设地点</w:t>
                  </w:r>
                </w:p>
              </w:tc>
              <w:tc>
                <w:tcPr>
                  <w:tcW w:w="680"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湖南省</w:t>
                  </w:r>
                </w:p>
              </w:tc>
              <w:tc>
                <w:tcPr>
                  <w:tcW w:w="102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衡阳市</w:t>
                  </w:r>
                </w:p>
              </w:tc>
              <w:tc>
                <w:tcPr>
                  <w:tcW w:w="992"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阳古社区</w:t>
                  </w:r>
                </w:p>
              </w:tc>
              <w:tc>
                <w:tcPr>
                  <w:tcW w:w="1000"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衡利丰陶瓷有限公司内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01"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地理坐标</w:t>
                  </w:r>
                </w:p>
              </w:tc>
              <w:tc>
                <w:tcPr>
                  <w:tcW w:w="680"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经度</w:t>
                  </w:r>
                </w:p>
              </w:tc>
              <w:tc>
                <w:tcPr>
                  <w:tcW w:w="1024"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E112°</w:t>
                  </w:r>
                  <w:r>
                    <w:rPr>
                      <w:rFonts w:hint="eastAsia" w:ascii="Times New Roman" w:hAnsi="Times New Roman" w:eastAsia="宋体" w:cs="Times New Roman"/>
                      <w:color w:val="auto"/>
                      <w:lang w:val="en-US" w:eastAsia="zh-CN"/>
                    </w:rPr>
                    <w:t>27</w:t>
                  </w:r>
                  <w:r>
                    <w:rPr>
                      <w:rFonts w:hint="default" w:ascii="Times New Roman" w:hAnsi="Times New Roman" w:eastAsia="宋体" w:cs="Times New Roman"/>
                      <w:color w:val="auto"/>
                    </w:rPr>
                    <w:t>′</w:t>
                  </w:r>
                  <w:r>
                    <w:rPr>
                      <w:rFonts w:hint="eastAsia" w:ascii="Times New Roman" w:hAnsi="Times New Roman" w:eastAsia="宋体" w:cs="Times New Roman"/>
                      <w:color w:val="auto"/>
                      <w:lang w:val="en-US" w:eastAsia="zh-CN"/>
                    </w:rPr>
                    <w:t>17.715</w:t>
                  </w:r>
                  <w:r>
                    <w:rPr>
                      <w:rFonts w:hint="default" w:ascii="Times New Roman" w:hAnsi="Times New Roman" w:eastAsia="宋体" w:cs="Times New Roman"/>
                      <w:color w:val="auto"/>
                    </w:rPr>
                    <w:t>″</w:t>
                  </w:r>
                </w:p>
              </w:tc>
              <w:tc>
                <w:tcPr>
                  <w:tcW w:w="992"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纬度</w:t>
                  </w:r>
                </w:p>
              </w:tc>
              <w:tc>
                <w:tcPr>
                  <w:tcW w:w="1000"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N26°5</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rPr>
                    <w:t>′</w:t>
                  </w:r>
                  <w:r>
                    <w:rPr>
                      <w:rFonts w:hint="eastAsia" w:ascii="Times New Roman" w:hAnsi="Times New Roman" w:eastAsia="宋体" w:cs="Times New Roman"/>
                      <w:color w:val="auto"/>
                      <w:lang w:val="en-US" w:eastAsia="zh-CN"/>
                    </w:rPr>
                    <w:t>42.075</w:t>
                  </w:r>
                  <w:r>
                    <w:rPr>
                      <w:rFonts w:hint="default" w:ascii="Times New Roman" w:hAnsi="Times New Roman" w:eastAsia="宋体" w:cs="Times New Roman"/>
                      <w:color w:val="auto"/>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01"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主要危险物质及分布</w:t>
                  </w:r>
                </w:p>
              </w:tc>
              <w:tc>
                <w:tcPr>
                  <w:tcW w:w="3698" w:type="pct"/>
                  <w:gridSpan w:val="4"/>
                  <w:noWrap w:val="0"/>
                  <w:vAlign w:val="center"/>
                </w:tcPr>
                <w:p>
                  <w:pPr>
                    <w:jc w:val="center"/>
                    <w:rPr>
                      <w:rFonts w:hint="default"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危险废物/</w:t>
                  </w:r>
                  <w:r>
                    <w:rPr>
                      <w:rFonts w:hint="eastAsia" w:ascii="Times New Roman" w:hAnsi="Times New Roman" w:eastAsia="宋体" w:cs="Times New Roman"/>
                      <w:color w:val="auto"/>
                      <w:sz w:val="21"/>
                      <w:szCs w:val="21"/>
                      <w:u w:val="none" w:color="auto"/>
                      <w:lang w:val="en-US" w:eastAsia="zh-CN"/>
                    </w:rPr>
                    <w:t>危废暂存间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01"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环境影响途径及危害后果</w:t>
                  </w:r>
                </w:p>
              </w:tc>
              <w:tc>
                <w:tcPr>
                  <w:tcW w:w="3698" w:type="pct"/>
                  <w:gridSpan w:val="4"/>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sz w:val="21"/>
                      <w:szCs w:val="21"/>
                      <w:u w:val="none" w:color="auto"/>
                      <w:lang w:val="en-US" w:eastAsia="zh-CN"/>
                    </w:rPr>
                    <w:t>泄露、火灾；火灾和爆炸事故的烟尘及污染物污染周围大气环境，消防废水通过雨水管进入附近水体，造成附近河涌水质恶化，影响水生环境。危险废物暂存过程发生泄漏，泄露化学品可能通过雨水管进入水体，造成附近河涌水质恶化，影响水生环境。急性毒性物质可能在一定环境下对易受害人群产生健康危害</w:t>
                  </w:r>
                  <w:r>
                    <w:rPr>
                      <w:rFonts w:hint="eastAsia" w:ascii="Times New Roman" w:hAnsi="Times New Roman" w:eastAsia="宋体" w:cs="Times New Roman"/>
                      <w:color w:val="auto"/>
                      <w:sz w:val="21"/>
                      <w:szCs w:val="21"/>
                      <w:u w:val="none" w:color="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301" w:type="pct"/>
                  <w:noWrap w:val="0"/>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风险防范措施要求</w:t>
                  </w:r>
                </w:p>
              </w:tc>
              <w:tc>
                <w:tcPr>
                  <w:tcW w:w="3698" w:type="pct"/>
                  <w:gridSpan w:val="4"/>
                  <w:noWrap w:val="0"/>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sz w:val="21"/>
                      <w:szCs w:val="21"/>
                      <w:u w:val="none" w:color="auto"/>
                      <w:lang w:val="en-US" w:eastAsia="zh-CN"/>
                    </w:rPr>
                    <w:t>见以上表述</w:t>
                  </w:r>
                </w:p>
              </w:tc>
            </w:tr>
          </w:tbl>
          <w:p>
            <w:pPr>
              <w:tabs>
                <w:tab w:val="left" w:pos="2100"/>
              </w:tabs>
              <w:autoSpaceDE w:val="0"/>
              <w:autoSpaceDN w:val="0"/>
              <w:spacing w:line="360" w:lineRule="auto"/>
              <w:ind w:firstLine="482" w:firstLineChars="200"/>
              <w:jc w:val="both"/>
              <w:rPr>
                <w:rFonts w:hint="default" w:ascii="Times New Roman" w:hAnsi="Times New Roman" w:eastAsia="宋体" w:cs="Times New Roman"/>
                <w:color w:val="auto"/>
                <w:kern w:val="0"/>
                <w:sz w:val="24"/>
                <w:szCs w:val="24"/>
                <w:u w:val="none"/>
                <w:lang w:val="zh-CN" w:bidi="zh-CN"/>
              </w:rPr>
            </w:pPr>
            <w:r>
              <w:rPr>
                <w:rFonts w:hint="default" w:ascii="Times New Roman" w:hAnsi="Times New Roman" w:eastAsia="宋体" w:cs="Times New Roman"/>
                <w:b/>
                <w:color w:val="auto"/>
                <w:sz w:val="24"/>
                <w:szCs w:val="24"/>
                <w:u w:val="none" w:color="auto"/>
              </w:rPr>
              <w:t>项目相关信息及评价说明：</w:t>
            </w:r>
            <w:r>
              <w:rPr>
                <w:rFonts w:hint="default" w:ascii="Times New Roman" w:hAnsi="Times New Roman" w:eastAsia="宋体" w:cs="Times New Roman"/>
                <w:bCs/>
                <w:color w:val="auto"/>
                <w:sz w:val="24"/>
                <w:szCs w:val="24"/>
                <w:u w:val="none" w:color="auto"/>
              </w:rPr>
              <w:t>环境风险防控和应急措施制度建立，环境风险防控的重点岗位的责任人或责任机构明确，定期巡检和维护责任制度落实。企业注重安全生产方面的工作，组织人员在安全生产、环境风险管理等方面进行较为详细的规定，并编制较完备的管理制度。各项安全生产制度及环境风险管理制度中建立环境风险防控及应急制度，明确环境风险防控的重点岗位的责任机构及责任人，并落实定期巡检和维护责任制度，一定程度上对环境风险进行有效的防控</w:t>
            </w:r>
          </w:p>
          <w:p>
            <w:pPr>
              <w:pStyle w:val="10"/>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firstLine="482" w:firstLineChars="200"/>
              <w:textAlignment w:val="auto"/>
              <w:rPr>
                <w:rFonts w:hint="default" w:ascii="Times New Roman" w:hAnsi="Times New Roman" w:eastAsia="宋体" w:cs="Times New Roman"/>
                <w:b/>
                <w:bCs/>
                <w:color w:val="auto"/>
                <w:sz w:val="24"/>
                <w:szCs w:val="24"/>
                <w:u w:val="none"/>
                <w:lang w:val="en-US" w:eastAsia="zh-CN"/>
              </w:rPr>
            </w:pPr>
            <w:r>
              <w:rPr>
                <w:rFonts w:hint="default" w:ascii="Times New Roman" w:hAnsi="Times New Roman" w:eastAsia="宋体" w:cs="Times New Roman"/>
                <w:b/>
                <w:bCs/>
                <w:color w:val="auto"/>
                <w:sz w:val="24"/>
                <w:szCs w:val="24"/>
                <w:u w:val="none"/>
                <w:lang w:val="en-US" w:eastAsia="zh-CN"/>
              </w:rPr>
              <w:t>（七）电磁辐射环境</w:t>
            </w:r>
          </w:p>
          <w:p>
            <w:pPr>
              <w:pStyle w:val="68"/>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default" w:ascii="Times New Roman" w:hAnsi="Times New Roman" w:eastAsia="宋体" w:cs="Times New Roman"/>
                <w:color w:val="auto"/>
                <w:u w:val="none"/>
                <w:vertAlign w:val="baseline"/>
                <w:lang w:val="en-US" w:eastAsia="zh-CN"/>
              </w:rPr>
            </w:pPr>
            <w:r>
              <w:rPr>
                <w:rFonts w:hint="default" w:ascii="Times New Roman" w:hAnsi="Times New Roman" w:eastAsia="宋体" w:cs="Times New Roman"/>
                <w:b w:val="0"/>
                <w:bCs/>
                <w:color w:val="auto"/>
                <w:u w:val="none"/>
                <w:lang w:val="en-US" w:eastAsia="zh-CN"/>
              </w:rPr>
              <w:t>本项目属于C4210金属废料和碎屑加工处理，不属于新建或改建、扩建广播电台、差转台、电视塔台、卫星地球上行站、雷达等电磁辐射类项目，无需开展电磁辐射影响评价。</w:t>
            </w:r>
          </w:p>
        </w:tc>
      </w:tr>
    </w:tbl>
    <w:p>
      <w:pPr>
        <w:pStyle w:val="68"/>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lang w:val="en-US" w:eastAsia="zh-CN"/>
        </w:rPr>
        <w:sectPr>
          <w:pgSz w:w="11905" w:h="16838"/>
          <w:pgMar w:top="1701" w:right="1531" w:bottom="1701" w:left="1531" w:header="851" w:footer="850" w:gutter="0"/>
          <w:pgBorders>
            <w:top w:val="none" w:sz="0" w:space="0"/>
            <w:left w:val="none" w:sz="0" w:space="0"/>
            <w:bottom w:val="none" w:sz="0" w:space="0"/>
            <w:right w:val="none" w:sz="0" w:space="0"/>
          </w:pgBorders>
          <w:cols w:space="720" w:num="1"/>
          <w:rtlGutter w:val="0"/>
          <w:docGrid w:type="lines" w:linePitch="312" w:charSpace="0"/>
        </w:sectPr>
      </w:pPr>
    </w:p>
    <w:p>
      <w:pPr>
        <w:pStyle w:val="21"/>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snapToGrid w:val="0"/>
          <w:color w:val="auto"/>
          <w:sz w:val="30"/>
          <w:szCs w:val="30"/>
          <w:u w:val="none"/>
        </w:rPr>
      </w:pPr>
      <w:r>
        <w:rPr>
          <w:rFonts w:hint="default" w:ascii="Times New Roman" w:hAnsi="Times New Roman" w:eastAsia="宋体" w:cs="Times New Roman"/>
          <w:snapToGrid w:val="0"/>
          <w:color w:val="auto"/>
          <w:sz w:val="30"/>
          <w:szCs w:val="30"/>
          <w:u w:val="none"/>
        </w:rPr>
        <w:t>五、</w:t>
      </w:r>
      <w:bookmarkStart w:id="21" w:name="_Hlk54167917"/>
      <w:r>
        <w:rPr>
          <w:rFonts w:hint="default" w:ascii="Times New Roman" w:hAnsi="Times New Roman" w:eastAsia="宋体" w:cs="Times New Roman"/>
          <w:snapToGrid w:val="0"/>
          <w:color w:val="auto"/>
          <w:sz w:val="30"/>
          <w:szCs w:val="30"/>
          <w:u w:val="none"/>
        </w:rPr>
        <w:t>环境保护措施监督检查清单</w:t>
      </w:r>
      <w:bookmarkEnd w:id="21"/>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1628"/>
        <w:gridCol w:w="1950"/>
        <w:gridCol w:w="1851"/>
        <w:gridCol w:w="23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tcBorders>
              <w:tl2br w:val="single" w:color="auto" w:sz="4" w:space="0"/>
            </w:tcBorders>
            <w:noWrap w:val="0"/>
            <w:vAlign w:val="top"/>
          </w:tcPr>
          <w:p>
            <w:pPr>
              <w:keepNext w:val="0"/>
              <w:keepLines w:val="0"/>
              <w:pageBreakBefore w:val="0"/>
              <w:kinsoku/>
              <w:wordWrap/>
              <w:overflowPunct/>
              <w:topLinePunct w:val="0"/>
              <w:bidi w:val="0"/>
              <w:adjustRightInd/>
              <w:snapToGrid/>
              <w:ind w:firstLine="840"/>
              <w:rPr>
                <w:rFonts w:hint="default" w:ascii="Times New Roman" w:hAnsi="Times New Roman" w:eastAsia="宋体" w:cs="Times New Roman"/>
                <w:b/>
                <w:bCs/>
                <w:color w:val="auto"/>
                <w:sz w:val="21"/>
                <w:szCs w:val="21"/>
                <w:u w:val="wave" w:color="auto"/>
              </w:rPr>
            </w:pPr>
            <w:r>
              <w:rPr>
                <w:rFonts w:hint="default" w:ascii="Times New Roman" w:hAnsi="Times New Roman" w:eastAsia="宋体" w:cs="Times New Roman"/>
                <w:b/>
                <w:bCs/>
                <w:color w:val="auto"/>
                <w:sz w:val="21"/>
                <w:szCs w:val="21"/>
                <w:u w:val="wave" w:color="auto"/>
              </w:rPr>
              <w:t>内容</w:t>
            </w:r>
          </w:p>
          <w:p>
            <w:pPr>
              <w:keepNext w:val="0"/>
              <w:keepLines w:val="0"/>
              <w:pageBreakBefore w:val="0"/>
              <w:kinsoku/>
              <w:wordWrap/>
              <w:overflowPunct/>
              <w:topLinePunct w:val="0"/>
              <w:bidi w:val="0"/>
              <w:adjustRightInd/>
              <w:snapToGrid/>
              <w:rPr>
                <w:rFonts w:hint="default" w:ascii="Times New Roman" w:hAnsi="Times New Roman" w:eastAsia="宋体" w:cs="Times New Roman"/>
                <w:b/>
                <w:bCs/>
                <w:color w:val="auto"/>
                <w:sz w:val="21"/>
                <w:szCs w:val="21"/>
                <w:u w:val="wave" w:color="auto"/>
              </w:rPr>
            </w:pPr>
            <w:r>
              <w:rPr>
                <w:rFonts w:hint="default" w:ascii="Times New Roman" w:hAnsi="Times New Roman" w:eastAsia="宋体" w:cs="Times New Roman"/>
                <w:b/>
                <w:bCs/>
                <w:color w:val="auto"/>
                <w:sz w:val="21"/>
                <w:szCs w:val="21"/>
                <w:u w:val="wave" w:color="auto"/>
              </w:rPr>
              <w:t>要素</w:t>
            </w:r>
          </w:p>
        </w:tc>
        <w:tc>
          <w:tcPr>
            <w:tcW w:w="1628"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color="auto"/>
              </w:rPr>
            </w:pPr>
            <w:r>
              <w:rPr>
                <w:rFonts w:hint="default" w:ascii="Times New Roman" w:hAnsi="Times New Roman" w:eastAsia="宋体" w:cs="Times New Roman"/>
                <w:b/>
                <w:bCs/>
                <w:color w:val="auto"/>
                <w:sz w:val="21"/>
                <w:szCs w:val="21"/>
                <w:u w:val="wave" w:color="auto"/>
              </w:rPr>
              <w:t>排放口(编号、名称)/污染源</w:t>
            </w:r>
          </w:p>
        </w:tc>
        <w:tc>
          <w:tcPr>
            <w:tcW w:w="195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color="auto"/>
              </w:rPr>
            </w:pPr>
            <w:r>
              <w:rPr>
                <w:rFonts w:hint="default" w:ascii="Times New Roman" w:hAnsi="Times New Roman" w:eastAsia="宋体" w:cs="Times New Roman"/>
                <w:b/>
                <w:bCs/>
                <w:color w:val="auto"/>
                <w:sz w:val="21"/>
                <w:szCs w:val="21"/>
                <w:u w:val="wave" w:color="auto"/>
              </w:rPr>
              <w:t>污染物项目</w:t>
            </w:r>
          </w:p>
        </w:tc>
        <w:tc>
          <w:tcPr>
            <w:tcW w:w="185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color="auto"/>
              </w:rPr>
            </w:pPr>
            <w:r>
              <w:rPr>
                <w:rFonts w:hint="default" w:ascii="Times New Roman" w:hAnsi="Times New Roman" w:eastAsia="宋体" w:cs="Times New Roman"/>
                <w:b/>
                <w:bCs/>
                <w:color w:val="auto"/>
                <w:sz w:val="21"/>
                <w:szCs w:val="21"/>
                <w:u w:val="wave" w:color="auto"/>
              </w:rPr>
              <w:t>环境保护措施</w:t>
            </w:r>
          </w:p>
        </w:tc>
        <w:tc>
          <w:tcPr>
            <w:tcW w:w="237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bCs/>
                <w:color w:val="auto"/>
                <w:sz w:val="21"/>
                <w:szCs w:val="21"/>
                <w:u w:val="wave" w:color="auto"/>
              </w:rPr>
            </w:pPr>
            <w:r>
              <w:rPr>
                <w:rFonts w:hint="default" w:ascii="Times New Roman" w:hAnsi="Times New Roman" w:eastAsia="宋体" w:cs="Times New Roman"/>
                <w:b/>
                <w:bCs/>
                <w:color w:val="auto"/>
                <w:sz w:val="21"/>
                <w:szCs w:val="21"/>
                <w:u w:val="wave" w:color="auto"/>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restar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大气环境</w:t>
            </w:r>
          </w:p>
        </w:tc>
        <w:tc>
          <w:tcPr>
            <w:tcW w:w="1628"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eastAsia" w:cs="Times New Roman"/>
                <w:b w:val="0"/>
                <w:bCs w:val="0"/>
                <w:color w:val="auto"/>
                <w:sz w:val="21"/>
                <w:szCs w:val="21"/>
                <w:u w:val="wave" w:color="auto"/>
                <w:lang w:val="en-US" w:eastAsia="zh-CN"/>
              </w:rPr>
              <w:t>DA001/</w:t>
            </w:r>
            <w:r>
              <w:rPr>
                <w:rFonts w:hint="default" w:ascii="Times New Roman" w:hAnsi="Times New Roman" w:eastAsia="宋体" w:cs="Times New Roman"/>
                <w:b w:val="0"/>
                <w:bCs w:val="0"/>
                <w:color w:val="auto"/>
                <w:sz w:val="21"/>
                <w:szCs w:val="21"/>
                <w:u w:val="wave" w:color="auto"/>
                <w:lang w:val="en-US" w:eastAsia="zh-CN"/>
              </w:rPr>
              <w:t>废油挥发</w:t>
            </w:r>
            <w:r>
              <w:rPr>
                <w:rFonts w:hint="eastAsia" w:ascii="Times New Roman" w:hAnsi="Times New Roman" w:cs="Times New Roman"/>
                <w:b w:val="0"/>
                <w:bCs w:val="0"/>
                <w:color w:val="auto"/>
                <w:sz w:val="21"/>
                <w:szCs w:val="21"/>
                <w:u w:val="wave" w:color="auto"/>
                <w:lang w:val="en-US" w:eastAsia="zh-CN"/>
              </w:rPr>
              <w:t>有组织</w:t>
            </w:r>
            <w:r>
              <w:rPr>
                <w:rFonts w:hint="default" w:ascii="Times New Roman" w:hAnsi="Times New Roman" w:eastAsia="宋体" w:cs="Times New Roman"/>
                <w:b w:val="0"/>
                <w:bCs w:val="0"/>
                <w:color w:val="auto"/>
                <w:sz w:val="21"/>
                <w:szCs w:val="21"/>
                <w:u w:val="wave" w:color="auto"/>
                <w:lang w:val="en-US" w:eastAsia="zh-CN"/>
              </w:rPr>
              <w:t>废气</w:t>
            </w:r>
          </w:p>
        </w:tc>
        <w:tc>
          <w:tcPr>
            <w:tcW w:w="195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sz w:val="21"/>
                <w:szCs w:val="21"/>
                <w:u w:val="wave" w:color="auto"/>
                <w:lang w:val="en-US" w:eastAsia="zh-CN"/>
              </w:rPr>
              <w:t>非甲烷总烃</w:t>
            </w:r>
          </w:p>
        </w:tc>
        <w:tc>
          <w:tcPr>
            <w:tcW w:w="1851"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en-US" w:eastAsia="zh-CN"/>
              </w:rPr>
              <w:t>集气罩（收集效率70%）+二级活性炭吸附+15m排气筒（DA001）</w:t>
            </w:r>
          </w:p>
        </w:tc>
        <w:tc>
          <w:tcPr>
            <w:tcW w:w="2370" w:type="dxa"/>
            <w:vMerge w:val="restar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eastAsia="zh-CN"/>
              </w:rPr>
            </w:pPr>
            <w:r>
              <w:rPr>
                <w:rFonts w:hint="default" w:ascii="Times New Roman" w:hAnsi="Times New Roman" w:eastAsia="宋体"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lang w:val="en-US" w:eastAsia="zh-CN"/>
              </w:rPr>
              <w:t>大气污染物综合排放</w:t>
            </w:r>
            <w:r>
              <w:rPr>
                <w:rFonts w:hint="eastAsia" w:ascii="Times New Roman" w:hAnsi="Times New Roman" w:eastAsia="宋体" w:cs="Times New Roman"/>
                <w:color w:val="auto"/>
                <w:sz w:val="21"/>
                <w:szCs w:val="21"/>
                <w:u w:val="wave" w:color="auto"/>
                <w:lang w:val="en-US" w:eastAsia="zh-CN"/>
              </w:rPr>
              <w:t>标准</w:t>
            </w:r>
            <w:r>
              <w:rPr>
                <w:rFonts w:hint="default" w:ascii="Times New Roman" w:hAnsi="Times New Roman" w:eastAsia="宋体" w:cs="Times New Roman"/>
                <w:color w:val="auto"/>
                <w:sz w:val="21"/>
                <w:szCs w:val="21"/>
                <w:u w:val="wave" w:color="auto"/>
                <w:lang w:eastAsia="zh-CN"/>
              </w:rPr>
              <w:t>》</w:t>
            </w:r>
            <w:r>
              <w:rPr>
                <w:rFonts w:hint="default" w:ascii="Times New Roman" w:hAnsi="Times New Roman" w:eastAsia="宋体" w:cs="Times New Roman"/>
                <w:color w:val="auto"/>
                <w:szCs w:val="21"/>
                <w:u w:val="wave" w:color="auto"/>
                <w:lang w:val="en-US" w:eastAsia="zh-CN"/>
              </w:rPr>
              <w:t>（GB16297-1996）表2的二级排放标准</w:t>
            </w:r>
            <w:r>
              <w:rPr>
                <w:rFonts w:hint="eastAsia" w:ascii="Times New Roman" w:hAnsi="Times New Roman" w:eastAsia="宋体" w:cs="Times New Roman"/>
                <w:color w:val="auto"/>
                <w:szCs w:val="21"/>
                <w:u w:val="wave" w:color="auto"/>
                <w:lang w:val="en-US" w:eastAsia="zh-CN"/>
              </w:rPr>
              <w:t>、</w:t>
            </w:r>
            <w:r>
              <w:rPr>
                <w:rFonts w:hint="eastAsia" w:ascii="Times New Roman" w:hAnsi="Times New Roman" w:eastAsia="宋体" w:cs="Times New Roman"/>
                <w:b w:val="0"/>
                <w:bCs w:val="0"/>
                <w:i w:val="0"/>
                <w:iCs w:val="0"/>
                <w:color w:val="auto"/>
                <w:sz w:val="21"/>
                <w:szCs w:val="21"/>
                <w:u w:val="wave" w:color="auto"/>
                <w:lang w:val="en-US" w:eastAsia="zh-CN"/>
              </w:rPr>
              <w:t>《挥发性有机物无组织排放控制标准》（GB37822-2019）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shd w:val="clear" w:color="auto" w:fill="auto"/>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u w:val="wave" w:color="auto"/>
                <w:lang w:val="en-US" w:eastAsia="zh-CN" w:bidi="ar-SA"/>
              </w:rPr>
            </w:pPr>
            <w:r>
              <w:rPr>
                <w:rFonts w:hint="default" w:ascii="Times New Roman" w:hAnsi="Times New Roman" w:eastAsia="宋体" w:cs="Times New Roman"/>
                <w:b w:val="0"/>
                <w:bCs w:val="0"/>
                <w:color w:val="auto"/>
                <w:sz w:val="21"/>
                <w:szCs w:val="21"/>
                <w:u w:val="wave" w:color="auto"/>
                <w:lang w:val="en-US" w:eastAsia="zh-CN"/>
              </w:rPr>
              <w:t>废油挥发废气G1</w:t>
            </w:r>
          </w:p>
        </w:tc>
        <w:tc>
          <w:tcPr>
            <w:tcW w:w="1950" w:type="dxa"/>
            <w:shd w:val="clear" w:color="auto" w:fill="auto"/>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val="0"/>
                <w:bCs w:val="0"/>
                <w:color w:val="auto"/>
                <w:kern w:val="2"/>
                <w:sz w:val="21"/>
                <w:szCs w:val="21"/>
                <w:u w:val="wave" w:color="auto"/>
                <w:lang w:val="en-US" w:eastAsia="zh-CN" w:bidi="ar-SA"/>
              </w:rPr>
            </w:pPr>
            <w:r>
              <w:rPr>
                <w:rFonts w:hint="eastAsia" w:ascii="Times New Roman" w:hAnsi="Times New Roman" w:eastAsia="宋体" w:cs="Times New Roman"/>
                <w:b w:val="0"/>
                <w:bCs w:val="0"/>
                <w:color w:val="auto"/>
                <w:sz w:val="21"/>
                <w:szCs w:val="21"/>
                <w:u w:val="wave" w:color="auto"/>
                <w:lang w:val="en-US" w:eastAsia="zh-CN"/>
              </w:rPr>
              <w:t>非甲烷总烃</w:t>
            </w:r>
          </w:p>
        </w:tc>
        <w:tc>
          <w:tcPr>
            <w:tcW w:w="1851" w:type="dxa"/>
            <w:shd w:val="clear" w:color="auto" w:fill="auto"/>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imes New Roman" w:hAnsi="Times New Roman" w:eastAsia="宋体" w:cs="Times New Roman"/>
                <w:b w:val="0"/>
                <w:bCs w:val="0"/>
                <w:color w:val="auto"/>
                <w:kern w:val="0"/>
                <w:sz w:val="21"/>
                <w:szCs w:val="21"/>
                <w:u w:val="wave" w:color="auto"/>
                <w:lang w:val="en-US" w:eastAsia="zh-CN" w:bidi="ar-SA"/>
              </w:rPr>
            </w:pPr>
            <w:r>
              <w:rPr>
                <w:rFonts w:hint="eastAsia" w:ascii="Times New Roman" w:hAnsi="Times New Roman" w:eastAsia="宋体" w:cs="Times New Roman"/>
                <w:b w:val="0"/>
                <w:bCs w:val="0"/>
                <w:color w:val="auto"/>
                <w:kern w:val="0"/>
                <w:sz w:val="21"/>
                <w:szCs w:val="21"/>
                <w:u w:val="wave" w:color="auto"/>
                <w:vertAlign w:val="baseline"/>
                <w:lang w:val="en-US" w:eastAsia="zh-CN"/>
              </w:rPr>
              <w:t>排风扇无组织排放</w:t>
            </w:r>
          </w:p>
        </w:tc>
        <w:tc>
          <w:tcPr>
            <w:tcW w:w="2370"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en-US" w:eastAsia="zh-CN"/>
              </w:rPr>
              <w:t>废有机溶剂挥发有机废气G2</w:t>
            </w:r>
          </w:p>
        </w:tc>
        <w:tc>
          <w:tcPr>
            <w:tcW w:w="195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sz w:val="21"/>
                <w:szCs w:val="21"/>
                <w:u w:val="wave" w:color="auto"/>
                <w:lang w:val="en-US" w:eastAsia="zh-CN"/>
              </w:rPr>
              <w:t>非甲烷总烃</w:t>
            </w:r>
          </w:p>
        </w:tc>
        <w:tc>
          <w:tcPr>
            <w:tcW w:w="1851"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kern w:val="0"/>
                <w:sz w:val="21"/>
                <w:szCs w:val="21"/>
                <w:u w:val="wave" w:color="auto"/>
                <w:vertAlign w:val="baseline"/>
                <w:lang w:val="en-US" w:eastAsia="zh-CN"/>
              </w:rPr>
              <w:t>排风扇无组织排放</w:t>
            </w:r>
          </w:p>
        </w:tc>
        <w:tc>
          <w:tcPr>
            <w:tcW w:w="2370"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en-US" w:eastAsia="zh-CN"/>
              </w:rPr>
              <w:t>引爆安全气囊粉尘G3</w:t>
            </w:r>
          </w:p>
        </w:tc>
        <w:tc>
          <w:tcPr>
            <w:tcW w:w="195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en-US" w:eastAsia="zh-CN"/>
              </w:rPr>
              <w:t>颗粒物</w:t>
            </w:r>
          </w:p>
        </w:tc>
        <w:tc>
          <w:tcPr>
            <w:tcW w:w="1851"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kern w:val="0"/>
                <w:sz w:val="21"/>
                <w:szCs w:val="21"/>
                <w:u w:val="wave" w:color="auto"/>
                <w:vertAlign w:val="baseline"/>
                <w:lang w:val="en-US" w:eastAsia="zh-CN"/>
              </w:rPr>
              <w:t>排风扇无组织排放</w:t>
            </w:r>
          </w:p>
        </w:tc>
        <w:tc>
          <w:tcPr>
            <w:tcW w:w="2370"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en-US" w:eastAsia="zh-CN"/>
              </w:rPr>
              <w:t>切割、拆解粉尘G4</w:t>
            </w:r>
          </w:p>
        </w:tc>
        <w:tc>
          <w:tcPr>
            <w:tcW w:w="195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en-US" w:eastAsia="zh-CN"/>
              </w:rPr>
              <w:t>颗粒物</w:t>
            </w:r>
          </w:p>
        </w:tc>
        <w:tc>
          <w:tcPr>
            <w:tcW w:w="1851" w:type="dxa"/>
            <w:noWrap w:val="0"/>
            <w:vAlign w:val="center"/>
          </w:tcPr>
          <w:p>
            <w:pPr>
              <w:pStyle w:val="10"/>
              <w:keepNext w:val="0"/>
              <w:keepLines w:val="0"/>
              <w:pageBreakBefore w:val="0"/>
              <w:widowControl/>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u w:val="wave" w:color="auto"/>
                <w:lang w:val="en-US" w:eastAsia="zh-CN"/>
              </w:rPr>
            </w:pPr>
            <w:bookmarkStart w:id="22" w:name="OLE_LINK14"/>
            <w:r>
              <w:rPr>
                <w:rFonts w:hint="eastAsia" w:ascii="Times New Roman" w:hAnsi="Times New Roman" w:eastAsia="宋体" w:cs="Times New Roman"/>
                <w:b w:val="0"/>
                <w:bCs w:val="0"/>
                <w:color w:val="auto"/>
                <w:kern w:val="0"/>
                <w:sz w:val="21"/>
                <w:szCs w:val="21"/>
                <w:u w:val="wave" w:color="auto"/>
                <w:vertAlign w:val="baseline"/>
                <w:lang w:val="en-US" w:eastAsia="zh-CN"/>
              </w:rPr>
              <w:t>车间沉降+移动式粉尘净化器+排风扇无组织排放</w:t>
            </w:r>
            <w:bookmarkEnd w:id="22"/>
          </w:p>
        </w:tc>
        <w:tc>
          <w:tcPr>
            <w:tcW w:w="2370"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restar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eastAsia" w:ascii="Times New Roman" w:hAnsi="Times New Roman" w:eastAsia="宋体" w:cs="Times New Roman"/>
                <w:color w:val="auto"/>
                <w:sz w:val="21"/>
                <w:szCs w:val="21"/>
                <w:u w:val="wave" w:color="auto"/>
                <w:lang w:eastAsia="zh-CN"/>
              </w:rPr>
              <w:t>地表水环境</w:t>
            </w:r>
          </w:p>
        </w:tc>
        <w:tc>
          <w:tcPr>
            <w:tcW w:w="1628" w:type="dxa"/>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sz w:val="21"/>
                <w:szCs w:val="21"/>
                <w:u w:val="wave" w:color="auto"/>
                <w:lang w:val="en-US" w:eastAsia="zh-CN"/>
              </w:rPr>
              <w:t>生活污水（DW001）</w:t>
            </w:r>
          </w:p>
        </w:tc>
        <w:tc>
          <w:tcPr>
            <w:tcW w:w="1950" w:type="dxa"/>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sz w:val="21"/>
                <w:szCs w:val="21"/>
                <w:u w:val="wave" w:color="auto"/>
                <w:lang w:val="en-US" w:eastAsia="zh-CN"/>
              </w:rPr>
              <w:t>pH、</w:t>
            </w:r>
            <w:r>
              <w:rPr>
                <w:rFonts w:hint="default" w:ascii="Times New Roman" w:hAnsi="Times New Roman" w:eastAsia="宋体" w:cs="Times New Roman"/>
                <w:b w:val="0"/>
                <w:bCs w:val="0"/>
                <w:color w:val="auto"/>
                <w:sz w:val="21"/>
                <w:szCs w:val="21"/>
                <w:u w:val="wave" w:color="auto"/>
                <w:lang w:val="en-US" w:eastAsia="zh-CN"/>
              </w:rPr>
              <w:t>COD、BOD</w:t>
            </w:r>
            <w:r>
              <w:rPr>
                <w:rFonts w:hint="default" w:ascii="Times New Roman" w:hAnsi="Times New Roman" w:eastAsia="宋体" w:cs="Times New Roman"/>
                <w:b w:val="0"/>
                <w:bCs w:val="0"/>
                <w:color w:val="auto"/>
                <w:sz w:val="21"/>
                <w:szCs w:val="21"/>
                <w:u w:val="wave" w:color="auto"/>
                <w:vertAlign w:val="subscript"/>
                <w:lang w:val="en-US" w:eastAsia="zh-CN"/>
              </w:rPr>
              <w:t>5</w:t>
            </w:r>
            <w:r>
              <w:rPr>
                <w:rFonts w:hint="default" w:ascii="Times New Roman" w:hAnsi="Times New Roman" w:eastAsia="宋体" w:cs="Times New Roman"/>
                <w:b w:val="0"/>
                <w:bCs w:val="0"/>
                <w:color w:val="auto"/>
                <w:sz w:val="21"/>
                <w:szCs w:val="21"/>
                <w:u w:val="wave" w:color="auto"/>
                <w:lang w:val="en-US" w:eastAsia="zh-CN"/>
              </w:rPr>
              <w:t>、SS、NH</w:t>
            </w:r>
            <w:r>
              <w:rPr>
                <w:rFonts w:hint="default" w:ascii="Times New Roman" w:hAnsi="Times New Roman" w:eastAsia="宋体" w:cs="Times New Roman"/>
                <w:b w:val="0"/>
                <w:bCs w:val="0"/>
                <w:color w:val="auto"/>
                <w:sz w:val="21"/>
                <w:szCs w:val="21"/>
                <w:u w:val="wave" w:color="auto"/>
                <w:vertAlign w:val="subscript"/>
                <w:lang w:val="en-US" w:eastAsia="zh-CN"/>
              </w:rPr>
              <w:t>3</w:t>
            </w:r>
            <w:r>
              <w:rPr>
                <w:rFonts w:hint="default" w:ascii="Times New Roman" w:hAnsi="Times New Roman" w:eastAsia="宋体" w:cs="Times New Roman"/>
                <w:b w:val="0"/>
                <w:bCs w:val="0"/>
                <w:color w:val="auto"/>
                <w:sz w:val="21"/>
                <w:szCs w:val="21"/>
                <w:u w:val="wave" w:color="auto"/>
                <w:lang w:val="en-US" w:eastAsia="zh-CN"/>
              </w:rPr>
              <w:t>-N</w:t>
            </w:r>
            <w:r>
              <w:rPr>
                <w:rFonts w:hint="eastAsia" w:ascii="Times New Roman" w:hAnsi="Times New Roman" w:eastAsia="宋体" w:cs="Times New Roman"/>
                <w:b w:val="0"/>
                <w:bCs w:val="0"/>
                <w:color w:val="auto"/>
                <w:sz w:val="21"/>
                <w:szCs w:val="21"/>
                <w:u w:val="wave" w:color="auto"/>
                <w:lang w:val="en-US" w:eastAsia="zh-CN"/>
              </w:rPr>
              <w:t>、石油类</w:t>
            </w:r>
          </w:p>
        </w:tc>
        <w:tc>
          <w:tcPr>
            <w:tcW w:w="1851" w:type="dxa"/>
            <w:shd w:val="clear" w:color="auto" w:fill="auto"/>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sz w:val="21"/>
                <w:szCs w:val="21"/>
                <w:u w:val="wave" w:color="auto"/>
                <w:lang w:val="en-US" w:eastAsia="zh-CN"/>
              </w:rPr>
              <w:t>化粪池（TW00</w:t>
            </w:r>
            <w:r>
              <w:rPr>
                <w:rFonts w:hint="eastAsia" w:ascii="Times New Roman" w:hAnsi="Times New Roman" w:cs="Times New Roman"/>
                <w:b w:val="0"/>
                <w:bCs w:val="0"/>
                <w:color w:val="auto"/>
                <w:sz w:val="21"/>
                <w:szCs w:val="21"/>
                <w:u w:val="wave" w:color="auto"/>
                <w:lang w:val="en-US" w:eastAsia="zh-CN"/>
              </w:rPr>
              <w:t>1</w:t>
            </w:r>
            <w:r>
              <w:rPr>
                <w:rFonts w:hint="eastAsia" w:ascii="Times New Roman" w:hAnsi="Times New Roman" w:eastAsia="宋体" w:cs="Times New Roman"/>
                <w:b w:val="0"/>
                <w:bCs w:val="0"/>
                <w:color w:val="auto"/>
                <w:sz w:val="21"/>
                <w:szCs w:val="21"/>
                <w:u w:val="wave" w:color="auto"/>
                <w:lang w:val="en-US" w:eastAsia="zh-CN"/>
              </w:rPr>
              <w:t>）</w:t>
            </w:r>
          </w:p>
        </w:tc>
        <w:tc>
          <w:tcPr>
            <w:tcW w:w="2370" w:type="dxa"/>
            <w:vMerge w:val="restart"/>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en-US" w:eastAsia="zh-CN"/>
              </w:rPr>
            </w:pPr>
            <w:r>
              <w:rPr>
                <w:rFonts w:hint="default" w:ascii="Times New Roman" w:hAnsi="Times New Roman" w:eastAsia="宋体" w:cs="Times New Roman"/>
                <w:b w:val="0"/>
                <w:bCs w:val="0"/>
                <w:color w:val="auto"/>
                <w:sz w:val="21"/>
                <w:szCs w:val="21"/>
                <w:u w:val="wave" w:color="auto"/>
                <w:lang w:val="zh-CN" w:eastAsia="zh-CN"/>
              </w:rPr>
              <w:t>污水综合排放标准（GB8978-1996</w:t>
            </w:r>
            <w:r>
              <w:rPr>
                <w:rFonts w:hint="eastAsia" w:ascii="Times New Roman" w:hAnsi="Times New Roman" w:eastAsia="宋体" w:cs="Times New Roman"/>
                <w:b w:val="0"/>
                <w:bCs w:val="0"/>
                <w:color w:val="auto"/>
                <w:sz w:val="21"/>
                <w:szCs w:val="21"/>
                <w:u w:val="wave" w:color="auto"/>
                <w:lang w:val="zh-CN" w:eastAsia="zh-CN"/>
              </w:rPr>
              <w:t>）</w:t>
            </w:r>
            <w:r>
              <w:rPr>
                <w:rFonts w:hint="default" w:ascii="Times New Roman" w:hAnsi="Times New Roman" w:eastAsia="宋体" w:cs="Times New Roman"/>
                <w:b w:val="0"/>
                <w:bCs w:val="0"/>
                <w:color w:val="auto"/>
                <w:sz w:val="21"/>
                <w:szCs w:val="21"/>
                <w:u w:val="wave" w:color="auto"/>
                <w:lang w:val="zh-CN" w:eastAsia="zh-CN"/>
              </w:rPr>
              <w:t>表4中3级排放标准</w:t>
            </w:r>
            <w:r>
              <w:rPr>
                <w:rFonts w:hint="eastAsia" w:ascii="Times New Roman" w:hAnsi="Times New Roman" w:eastAsia="宋体" w:cs="Times New Roman"/>
                <w:b w:val="0"/>
                <w:bCs w:val="0"/>
                <w:color w:val="auto"/>
                <w:sz w:val="21"/>
                <w:szCs w:val="21"/>
                <w:u w:val="wave" w:color="auto"/>
                <w:lang w:val="zh-CN" w:eastAsia="zh-CN"/>
              </w:rPr>
              <w:t>及衡阳西渡高新区污水处理厂进水水质中较严者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color w:val="auto"/>
                <w:sz w:val="21"/>
                <w:szCs w:val="21"/>
                <w:u w:val="wave" w:color="auto"/>
                <w:lang w:eastAsia="zh-CN"/>
              </w:rPr>
            </w:pPr>
          </w:p>
        </w:tc>
        <w:tc>
          <w:tcPr>
            <w:tcW w:w="1628" w:type="dxa"/>
            <w:shd w:val="clear" w:color="auto" w:fill="auto"/>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val="0"/>
                <w:bCs w:val="0"/>
                <w:color w:val="auto"/>
                <w:kern w:val="2"/>
                <w:sz w:val="21"/>
                <w:szCs w:val="21"/>
                <w:u w:val="wave" w:color="auto"/>
                <w:lang w:val="en-US" w:eastAsia="zh-CN" w:bidi="ar-SA"/>
              </w:rPr>
            </w:pPr>
            <w:r>
              <w:rPr>
                <w:rFonts w:hint="eastAsia" w:ascii="Times New Roman" w:hAnsi="Times New Roman" w:eastAsia="宋体" w:cs="Times New Roman"/>
                <w:b w:val="0"/>
                <w:bCs w:val="0"/>
                <w:color w:val="auto"/>
                <w:sz w:val="21"/>
                <w:szCs w:val="21"/>
                <w:u w:val="wave" w:color="auto"/>
                <w:lang w:val="en-US" w:eastAsia="zh-CN"/>
              </w:rPr>
              <w:t>车间地面拖洗废水</w:t>
            </w:r>
            <w:r>
              <w:rPr>
                <w:rFonts w:hint="eastAsia" w:ascii="Times New Roman" w:hAnsi="Times New Roman" w:cs="Times New Roman"/>
                <w:b w:val="0"/>
                <w:bCs w:val="0"/>
                <w:color w:val="auto"/>
                <w:sz w:val="21"/>
                <w:szCs w:val="21"/>
                <w:u w:val="wave" w:color="auto"/>
                <w:lang w:val="en-US" w:eastAsia="zh-CN"/>
              </w:rPr>
              <w:t>（DW002）</w:t>
            </w:r>
          </w:p>
        </w:tc>
        <w:tc>
          <w:tcPr>
            <w:tcW w:w="1950" w:type="dxa"/>
            <w:shd w:val="clear" w:color="auto" w:fill="auto"/>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val="0"/>
                <w:bCs w:val="0"/>
                <w:color w:val="auto"/>
                <w:kern w:val="2"/>
                <w:sz w:val="21"/>
                <w:szCs w:val="21"/>
                <w:u w:val="wave" w:color="auto"/>
                <w:lang w:val="en-US" w:eastAsia="zh-CN" w:bidi="ar-SA"/>
              </w:rPr>
            </w:pPr>
            <w:r>
              <w:rPr>
                <w:rFonts w:hint="default" w:ascii="Times New Roman" w:hAnsi="Times New Roman" w:eastAsia="宋体" w:cs="Times New Roman"/>
                <w:b w:val="0"/>
                <w:bCs w:val="0"/>
                <w:color w:val="auto"/>
                <w:sz w:val="21"/>
                <w:szCs w:val="21"/>
                <w:u w:val="wave" w:color="auto"/>
                <w:lang w:val="en-US" w:eastAsia="zh-CN"/>
              </w:rPr>
              <w:t>COD、BOD</w:t>
            </w:r>
            <w:r>
              <w:rPr>
                <w:rFonts w:hint="default" w:ascii="Times New Roman" w:hAnsi="Times New Roman" w:eastAsia="宋体" w:cs="Times New Roman"/>
                <w:b w:val="0"/>
                <w:bCs w:val="0"/>
                <w:color w:val="auto"/>
                <w:sz w:val="21"/>
                <w:szCs w:val="21"/>
                <w:u w:val="wave" w:color="auto"/>
                <w:vertAlign w:val="subscript"/>
                <w:lang w:val="en-US" w:eastAsia="zh-CN"/>
              </w:rPr>
              <w:t>5</w:t>
            </w:r>
            <w:r>
              <w:rPr>
                <w:rFonts w:hint="default" w:ascii="Times New Roman" w:hAnsi="Times New Roman" w:eastAsia="宋体" w:cs="Times New Roman"/>
                <w:b w:val="0"/>
                <w:bCs w:val="0"/>
                <w:color w:val="auto"/>
                <w:sz w:val="21"/>
                <w:szCs w:val="21"/>
                <w:u w:val="wave" w:color="auto"/>
                <w:lang w:val="en-US" w:eastAsia="zh-CN"/>
              </w:rPr>
              <w:t>、SS、</w:t>
            </w:r>
            <w:r>
              <w:rPr>
                <w:rFonts w:hint="eastAsia" w:ascii="Times New Roman" w:hAnsi="Times New Roman" w:eastAsia="宋体" w:cs="Times New Roman"/>
                <w:b w:val="0"/>
                <w:bCs w:val="0"/>
                <w:color w:val="auto"/>
                <w:sz w:val="21"/>
                <w:szCs w:val="21"/>
                <w:u w:val="wave" w:color="auto"/>
                <w:lang w:val="en-US" w:eastAsia="zh-CN"/>
              </w:rPr>
              <w:t>石油类</w:t>
            </w:r>
          </w:p>
        </w:tc>
        <w:tc>
          <w:tcPr>
            <w:tcW w:w="1851" w:type="dxa"/>
            <w:shd w:val="clear" w:color="auto" w:fill="auto"/>
            <w:noWrap w:val="0"/>
            <w:vAlign w:val="center"/>
          </w:tcPr>
          <w:p>
            <w:pPr>
              <w:keepNext w:val="0"/>
              <w:keepLines w:val="0"/>
              <w:pageBreakBefore w:val="0"/>
              <w:kinsoku/>
              <w:wordWrap/>
              <w:overflowPunct/>
              <w:topLinePunct w:val="0"/>
              <w:bidi w:val="0"/>
              <w:adjustRightInd/>
              <w:snapToGrid/>
              <w:jc w:val="center"/>
              <w:rPr>
                <w:rFonts w:hint="eastAsia" w:ascii="Times New Roman" w:hAnsi="Times New Roman" w:eastAsia="宋体" w:cs="Times New Roman"/>
                <w:b w:val="0"/>
                <w:bCs w:val="0"/>
                <w:color w:val="auto"/>
                <w:sz w:val="21"/>
                <w:szCs w:val="21"/>
                <w:u w:val="wave" w:color="auto"/>
                <w:lang w:val="en-US" w:eastAsia="zh-CN"/>
              </w:rPr>
            </w:pPr>
            <w:r>
              <w:rPr>
                <w:rFonts w:hint="eastAsia" w:ascii="Times New Roman" w:hAnsi="Times New Roman" w:eastAsia="宋体" w:cs="Times New Roman"/>
                <w:b w:val="0"/>
                <w:bCs w:val="0"/>
                <w:color w:val="auto"/>
                <w:sz w:val="21"/>
                <w:szCs w:val="21"/>
                <w:u w:val="wave" w:color="auto"/>
                <w:lang w:val="en-US" w:eastAsia="zh-CN"/>
              </w:rPr>
              <w:t>三级隔油沉淀池（TW002）+油水分离器</w:t>
            </w:r>
          </w:p>
        </w:tc>
        <w:tc>
          <w:tcPr>
            <w:tcW w:w="2370" w:type="dxa"/>
            <w:vMerge w:val="continue"/>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sz w:val="21"/>
                <w:szCs w:val="21"/>
                <w:u w:val="wave" w:color="auto"/>
                <w:lang w:val="zh-CN"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eastAsia" w:ascii="Times New Roman" w:hAnsi="Times New Roman" w:eastAsia="宋体" w:cs="Times New Roman"/>
                <w:b w:val="0"/>
                <w:bCs w:val="0"/>
                <w:color w:val="auto"/>
                <w:sz w:val="21"/>
                <w:szCs w:val="21"/>
                <w:u w:val="wave" w:color="auto"/>
                <w:lang w:val="en-US" w:eastAsia="zh-CN"/>
              </w:rPr>
              <w:t>初期雨水</w:t>
            </w:r>
          </w:p>
        </w:tc>
        <w:tc>
          <w:tcPr>
            <w:tcW w:w="1950" w:type="dxa"/>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eastAsia" w:ascii="Times New Roman" w:hAnsi="Times New Roman" w:eastAsia="宋体" w:cs="Times New Roman"/>
                <w:b w:val="0"/>
                <w:bCs w:val="0"/>
                <w:color w:val="auto"/>
                <w:sz w:val="21"/>
                <w:szCs w:val="21"/>
                <w:u w:val="wave" w:color="auto"/>
                <w:lang w:val="en-US" w:eastAsia="zh-CN"/>
              </w:rPr>
              <w:t>SS、化学需氧量、石油类</w:t>
            </w:r>
          </w:p>
        </w:tc>
        <w:tc>
          <w:tcPr>
            <w:tcW w:w="1851" w:type="dxa"/>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kern w:val="2"/>
                <w:sz w:val="21"/>
                <w:szCs w:val="21"/>
                <w:u w:val="wave" w:color="auto"/>
                <w:lang w:val="en-US" w:eastAsia="zh-CN" w:bidi="ar-SA"/>
              </w:rPr>
            </w:pPr>
            <w:r>
              <w:rPr>
                <w:rFonts w:hint="eastAsia" w:cs="Times New Roman"/>
                <w:b w:val="0"/>
                <w:bCs/>
                <w:color w:val="auto"/>
                <w:sz w:val="21"/>
                <w:szCs w:val="21"/>
                <w:u w:val="wave" w:color="auto"/>
                <w:lang w:val="en-US" w:eastAsia="zh-CN"/>
              </w:rPr>
              <w:t>初期</w:t>
            </w:r>
            <w:r>
              <w:rPr>
                <w:rFonts w:hint="eastAsia" w:ascii="Times New Roman" w:hAnsi="Times New Roman" w:eastAsia="宋体" w:cs="Times New Roman"/>
                <w:b w:val="0"/>
                <w:bCs/>
                <w:color w:val="auto"/>
                <w:sz w:val="21"/>
                <w:szCs w:val="21"/>
                <w:u w:val="wave" w:color="auto"/>
                <w:lang w:val="en-US" w:eastAsia="zh-CN"/>
              </w:rPr>
              <w:t>收集池</w:t>
            </w:r>
            <w:r>
              <w:rPr>
                <w:rFonts w:hint="eastAsia" w:cs="Times New Roman"/>
                <w:b w:val="0"/>
                <w:bCs/>
                <w:color w:val="auto"/>
                <w:sz w:val="21"/>
                <w:szCs w:val="21"/>
                <w:u w:val="wave" w:color="auto"/>
                <w:lang w:val="en-US" w:eastAsia="zh-CN"/>
              </w:rPr>
              <w:t>+三级隔油沉淀池</w:t>
            </w:r>
            <w:r>
              <w:rPr>
                <w:rFonts w:hint="eastAsia" w:ascii="Times New Roman" w:hAnsi="Times New Roman" w:eastAsia="宋体" w:cs="Times New Roman"/>
                <w:b w:val="0"/>
                <w:bCs/>
                <w:color w:val="auto"/>
                <w:sz w:val="21"/>
                <w:szCs w:val="21"/>
                <w:u w:val="wave" w:color="auto"/>
                <w:lang w:val="en-US" w:eastAsia="zh-CN"/>
              </w:rPr>
              <w:t>（TW002）</w:t>
            </w:r>
            <w:r>
              <w:rPr>
                <w:rFonts w:hint="eastAsia" w:cs="Times New Roman"/>
                <w:b w:val="0"/>
                <w:bCs/>
                <w:color w:val="auto"/>
                <w:sz w:val="21"/>
                <w:szCs w:val="21"/>
                <w:u w:val="wave" w:color="auto"/>
                <w:lang w:val="en-US" w:eastAsia="zh-CN"/>
              </w:rPr>
              <w:t>+</w:t>
            </w:r>
            <w:r>
              <w:rPr>
                <w:rFonts w:hint="eastAsia" w:ascii="Times New Roman" w:hAnsi="Times New Roman" w:eastAsia="宋体" w:cs="Times New Roman"/>
                <w:b w:val="0"/>
                <w:bCs/>
                <w:color w:val="auto"/>
                <w:sz w:val="21"/>
                <w:szCs w:val="21"/>
                <w:u w:val="wave" w:color="auto"/>
                <w:lang w:val="en-US" w:eastAsia="zh-CN"/>
              </w:rPr>
              <w:t>油水分离器</w:t>
            </w:r>
          </w:p>
        </w:tc>
        <w:tc>
          <w:tcPr>
            <w:tcW w:w="2370" w:type="dxa"/>
            <w:vMerge w:val="continue"/>
            <w:shd w:val="clear" w:color="auto" w:fill="auto"/>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b w:val="0"/>
                <w:bCs w:val="0"/>
                <w:color w:val="auto"/>
                <w:kern w:val="2"/>
                <w:sz w:val="21"/>
                <w:szCs w:val="21"/>
                <w:u w:val="wave" w:color="auto"/>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声环境</w:t>
            </w:r>
          </w:p>
        </w:tc>
        <w:tc>
          <w:tcPr>
            <w:tcW w:w="1628"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机械噪声</w:t>
            </w:r>
          </w:p>
        </w:tc>
        <w:tc>
          <w:tcPr>
            <w:tcW w:w="195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等效连续A声级</w:t>
            </w:r>
          </w:p>
        </w:tc>
        <w:tc>
          <w:tcPr>
            <w:tcW w:w="185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减振、隔声</w:t>
            </w:r>
            <w:r>
              <w:rPr>
                <w:rFonts w:hint="eastAsia" w:ascii="Times New Roman" w:hAnsi="Times New Roman" w:eastAsia="宋体" w:cs="Times New Roman"/>
                <w:color w:val="auto"/>
                <w:sz w:val="21"/>
                <w:szCs w:val="21"/>
                <w:u w:val="wave" w:color="auto"/>
                <w:lang w:val="en-US" w:eastAsia="zh-CN"/>
              </w:rPr>
              <w:t>、合理布局</w:t>
            </w:r>
          </w:p>
        </w:tc>
        <w:tc>
          <w:tcPr>
            <w:tcW w:w="237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eastAsia="zh-CN"/>
              </w:rPr>
            </w:pPr>
            <w:r>
              <w:rPr>
                <w:rFonts w:hint="default" w:ascii="Times New Roman" w:hAnsi="Times New Roman" w:eastAsia="宋体"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lang w:val="en-US" w:eastAsia="zh-CN"/>
              </w:rPr>
              <w:t>工业企业厂界噪声排放标准</w:t>
            </w:r>
            <w:r>
              <w:rPr>
                <w:rFonts w:hint="default" w:ascii="Times New Roman" w:hAnsi="Times New Roman" w:eastAsia="宋体"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lang w:val="en-US" w:eastAsia="zh-CN"/>
              </w:rPr>
              <w:t>（GB12348-2008）2类标准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电磁辐射</w:t>
            </w:r>
          </w:p>
        </w:tc>
        <w:tc>
          <w:tcPr>
            <w:tcW w:w="7799" w:type="dxa"/>
            <w:gridSpan w:val="4"/>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restar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固体废物</w:t>
            </w:r>
          </w:p>
        </w:tc>
        <w:tc>
          <w:tcPr>
            <w:tcW w:w="1628" w:type="dxa"/>
            <w:noWrap w:val="0"/>
            <w:vAlign w:val="center"/>
          </w:tcPr>
          <w:p>
            <w:pPr>
              <w:adjustRightInd w:val="0"/>
              <w:snapToGrid w:val="0"/>
              <w:jc w:val="center"/>
              <w:rPr>
                <w:rFonts w:hint="default" w:ascii="Times New Roman" w:hAnsi="Times New Roman" w:eastAsia="宋体" w:cs="宋体"/>
                <w:color w:val="auto"/>
                <w:kern w:val="2"/>
                <w:sz w:val="21"/>
                <w:szCs w:val="21"/>
                <w:u w:val="wave" w:color="auto"/>
                <w:lang w:val="en-US" w:eastAsia="zh-CN" w:bidi="ar-SA"/>
              </w:rPr>
            </w:pPr>
            <w:r>
              <w:rPr>
                <w:rFonts w:hint="eastAsia" w:ascii="宋体" w:hAnsi="宋体" w:cs="宋体"/>
                <w:szCs w:val="21"/>
                <w:u w:val="wave" w:color="auto"/>
                <w:lang w:val="en-US" w:eastAsia="zh-CN"/>
              </w:rPr>
              <w:t>/</w:t>
            </w:r>
          </w:p>
        </w:tc>
        <w:tc>
          <w:tcPr>
            <w:tcW w:w="1950" w:type="dxa"/>
            <w:tcBorders>
              <w:right w:val="single" w:color="auto" w:sz="4" w:space="0"/>
            </w:tcBorders>
            <w:noWrap w:val="0"/>
            <w:vAlign w:val="center"/>
          </w:tcPr>
          <w:p>
            <w:pPr>
              <w:adjustRightInd w:val="0"/>
              <w:snapToGrid w:val="0"/>
              <w:jc w:val="center"/>
              <w:rPr>
                <w:rFonts w:hint="default" w:ascii="Times New Roman" w:hAnsi="Times New Roman" w:eastAsia="宋体" w:cs="宋体"/>
                <w:color w:val="auto"/>
                <w:kern w:val="0"/>
                <w:sz w:val="21"/>
                <w:szCs w:val="21"/>
                <w:u w:val="wave" w:color="auto"/>
                <w:lang w:val="en-US" w:eastAsia="zh-CN" w:bidi="ar-SA"/>
              </w:rPr>
            </w:pPr>
            <w:r>
              <w:rPr>
                <w:rFonts w:hint="eastAsia" w:ascii="宋体" w:hAnsi="宋体" w:cs="宋体"/>
                <w:szCs w:val="21"/>
                <w:u w:val="wave" w:color="auto"/>
                <w:lang w:val="en-US" w:eastAsia="zh-CN"/>
              </w:rPr>
              <w:t>生活垃圾</w:t>
            </w:r>
          </w:p>
        </w:tc>
        <w:tc>
          <w:tcPr>
            <w:tcW w:w="1851" w:type="dxa"/>
            <w:tcBorders>
              <w:left w:val="single" w:color="auto" w:sz="4" w:space="0"/>
            </w:tcBorders>
            <w:noWrap w:val="0"/>
            <w:vAlign w:val="center"/>
          </w:tcPr>
          <w:p>
            <w:pPr>
              <w:adjustRightInd w:val="0"/>
              <w:snapToGrid w:val="0"/>
              <w:jc w:val="center"/>
              <w:rPr>
                <w:rFonts w:hint="default" w:ascii="Times New Roman" w:hAnsi="Times New Roman" w:eastAsia="宋体" w:cs="宋体"/>
                <w:color w:val="auto"/>
                <w:kern w:val="0"/>
                <w:sz w:val="21"/>
                <w:szCs w:val="21"/>
                <w:u w:val="wave" w:color="auto"/>
                <w:lang w:val="en-US" w:eastAsia="zh-CN" w:bidi="ar-SA"/>
              </w:rPr>
            </w:pPr>
            <w:r>
              <w:rPr>
                <w:rFonts w:hint="eastAsia" w:ascii="宋体" w:hAnsi="宋体" w:cs="宋体"/>
                <w:szCs w:val="21"/>
                <w:u w:val="wave" w:color="auto"/>
                <w:lang w:val="en-US" w:eastAsia="zh-CN"/>
              </w:rPr>
              <w:t>收集交给环卫部门处理</w:t>
            </w:r>
          </w:p>
        </w:tc>
        <w:tc>
          <w:tcPr>
            <w:tcW w:w="237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val="en-US" w:eastAsia="zh-CN"/>
              </w:rPr>
            </w:pPr>
            <w:r>
              <w:rPr>
                <w:rFonts w:hint="eastAsia" w:ascii="Times New Roman" w:hAnsi="Times New Roman" w:eastAsia="宋体" w:cs="Times New Roman"/>
                <w:color w:val="auto"/>
                <w:sz w:val="21"/>
                <w:szCs w:val="21"/>
                <w:u w:val="wave" w:color="auto"/>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noWrap w:val="0"/>
            <w:vAlign w:val="center"/>
          </w:tcPr>
          <w:p>
            <w:pPr>
              <w:adjustRightInd w:val="0"/>
              <w:snapToGrid w:val="0"/>
              <w:jc w:val="center"/>
              <w:rPr>
                <w:rFonts w:hint="default" w:ascii="Times New Roman" w:hAnsi="Times New Roman" w:eastAsia="宋体" w:cs="Times New Roman"/>
                <w:bCs/>
                <w:color w:val="auto"/>
                <w:spacing w:val="-10"/>
                <w:kern w:val="2"/>
                <w:sz w:val="21"/>
                <w:szCs w:val="21"/>
                <w:u w:val="wave" w:color="auto"/>
                <w:vertAlign w:val="baseline"/>
                <w:lang w:val="en-US" w:eastAsia="zh-CN" w:bidi="ar-SA"/>
              </w:rPr>
            </w:pPr>
            <w:r>
              <w:rPr>
                <w:rFonts w:hint="eastAsia" w:ascii="宋体" w:hAnsi="宋体" w:cs="宋体"/>
                <w:szCs w:val="21"/>
                <w:u w:val="wave" w:color="auto"/>
                <w:lang w:val="en-US" w:eastAsia="zh-CN"/>
              </w:rPr>
              <w:t>一般固体废物</w:t>
            </w:r>
          </w:p>
        </w:tc>
        <w:tc>
          <w:tcPr>
            <w:tcW w:w="1950" w:type="dxa"/>
            <w:tcBorders>
              <w:righ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u w:val="wave" w:color="auto"/>
                <w:lang w:val="en-US" w:eastAsia="zh-CN" w:bidi="ar"/>
              </w:rPr>
            </w:pPr>
            <w:r>
              <w:rPr>
                <w:rFonts w:hint="eastAsia"/>
                <w:u w:val="wave" w:color="auto"/>
                <w:lang w:val="en-US" w:eastAsia="zh-CN"/>
              </w:rPr>
              <w:t>废动力蓄电池、废安全气囊</w:t>
            </w:r>
          </w:p>
        </w:tc>
        <w:tc>
          <w:tcPr>
            <w:tcW w:w="1851" w:type="dxa"/>
            <w:tcBorders>
              <w:lef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u w:val="wave" w:color="auto"/>
                <w:lang w:val="en-US" w:eastAsia="zh-CN" w:bidi="ar"/>
              </w:rPr>
            </w:pPr>
            <w:r>
              <w:rPr>
                <w:rFonts w:hint="eastAsia"/>
                <w:u w:val="wave" w:color="auto"/>
                <w:lang w:val="en-US" w:eastAsia="zh-CN"/>
              </w:rPr>
              <w:t>委托有资质单位处置</w:t>
            </w:r>
          </w:p>
        </w:tc>
        <w:tc>
          <w:tcPr>
            <w:tcW w:w="2370" w:type="dxa"/>
            <w:vMerge w:val="restart"/>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eastAsia"/>
                <w:u w:val="wave" w:color="auto"/>
              </w:rPr>
              <w:t>《一般工业固体废物贮存和填埋污染控制标准》（GB18599-2020）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noWrap w:val="0"/>
            <w:vAlign w:val="center"/>
          </w:tcPr>
          <w:p>
            <w:pPr>
              <w:adjustRightInd w:val="0"/>
              <w:snapToGrid w:val="0"/>
              <w:jc w:val="center"/>
              <w:rPr>
                <w:rFonts w:hint="default" w:ascii="Times New Roman" w:hAnsi="Times New Roman" w:eastAsia="宋体" w:cs="Times New Roman"/>
                <w:bCs/>
                <w:color w:val="auto"/>
                <w:spacing w:val="-10"/>
                <w:kern w:val="2"/>
                <w:sz w:val="21"/>
                <w:szCs w:val="21"/>
                <w:u w:val="wave" w:color="auto"/>
                <w:vertAlign w:val="baseline"/>
                <w:lang w:val="en-US" w:eastAsia="zh-CN" w:bidi="ar-SA"/>
              </w:rPr>
            </w:pPr>
            <w:r>
              <w:rPr>
                <w:rFonts w:hint="eastAsia" w:ascii="宋体" w:hAnsi="宋体" w:cs="宋体"/>
                <w:szCs w:val="21"/>
                <w:u w:val="wave" w:color="auto"/>
                <w:lang w:val="en-US" w:eastAsia="zh-CN"/>
              </w:rPr>
              <w:t>一般固体废物</w:t>
            </w:r>
          </w:p>
        </w:tc>
        <w:tc>
          <w:tcPr>
            <w:tcW w:w="1950" w:type="dxa"/>
            <w:tcBorders>
              <w:right w:val="single" w:color="auto" w:sz="4" w:space="0"/>
            </w:tcBorders>
            <w:noWrap w:val="0"/>
            <w:vAlign w:val="center"/>
          </w:tcPr>
          <w:p>
            <w:pPr>
              <w:rPr>
                <w:rFonts w:hint="default" w:ascii="Times New Roman" w:hAnsi="Times New Roman" w:eastAsia="宋体" w:cs="Times New Roman"/>
                <w:color w:val="auto"/>
                <w:kern w:val="2"/>
                <w:sz w:val="21"/>
                <w:szCs w:val="21"/>
                <w:u w:val="wave" w:color="auto"/>
                <w:lang w:val="en-US" w:eastAsia="zh-CN" w:bidi="ar"/>
              </w:rPr>
            </w:pPr>
            <w:r>
              <w:rPr>
                <w:rFonts w:hint="eastAsia"/>
                <w:u w:val="wave" w:color="auto"/>
              </w:rPr>
              <w:t>废电线</w:t>
            </w:r>
            <w:r>
              <w:rPr>
                <w:rFonts w:hint="eastAsia"/>
                <w:u w:val="wave" w:color="auto"/>
                <w:lang w:eastAsia="zh-CN"/>
              </w:rPr>
              <w:t>、</w:t>
            </w:r>
            <w:r>
              <w:rPr>
                <w:rFonts w:hint="eastAsia"/>
                <w:u w:val="wave" w:color="auto"/>
              </w:rPr>
              <w:t>废玻璃</w:t>
            </w:r>
            <w:r>
              <w:rPr>
                <w:rFonts w:hint="eastAsia"/>
                <w:u w:val="wave" w:color="auto"/>
                <w:lang w:eastAsia="zh-CN"/>
              </w:rPr>
              <w:t>、</w:t>
            </w:r>
            <w:r>
              <w:rPr>
                <w:rFonts w:hint="eastAsia"/>
                <w:u w:val="wave" w:color="auto"/>
              </w:rPr>
              <w:t>废钢铁</w:t>
            </w:r>
            <w:r>
              <w:rPr>
                <w:rFonts w:hint="eastAsia"/>
                <w:u w:val="wave" w:color="auto"/>
                <w:lang w:eastAsia="zh-CN"/>
              </w:rPr>
              <w:t>、</w:t>
            </w:r>
            <w:r>
              <w:rPr>
                <w:rFonts w:hint="eastAsia"/>
                <w:u w:val="wave" w:color="auto"/>
              </w:rPr>
              <w:t>废橡胶</w:t>
            </w:r>
            <w:r>
              <w:rPr>
                <w:rFonts w:hint="eastAsia"/>
                <w:u w:val="wave" w:color="auto"/>
                <w:lang w:eastAsia="zh-CN"/>
              </w:rPr>
              <w:t>、</w:t>
            </w:r>
            <w:r>
              <w:rPr>
                <w:rFonts w:hint="eastAsia"/>
                <w:u w:val="wave" w:color="auto"/>
              </w:rPr>
              <w:t>废塑料</w:t>
            </w:r>
            <w:r>
              <w:rPr>
                <w:rFonts w:hint="eastAsia"/>
                <w:u w:val="wave" w:color="auto"/>
                <w:lang w:eastAsia="zh-CN"/>
              </w:rPr>
              <w:t>、</w:t>
            </w:r>
            <w:r>
              <w:rPr>
                <w:rFonts w:hint="eastAsia"/>
                <w:u w:val="wave" w:color="auto"/>
                <w:lang w:val="en-US" w:eastAsia="zh-CN"/>
              </w:rPr>
              <w:t>不</w:t>
            </w:r>
            <w:r>
              <w:rPr>
                <w:rFonts w:hint="eastAsia"/>
                <w:u w:val="wave" w:color="auto"/>
              </w:rPr>
              <w:t>可用零部件</w:t>
            </w:r>
            <w:r>
              <w:rPr>
                <w:rFonts w:hint="eastAsia"/>
                <w:u w:val="wave" w:color="auto"/>
                <w:lang w:eastAsia="zh-CN"/>
              </w:rPr>
              <w:t>、</w:t>
            </w:r>
            <w:r>
              <w:rPr>
                <w:rFonts w:hint="eastAsia"/>
                <w:u w:val="wave" w:color="auto"/>
              </w:rPr>
              <w:t>有色金属</w:t>
            </w:r>
          </w:p>
        </w:tc>
        <w:tc>
          <w:tcPr>
            <w:tcW w:w="1851" w:type="dxa"/>
            <w:tcBorders>
              <w:left w:val="single" w:color="auto" w:sz="4" w:space="0"/>
            </w:tcBorders>
            <w:noWrap w:val="0"/>
            <w:vAlign w:val="center"/>
          </w:tcPr>
          <w:p>
            <w:pPr>
              <w:adjustRightInd w:val="0"/>
              <w:snapToGrid w:val="0"/>
              <w:jc w:val="center"/>
              <w:rPr>
                <w:rFonts w:hint="default" w:ascii="Times New Roman" w:hAnsi="Times New Roman" w:eastAsia="宋体" w:cs="Times New Roman"/>
                <w:color w:val="auto"/>
                <w:kern w:val="2"/>
                <w:sz w:val="21"/>
                <w:szCs w:val="21"/>
                <w:u w:val="wave" w:color="auto"/>
                <w:lang w:val="en-US" w:eastAsia="zh-CN" w:bidi="ar"/>
              </w:rPr>
            </w:pPr>
            <w:r>
              <w:rPr>
                <w:rFonts w:hint="eastAsia"/>
                <w:u w:val="wave" w:color="auto"/>
                <w:lang w:val="en-US" w:eastAsia="zh-CN"/>
              </w:rPr>
              <w:t>外售</w:t>
            </w:r>
          </w:p>
        </w:tc>
        <w:tc>
          <w:tcPr>
            <w:tcW w:w="2370"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vMerge w:val="continue"/>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p>
        </w:tc>
        <w:tc>
          <w:tcPr>
            <w:tcW w:w="1628" w:type="dxa"/>
            <w:noWrap w:val="0"/>
            <w:vAlign w:val="center"/>
          </w:tcPr>
          <w:p>
            <w:pPr>
              <w:adjustRightInd w:val="0"/>
              <w:snapToGrid w:val="0"/>
              <w:jc w:val="center"/>
              <w:rPr>
                <w:rFonts w:hint="default" w:ascii="Times New Roman" w:hAnsi="Times New Roman" w:eastAsia="宋体"/>
                <w:color w:val="auto"/>
                <w:kern w:val="2"/>
                <w:sz w:val="21"/>
                <w:szCs w:val="21"/>
                <w:u w:val="wave" w:color="auto"/>
                <w:lang w:val="en-US" w:eastAsia="zh-CN" w:bidi="ar-SA"/>
              </w:rPr>
            </w:pPr>
            <w:r>
              <w:rPr>
                <w:rFonts w:hint="eastAsia" w:ascii="宋体" w:hAnsi="宋体" w:cs="宋体"/>
                <w:szCs w:val="21"/>
                <w:u w:val="wave" w:color="auto"/>
                <w:lang w:val="en-US" w:eastAsia="zh-CN"/>
              </w:rPr>
              <w:t>危险废物</w:t>
            </w:r>
          </w:p>
        </w:tc>
        <w:tc>
          <w:tcPr>
            <w:tcW w:w="1950" w:type="dxa"/>
            <w:tcBorders>
              <w:right w:val="single" w:color="auto" w:sz="4" w:space="0"/>
            </w:tcBorders>
            <w:noWrap w:val="0"/>
            <w:vAlign w:val="center"/>
          </w:tcPr>
          <w:p>
            <w:pPr>
              <w:adjustRightInd w:val="0"/>
              <w:snapToGrid w:val="0"/>
              <w:jc w:val="center"/>
              <w:rPr>
                <w:rFonts w:hint="default" w:ascii="Times New Roman" w:hAnsi="Times New Roman" w:eastAsia="宋体"/>
                <w:color w:val="auto"/>
                <w:kern w:val="0"/>
                <w:sz w:val="21"/>
                <w:szCs w:val="21"/>
                <w:u w:val="wave" w:color="auto"/>
                <w:lang w:val="en-US" w:eastAsia="zh-CN" w:bidi="ar-SA"/>
              </w:rPr>
            </w:pPr>
            <w:r>
              <w:rPr>
                <w:rFonts w:hint="eastAsia"/>
                <w:u w:val="wave" w:color="auto"/>
                <w:lang w:val="en-US" w:eastAsia="zh-CN"/>
              </w:rPr>
              <w:t>废铅酸蓄电池、废油液、燃料油、废有机溶剂与含有机溶剂废物、废滤清器、抹布手套/吸油毡、废空调制冷剂、废尾气净化装置、含多氯联苯的电容器、废电路板、废有毒物质部件、初期雨水收集池、隔油沉淀池废油及污泥</w:t>
            </w:r>
          </w:p>
        </w:tc>
        <w:tc>
          <w:tcPr>
            <w:tcW w:w="1851" w:type="dxa"/>
            <w:tcBorders>
              <w:left w:val="single" w:color="auto" w:sz="4" w:space="0"/>
            </w:tcBorders>
            <w:noWrap w:val="0"/>
            <w:vAlign w:val="center"/>
          </w:tcPr>
          <w:p>
            <w:pPr>
              <w:adjustRightInd w:val="0"/>
              <w:snapToGrid w:val="0"/>
              <w:jc w:val="center"/>
              <w:rPr>
                <w:rFonts w:hint="default" w:ascii="Times New Roman" w:hAnsi="Times New Roman" w:eastAsia="宋体"/>
                <w:color w:val="auto"/>
                <w:kern w:val="0"/>
                <w:sz w:val="21"/>
                <w:szCs w:val="21"/>
                <w:u w:val="wave" w:color="auto"/>
                <w:lang w:val="en-US" w:eastAsia="zh-CN" w:bidi="ar-SA"/>
              </w:rPr>
            </w:pPr>
            <w:r>
              <w:rPr>
                <w:rFonts w:hint="eastAsia"/>
                <w:u w:val="wave" w:color="auto"/>
                <w:lang w:val="en-US" w:eastAsia="zh-CN"/>
              </w:rPr>
              <w:t>分类暂存于危废暂存间，定期委托有资质单位处置</w:t>
            </w:r>
          </w:p>
        </w:tc>
        <w:tc>
          <w:tcPr>
            <w:tcW w:w="2370"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《危险废物贮存污染控制标准》（GB18597-2023）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土壤及地下水</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污染防治措施</w:t>
            </w:r>
          </w:p>
        </w:tc>
        <w:tc>
          <w:tcPr>
            <w:tcW w:w="7799" w:type="dxa"/>
            <w:gridSpan w:val="4"/>
            <w:noWrap w:val="0"/>
            <w:vAlign w:val="center"/>
          </w:tcPr>
          <w:p>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color w:val="auto"/>
                <w:u w:val="wave" w:color="auto"/>
                <w:lang w:val="en-US" w:eastAsia="zh-CN"/>
              </w:rPr>
            </w:pPr>
            <w:r>
              <w:rPr>
                <w:rFonts w:hint="eastAsia"/>
                <w:color w:val="auto"/>
                <w:u w:val="wave" w:color="auto"/>
                <w:lang w:val="en-US" w:eastAsia="zh-CN"/>
              </w:rPr>
              <w:t>结合项目污染特征因子及其污染控制难易程度及其防污特性等，对本项目场地提出防渗分区要求，分区防渗措施见下表。</w:t>
            </w:r>
          </w:p>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b/>
                <w:bCs/>
                <w:color w:val="auto"/>
                <w:sz w:val="21"/>
                <w:szCs w:val="21"/>
                <w:u w:val="wave" w:color="auto"/>
                <w:lang w:val="en-US" w:eastAsia="zh-CN"/>
              </w:rPr>
            </w:pPr>
            <w:r>
              <w:rPr>
                <w:rFonts w:hint="eastAsia"/>
                <w:b/>
                <w:bCs/>
                <w:color w:val="auto"/>
                <w:sz w:val="21"/>
                <w:szCs w:val="21"/>
                <w:u w:val="wave" w:color="auto"/>
                <w:lang w:val="en-US" w:eastAsia="zh-CN"/>
              </w:rPr>
              <w:t>表5-1 本项目分区防渗方案及防渗措施一览表</w:t>
            </w:r>
          </w:p>
          <w:tbl>
            <w:tblPr>
              <w:tblStyle w:val="26"/>
              <w:tblW w:w="4998" w:type="pct"/>
              <w:tblInd w:w="1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78"/>
              <w:gridCol w:w="941"/>
              <w:gridCol w:w="2099"/>
              <w:gridCol w:w="40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序号</w:t>
                  </w:r>
                </w:p>
              </w:tc>
              <w:tc>
                <w:tcPr>
                  <w:tcW w:w="6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防治分区</w:t>
                  </w:r>
                </w:p>
              </w:tc>
              <w:tc>
                <w:tcPr>
                  <w:tcW w:w="13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分区位置</w:t>
                  </w:r>
                </w:p>
              </w:tc>
              <w:tc>
                <w:tcPr>
                  <w:tcW w:w="26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sz w:val="21"/>
                      <w:szCs w:val="21"/>
                      <w:u w:val="wave" w:color="auto"/>
                      <w:vertAlign w:val="baseline"/>
                      <w:lang w:val="en-US" w:eastAsia="zh-CN"/>
                    </w:rPr>
                  </w:pPr>
                  <w:r>
                    <w:rPr>
                      <w:rFonts w:hint="default" w:ascii="Times New Roman" w:hAnsi="Times New Roman" w:eastAsia="宋体" w:cs="Times New Roman"/>
                      <w:b/>
                      <w:bCs/>
                      <w:color w:val="auto"/>
                      <w:sz w:val="21"/>
                      <w:szCs w:val="21"/>
                      <w:u w:val="wave" w:color="auto"/>
                      <w:vertAlign w:val="baseline"/>
                      <w:lang w:val="en-US" w:eastAsia="zh-CN"/>
                    </w:rPr>
                    <w:t>防渗要求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1</w:t>
                  </w:r>
                </w:p>
              </w:tc>
              <w:tc>
                <w:tcPr>
                  <w:tcW w:w="620"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重点污染防治区</w:t>
                  </w:r>
                </w:p>
              </w:tc>
              <w:tc>
                <w:tcPr>
                  <w:tcW w:w="13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4"/>
                      <w:u w:val="wave" w:color="auto"/>
                      <w:lang w:val="en-US" w:eastAsia="zh-CN"/>
                    </w:rPr>
                    <w:t>危废暂存间、</w:t>
                  </w:r>
                  <w:r>
                    <w:rPr>
                      <w:rFonts w:hint="eastAsia" w:cs="Times New Roman"/>
                      <w:color w:val="auto"/>
                      <w:sz w:val="21"/>
                      <w:szCs w:val="24"/>
                      <w:u w:val="wave" w:color="auto"/>
                      <w:lang w:val="en-US" w:eastAsia="zh-CN"/>
                    </w:rPr>
                    <w:t>拆解车间（</w:t>
                  </w:r>
                  <w:r>
                    <w:rPr>
                      <w:rFonts w:hint="eastAsia" w:ascii="Times New Roman" w:hAnsi="Times New Roman" w:eastAsia="宋体" w:cs="Times New Roman"/>
                      <w:color w:val="auto"/>
                      <w:sz w:val="21"/>
                      <w:szCs w:val="24"/>
                      <w:u w:val="wave" w:color="auto"/>
                      <w:lang w:val="en-US" w:eastAsia="zh-CN"/>
                    </w:rPr>
                    <w:t>小型车</w:t>
                  </w:r>
                  <w:r>
                    <w:rPr>
                      <w:rFonts w:hint="default" w:ascii="Times New Roman" w:hAnsi="Times New Roman" w:eastAsia="宋体" w:cs="Times New Roman"/>
                      <w:color w:val="auto"/>
                      <w:sz w:val="21"/>
                      <w:szCs w:val="24"/>
                      <w:u w:val="wave" w:color="auto"/>
                      <w:lang w:val="en-US" w:eastAsia="zh-CN"/>
                    </w:rPr>
                    <w:t>预处理区、</w:t>
                  </w:r>
                  <w:r>
                    <w:rPr>
                      <w:rFonts w:hint="eastAsia" w:ascii="Times New Roman" w:hAnsi="Times New Roman" w:eastAsia="宋体" w:cs="Times New Roman"/>
                      <w:color w:val="auto"/>
                      <w:sz w:val="21"/>
                      <w:szCs w:val="24"/>
                      <w:u w:val="wave" w:color="auto"/>
                      <w:lang w:val="en-US" w:eastAsia="zh-CN"/>
                    </w:rPr>
                    <w:t>中大型车</w:t>
                  </w:r>
                  <w:r>
                    <w:rPr>
                      <w:rFonts w:hint="default" w:ascii="Times New Roman" w:hAnsi="Times New Roman" w:eastAsia="宋体" w:cs="Times New Roman"/>
                      <w:color w:val="auto"/>
                      <w:sz w:val="21"/>
                      <w:szCs w:val="24"/>
                      <w:u w:val="wave" w:color="auto"/>
                      <w:lang w:val="en-US" w:eastAsia="zh-CN"/>
                    </w:rPr>
                    <w:t>预处理区</w:t>
                  </w:r>
                  <w:r>
                    <w:rPr>
                      <w:rFonts w:hint="eastAsia" w:ascii="Times New Roman" w:hAnsi="Times New Roman" w:eastAsia="宋体" w:cs="Times New Roman"/>
                      <w:color w:val="auto"/>
                      <w:sz w:val="21"/>
                      <w:szCs w:val="24"/>
                      <w:u w:val="wave" w:color="auto"/>
                      <w:lang w:val="en-US" w:eastAsia="zh-CN"/>
                    </w:rPr>
                    <w:t>、小型车精细拆解区、动力总成拆解区</w:t>
                  </w:r>
                  <w:r>
                    <w:rPr>
                      <w:rFonts w:hint="eastAsia" w:cs="Times New Roman"/>
                      <w:color w:val="auto"/>
                      <w:sz w:val="21"/>
                      <w:szCs w:val="24"/>
                      <w:u w:val="wave" w:color="auto"/>
                      <w:lang w:val="en-US" w:eastAsia="zh-CN"/>
                    </w:rPr>
                    <w:t>）</w:t>
                  </w:r>
                </w:p>
              </w:tc>
              <w:tc>
                <w:tcPr>
                  <w:tcW w:w="26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rPr>
                    <w:t>依据国家危险贮存标准要求设计、施工</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采用200mm厚C15砼垫层随打随抹光</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设置钢筋混凝土围堰</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并采用底部加设土工膜进行防渗</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使渗透系数不大于1.0×10</w:t>
                  </w:r>
                  <w:r>
                    <w:rPr>
                      <w:rFonts w:hint="default" w:ascii="Times New Roman" w:hAnsi="Times New Roman" w:eastAsia="宋体" w:cs="Times New Roman"/>
                      <w:color w:val="auto"/>
                      <w:sz w:val="21"/>
                      <w:szCs w:val="21"/>
                      <w:u w:val="wave" w:color="auto"/>
                      <w:vertAlign w:val="superscript"/>
                    </w:rPr>
                    <w:t>-10</w:t>
                  </w:r>
                  <w:r>
                    <w:rPr>
                      <w:rFonts w:hint="default" w:ascii="Times New Roman" w:hAnsi="Times New Roman" w:eastAsia="宋体" w:cs="Times New Roman"/>
                      <w:color w:val="auto"/>
                      <w:sz w:val="21"/>
                      <w:szCs w:val="21"/>
                      <w:u w:val="wave" w:color="auto"/>
                    </w:rPr>
                    <w:t>cm/s</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且防雨和防晒。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5" w:type="pct"/>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u w:val="wave" w:color="auto"/>
                      <w:vertAlign w:val="baseline"/>
                      <w:lang w:val="en-US" w:eastAsia="zh-CN" w:bidi="ar-SA"/>
                    </w:rPr>
                  </w:pPr>
                  <w:r>
                    <w:rPr>
                      <w:rFonts w:hint="default" w:ascii="Times New Roman" w:hAnsi="Times New Roman" w:eastAsia="宋体" w:cs="Times New Roman"/>
                      <w:color w:val="auto"/>
                      <w:sz w:val="21"/>
                      <w:szCs w:val="21"/>
                      <w:u w:val="wave" w:color="auto"/>
                      <w:vertAlign w:val="baseline"/>
                      <w:lang w:val="en-US" w:eastAsia="zh-CN"/>
                    </w:rPr>
                    <w:t>2</w:t>
                  </w:r>
                </w:p>
              </w:tc>
              <w:tc>
                <w:tcPr>
                  <w:tcW w:w="620"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p>
              </w:tc>
              <w:tc>
                <w:tcPr>
                  <w:tcW w:w="13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污水输送、收集管道</w:t>
                  </w:r>
                  <w:r>
                    <w:rPr>
                      <w:rFonts w:hint="eastAsia" w:ascii="Times New Roman" w:hAnsi="Times New Roman" w:eastAsia="宋体" w:cs="Times New Roman"/>
                      <w:color w:val="auto"/>
                      <w:sz w:val="21"/>
                      <w:szCs w:val="24"/>
                      <w:u w:val="wave" w:color="auto"/>
                      <w:lang w:val="en-US" w:eastAsia="zh-CN"/>
                    </w:rPr>
                    <w:t>、</w:t>
                  </w:r>
                  <w:r>
                    <w:rPr>
                      <w:rFonts w:hint="default" w:ascii="Times New Roman" w:hAnsi="Times New Roman" w:eastAsia="宋体" w:cs="Times New Roman"/>
                      <w:color w:val="auto"/>
                      <w:sz w:val="21"/>
                      <w:szCs w:val="24"/>
                      <w:u w:val="wave" w:color="auto"/>
                      <w:lang w:val="en-US" w:eastAsia="zh-CN"/>
                    </w:rPr>
                    <w:t>事故应急池</w:t>
                  </w:r>
                </w:p>
              </w:tc>
              <w:tc>
                <w:tcPr>
                  <w:tcW w:w="26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rPr>
                    <w:t>对废水收集沟渠、管网、阀门严格质量管理,如发现问题</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应及时解决。管沟、污水渠与污水集水井相连</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并设计不低于5‰的排水坡度</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便于废水排至集水井统一处理。要做好沿途污水管网的防渗工作。工程管道DN500及以上管道采用钢筋混凝土管</w:t>
                  </w:r>
                  <w:r>
                    <w:rPr>
                      <w:rFonts w:hint="eastAsia" w:cs="Times New Roman"/>
                      <w:color w:val="auto"/>
                      <w:sz w:val="21"/>
                      <w:szCs w:val="21"/>
                      <w:u w:val="wave" w:color="auto"/>
                      <w:lang w:eastAsia="zh-CN"/>
                    </w:rPr>
                    <w:t>，</w:t>
                  </w:r>
                  <w:r>
                    <w:rPr>
                      <w:rFonts w:hint="default" w:ascii="Times New Roman" w:hAnsi="Times New Roman" w:eastAsia="宋体" w:cs="Times New Roman"/>
                      <w:color w:val="auto"/>
                      <w:sz w:val="21"/>
                      <w:szCs w:val="21"/>
                      <w:u w:val="wave" w:color="auto"/>
                    </w:rPr>
                    <w:t>管径小于DN500的管道采用HDPE管。两种管材防水性均较好。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5" w:type="pct"/>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u w:val="wave" w:color="auto"/>
                      <w:vertAlign w:val="baseline"/>
                      <w:lang w:val="en-US" w:eastAsia="zh-CN" w:bidi="ar-SA"/>
                    </w:rPr>
                  </w:pPr>
                  <w:r>
                    <w:rPr>
                      <w:rFonts w:hint="default" w:ascii="Times New Roman" w:hAnsi="Times New Roman" w:eastAsia="宋体" w:cs="Times New Roman"/>
                      <w:color w:val="auto"/>
                      <w:sz w:val="21"/>
                      <w:szCs w:val="21"/>
                      <w:u w:val="wave" w:color="auto"/>
                      <w:vertAlign w:val="baseline"/>
                      <w:lang w:val="en-US" w:eastAsia="zh-CN"/>
                    </w:rPr>
                    <w:t>3</w:t>
                  </w:r>
                </w:p>
              </w:tc>
              <w:tc>
                <w:tcPr>
                  <w:tcW w:w="6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一般污染防治区</w:t>
                  </w:r>
                </w:p>
              </w:tc>
              <w:tc>
                <w:tcPr>
                  <w:tcW w:w="209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eastAsia" w:cs="Times New Roman"/>
                      <w:color w:val="auto"/>
                      <w:sz w:val="21"/>
                      <w:szCs w:val="24"/>
                      <w:u w:val="wave" w:color="auto"/>
                      <w:lang w:val="en-US" w:eastAsia="zh-CN"/>
                    </w:rPr>
                    <w:t>拆解车间（其他区域，如</w:t>
                  </w:r>
                  <w:r>
                    <w:rPr>
                      <w:rFonts w:hint="default" w:ascii="Times New Roman" w:hAnsi="Times New Roman" w:eastAsia="宋体" w:cs="Times New Roman"/>
                      <w:color w:val="auto"/>
                      <w:sz w:val="21"/>
                      <w:szCs w:val="24"/>
                      <w:u w:val="wave" w:color="auto"/>
                      <w:lang w:val="en-US" w:eastAsia="zh-CN"/>
                    </w:rPr>
                    <w:t>一般固废间、车辆暂存区、成品堆放区</w:t>
                  </w:r>
                  <w:r>
                    <w:rPr>
                      <w:rFonts w:hint="eastAsia" w:ascii="Times New Roman" w:hAnsi="Times New Roman" w:eastAsia="宋体" w:cs="Times New Roman"/>
                      <w:color w:val="auto"/>
                      <w:sz w:val="21"/>
                      <w:szCs w:val="24"/>
                      <w:u w:val="wave" w:color="auto"/>
                      <w:lang w:val="en-US" w:eastAsia="zh-CN"/>
                    </w:rPr>
                    <w:t>等</w:t>
                  </w:r>
                  <w:r>
                    <w:rPr>
                      <w:rFonts w:hint="eastAsia" w:cs="Times New Roman"/>
                      <w:color w:val="auto"/>
                      <w:sz w:val="21"/>
                      <w:szCs w:val="24"/>
                      <w:u w:val="wave" w:color="auto"/>
                      <w:lang w:val="en-US" w:eastAsia="zh-CN"/>
                    </w:rPr>
                    <w:t>）</w:t>
                  </w:r>
                  <w:r>
                    <w:rPr>
                      <w:rFonts w:hint="eastAsia" w:ascii="Times New Roman" w:hAnsi="Times New Roman" w:eastAsia="宋体" w:cs="Times New Roman"/>
                      <w:color w:val="auto"/>
                      <w:sz w:val="21"/>
                      <w:szCs w:val="24"/>
                      <w:u w:val="wave" w:color="auto"/>
                      <w:lang w:val="en-US" w:eastAsia="zh-CN"/>
                    </w:rPr>
                    <w:t>、查验区、动力电池暂存间</w:t>
                  </w:r>
                  <w:r>
                    <w:rPr>
                      <w:rFonts w:hint="default" w:ascii="Times New Roman" w:hAnsi="Times New Roman" w:eastAsia="宋体" w:cs="Times New Roman"/>
                      <w:color w:val="auto"/>
                      <w:sz w:val="21"/>
                      <w:szCs w:val="24"/>
                      <w:u w:val="wave" w:color="auto"/>
                      <w:lang w:val="en-US" w:eastAsia="zh-CN"/>
                    </w:rPr>
                    <w:t>、</w:t>
                  </w:r>
                  <w:r>
                    <w:rPr>
                      <w:rFonts w:hint="eastAsia" w:ascii="Times New Roman" w:hAnsi="Times New Roman" w:eastAsia="宋体" w:cs="Times New Roman"/>
                      <w:color w:val="auto"/>
                      <w:sz w:val="21"/>
                      <w:szCs w:val="24"/>
                      <w:u w:val="wave" w:color="auto"/>
                      <w:lang w:val="en-US" w:eastAsia="zh-CN"/>
                    </w:rPr>
                    <w:t>初雨收集</w:t>
                  </w:r>
                  <w:r>
                    <w:rPr>
                      <w:rFonts w:hint="default" w:ascii="Times New Roman" w:hAnsi="Times New Roman" w:eastAsia="宋体" w:cs="Times New Roman"/>
                      <w:color w:val="auto"/>
                      <w:sz w:val="21"/>
                      <w:szCs w:val="24"/>
                      <w:u w:val="wave" w:color="auto"/>
                      <w:lang w:val="en-US" w:eastAsia="zh-CN"/>
                    </w:rPr>
                    <w:t>池</w:t>
                  </w:r>
                </w:p>
              </w:tc>
              <w:tc>
                <w:tcPr>
                  <w:tcW w:w="26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rPr>
                    <w:t>地面基础防渗和构筑物防渗等级达到渗透系数≤1.0×10</w:t>
                  </w:r>
                  <w:r>
                    <w:rPr>
                      <w:rFonts w:hint="default" w:ascii="Times New Roman" w:hAnsi="Times New Roman" w:eastAsia="宋体" w:cs="Times New Roman"/>
                      <w:color w:val="auto"/>
                      <w:sz w:val="21"/>
                      <w:szCs w:val="21"/>
                      <w:u w:val="wave" w:color="auto"/>
                      <w:vertAlign w:val="superscript"/>
                    </w:rPr>
                    <w:t>-7</w:t>
                  </w:r>
                  <w:r>
                    <w:rPr>
                      <w:rFonts w:hint="default" w:ascii="Times New Roman" w:hAnsi="Times New Roman" w:eastAsia="宋体" w:cs="Times New Roman"/>
                      <w:color w:val="auto"/>
                      <w:sz w:val="21"/>
                      <w:szCs w:val="21"/>
                      <w:u w:val="wave" w:color="auto"/>
                    </w:rPr>
                    <w:t>cm/s，相当于不小于1.5m厚的粘土防护层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5" w:type="pct"/>
                  <w:tcBorders>
                    <w:tl2br w:val="nil"/>
                    <w:tr2bl w:val="nil"/>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u w:val="wave" w:color="auto"/>
                      <w:vertAlign w:val="baseline"/>
                      <w:lang w:val="en-US" w:eastAsia="zh-CN" w:bidi="ar-SA"/>
                    </w:rPr>
                  </w:pPr>
                  <w:r>
                    <w:rPr>
                      <w:rFonts w:hint="eastAsia" w:ascii="Times New Roman" w:hAnsi="Times New Roman" w:eastAsia="宋体" w:cs="Times New Roman"/>
                      <w:color w:val="auto"/>
                      <w:kern w:val="2"/>
                      <w:sz w:val="21"/>
                      <w:szCs w:val="21"/>
                      <w:u w:val="wave" w:color="auto"/>
                      <w:vertAlign w:val="baseline"/>
                      <w:lang w:val="en-US" w:eastAsia="zh-CN" w:bidi="ar-SA"/>
                    </w:rPr>
                    <w:t>4</w:t>
                  </w:r>
                </w:p>
              </w:tc>
              <w:tc>
                <w:tcPr>
                  <w:tcW w:w="62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简单防渗区</w:t>
                  </w:r>
                </w:p>
              </w:tc>
              <w:tc>
                <w:tcPr>
                  <w:tcW w:w="209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4"/>
                      <w:u w:val="wave" w:color="auto"/>
                      <w:lang w:val="en-US" w:eastAsia="zh-CN"/>
                    </w:rPr>
                    <w:t>办公区</w:t>
                  </w:r>
                  <w:r>
                    <w:rPr>
                      <w:rFonts w:hint="eastAsia" w:cs="Times New Roman"/>
                      <w:color w:val="auto"/>
                      <w:sz w:val="21"/>
                      <w:szCs w:val="24"/>
                      <w:u w:val="wave" w:color="auto"/>
                      <w:lang w:val="en-US" w:eastAsia="zh-CN"/>
                    </w:rPr>
                    <w:t>、厂内</w:t>
                  </w:r>
                  <w:r>
                    <w:rPr>
                      <w:rFonts w:hint="eastAsia" w:ascii="Times New Roman" w:hAnsi="Times New Roman" w:eastAsia="宋体" w:cs="Times New Roman"/>
                      <w:color w:val="auto"/>
                      <w:sz w:val="21"/>
                      <w:szCs w:val="24"/>
                      <w:u w:val="wave" w:color="auto"/>
                      <w:lang w:val="en-US" w:eastAsia="zh-CN"/>
                    </w:rPr>
                    <w:t>道路</w:t>
                  </w:r>
                </w:p>
              </w:tc>
              <w:tc>
                <w:tcPr>
                  <w:tcW w:w="267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 w:val="21"/>
                      <w:szCs w:val="21"/>
                      <w:u w:val="wave" w:color="auto"/>
                      <w:vertAlign w:val="baseline"/>
                      <w:lang w:val="en-US" w:eastAsia="zh-CN"/>
                    </w:rPr>
                  </w:pPr>
                  <w:r>
                    <w:rPr>
                      <w:rFonts w:hint="default" w:ascii="Times New Roman" w:hAnsi="Times New Roman" w:eastAsia="宋体" w:cs="Times New Roman"/>
                      <w:color w:val="auto"/>
                      <w:sz w:val="21"/>
                      <w:szCs w:val="21"/>
                      <w:u w:val="wave" w:color="auto"/>
                      <w:vertAlign w:val="baseline"/>
                      <w:lang w:val="en-US" w:eastAsia="zh-CN"/>
                    </w:rPr>
                    <w:t>一般地面硬化</w:t>
                  </w:r>
                </w:p>
              </w:tc>
            </w:tr>
          </w:tbl>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default" w:ascii="Times New Roman" w:hAnsi="Times New Roman" w:eastAsia="宋体" w:cs="Times New Roman"/>
                <w:color w:val="auto"/>
                <w:sz w:val="21"/>
                <w:szCs w:val="21"/>
                <w:u w:val="wave" w:color="auto"/>
              </w:rPr>
              <w:t>生态保护措施</w:t>
            </w:r>
          </w:p>
        </w:tc>
        <w:tc>
          <w:tcPr>
            <w:tcW w:w="7799" w:type="dxa"/>
            <w:gridSpan w:val="4"/>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z w:val="21"/>
                <w:szCs w:val="21"/>
                <w:u w:val="wave" w:color="auto"/>
              </w:rPr>
            </w:pPr>
            <w:r>
              <w:rPr>
                <w:rFonts w:hint="eastAsia" w:ascii="Times New Roman" w:hAnsi="Times New Roman" w:eastAsia="宋体" w:cs="Times New Roman"/>
                <w:color w:val="auto"/>
                <w:u w:val="wave" w:color="auto"/>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pacing w:val="-8"/>
                <w:sz w:val="21"/>
                <w:szCs w:val="21"/>
                <w:u w:val="wave" w:color="auto"/>
              </w:rPr>
            </w:pPr>
            <w:r>
              <w:rPr>
                <w:rFonts w:hint="default" w:ascii="Times New Roman" w:hAnsi="Times New Roman" w:eastAsia="宋体" w:cs="Times New Roman"/>
                <w:color w:val="auto"/>
                <w:spacing w:val="-8"/>
                <w:sz w:val="21"/>
                <w:szCs w:val="21"/>
                <w:u w:val="wave" w:color="auto"/>
              </w:rPr>
              <w:t>环境风险</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pacing w:val="-8"/>
                <w:sz w:val="21"/>
                <w:szCs w:val="21"/>
                <w:u w:val="wave" w:color="auto"/>
              </w:rPr>
            </w:pPr>
            <w:r>
              <w:rPr>
                <w:rFonts w:hint="default" w:ascii="Times New Roman" w:hAnsi="Times New Roman" w:eastAsia="宋体" w:cs="Times New Roman"/>
                <w:color w:val="auto"/>
                <w:spacing w:val="-8"/>
                <w:sz w:val="21"/>
                <w:szCs w:val="21"/>
                <w:u w:val="wave" w:color="auto"/>
              </w:rPr>
              <w:t>防范措施</w:t>
            </w:r>
          </w:p>
        </w:tc>
        <w:tc>
          <w:tcPr>
            <w:tcW w:w="7799" w:type="dxa"/>
            <w:gridSpan w:val="4"/>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420" w:firstLineChars="200"/>
              <w:jc w:val="both"/>
              <w:textAlignment w:val="auto"/>
              <w:rPr>
                <w:rFonts w:hint="eastAsia" w:ascii="Times New Roman" w:hAnsi="Times New Roman" w:eastAsia="宋体" w:cs="宋体"/>
                <w:color w:val="auto"/>
                <w:sz w:val="21"/>
                <w:szCs w:val="21"/>
                <w:u w:val="wave" w:color="auto"/>
              </w:rPr>
            </w:pPr>
            <w:r>
              <w:rPr>
                <w:rFonts w:hint="eastAsia" w:ascii="Times New Roman" w:hAnsi="Times New Roman" w:eastAsia="宋体" w:cs="宋体"/>
                <w:color w:val="auto"/>
                <w:sz w:val="21"/>
                <w:szCs w:val="21"/>
                <w:u w:val="wave" w:color="auto"/>
              </w:rPr>
              <w:t>①</w:t>
            </w:r>
            <w:r>
              <w:rPr>
                <w:rFonts w:hint="eastAsia" w:ascii="Times New Roman" w:hAnsi="Times New Roman" w:eastAsia="宋体" w:cs="宋体"/>
                <w:color w:val="auto"/>
                <w:sz w:val="21"/>
                <w:szCs w:val="21"/>
                <w:u w:val="wave" w:color="auto"/>
                <w:lang w:val="en-US" w:eastAsia="zh-CN"/>
              </w:rPr>
              <w:t xml:space="preserve"> </w:t>
            </w:r>
            <w:r>
              <w:rPr>
                <w:rFonts w:hint="eastAsia" w:ascii="Times New Roman" w:hAnsi="Times New Roman" w:eastAsia="宋体" w:cs="宋体"/>
                <w:color w:val="auto"/>
                <w:sz w:val="21"/>
                <w:szCs w:val="21"/>
                <w:u w:val="wave" w:color="auto"/>
              </w:rPr>
              <w:t>拆解车间内严禁明火，严禁在未排空废油液的情况下进行油箱拆解。</w:t>
            </w: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420" w:firstLineChars="200"/>
              <w:jc w:val="both"/>
              <w:textAlignment w:val="auto"/>
              <w:rPr>
                <w:rFonts w:hint="eastAsia" w:ascii="Times New Roman" w:hAnsi="Times New Roman" w:eastAsia="宋体" w:cs="宋体"/>
                <w:color w:val="auto"/>
                <w:sz w:val="21"/>
                <w:szCs w:val="21"/>
                <w:u w:val="wave" w:color="auto"/>
              </w:rPr>
            </w:pPr>
            <w:r>
              <w:rPr>
                <w:rFonts w:hint="eastAsia" w:ascii="Times New Roman" w:hAnsi="Times New Roman" w:eastAsia="宋体" w:cs="宋体"/>
                <w:color w:val="auto"/>
                <w:sz w:val="21"/>
                <w:szCs w:val="21"/>
                <w:u w:val="wave" w:color="auto"/>
              </w:rPr>
              <w:t>②</w:t>
            </w:r>
            <w:r>
              <w:rPr>
                <w:rFonts w:hint="eastAsia" w:ascii="Times New Roman" w:hAnsi="Times New Roman" w:eastAsia="宋体" w:cs="宋体"/>
                <w:color w:val="auto"/>
                <w:sz w:val="21"/>
                <w:szCs w:val="21"/>
                <w:u w:val="wave" w:color="auto"/>
                <w:lang w:val="en-US" w:eastAsia="zh-CN"/>
              </w:rPr>
              <w:t xml:space="preserve"> </w:t>
            </w:r>
            <w:r>
              <w:rPr>
                <w:rFonts w:hint="eastAsia" w:ascii="Times New Roman" w:hAnsi="Times New Roman" w:eastAsia="宋体" w:cs="宋体"/>
                <w:color w:val="auto"/>
                <w:sz w:val="21"/>
                <w:szCs w:val="21"/>
                <w:u w:val="wave" w:color="auto"/>
              </w:rPr>
              <w:t>每年对灭火器材、设施进行检查，如有损坏或压力不足应及时维修更新。检测内容、时间、人员应有记录保存。安全检测应根据设备的安全性、危险性设定检测频次。在消防器材、设施放置处，安排相应的管理者负责。</w:t>
            </w: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420" w:firstLineChars="200"/>
              <w:jc w:val="both"/>
              <w:textAlignment w:val="auto"/>
              <w:rPr>
                <w:rFonts w:hint="eastAsia" w:ascii="Times New Roman" w:hAnsi="Times New Roman" w:eastAsia="宋体" w:cs="宋体"/>
                <w:color w:val="auto"/>
                <w:sz w:val="21"/>
                <w:szCs w:val="21"/>
                <w:u w:val="wave" w:color="auto"/>
              </w:rPr>
            </w:pPr>
            <w:r>
              <w:rPr>
                <w:rFonts w:hint="eastAsia" w:ascii="Times New Roman" w:hAnsi="Times New Roman" w:eastAsia="宋体" w:cs="宋体"/>
                <w:color w:val="auto"/>
                <w:sz w:val="21"/>
                <w:szCs w:val="21"/>
                <w:u w:val="wave" w:color="auto"/>
              </w:rPr>
              <w:t>③</w:t>
            </w:r>
            <w:r>
              <w:rPr>
                <w:rFonts w:hint="eastAsia" w:ascii="Times New Roman" w:hAnsi="Times New Roman" w:eastAsia="宋体" w:cs="宋体"/>
                <w:color w:val="auto"/>
                <w:sz w:val="21"/>
                <w:szCs w:val="21"/>
                <w:u w:val="wave" w:color="auto"/>
                <w:lang w:val="en-US" w:eastAsia="zh-CN"/>
              </w:rPr>
              <w:t xml:space="preserve"> </w:t>
            </w:r>
            <w:r>
              <w:rPr>
                <w:rFonts w:hint="eastAsia" w:ascii="Times New Roman" w:hAnsi="Times New Roman" w:eastAsia="宋体" w:cs="宋体"/>
                <w:color w:val="auto"/>
                <w:sz w:val="21"/>
                <w:szCs w:val="21"/>
                <w:u w:val="wave" w:color="auto"/>
              </w:rPr>
              <w:t>强化安全生产管理，必须制订岗位责任制，将责任落实到部门和个人严格遵守操作规程，严格遵守</w:t>
            </w:r>
            <w:r>
              <w:rPr>
                <w:rFonts w:hint="eastAsia" w:cs="宋体"/>
                <w:color w:val="auto"/>
                <w:sz w:val="21"/>
                <w:szCs w:val="21"/>
                <w:u w:val="wave" w:color="auto"/>
                <w:lang w:eastAsia="zh-CN"/>
              </w:rPr>
              <w:t>《危险化学品安全管理条例》</w:t>
            </w:r>
            <w:r>
              <w:rPr>
                <w:rFonts w:hint="eastAsia" w:ascii="Times New Roman" w:hAnsi="Times New Roman" w:eastAsia="宋体" w:cs="宋体"/>
                <w:color w:val="auto"/>
                <w:sz w:val="21"/>
                <w:szCs w:val="21"/>
                <w:u w:val="wave" w:color="auto"/>
              </w:rPr>
              <w:t>及国家、地方关于易燃、易爆、有毒有害物料的储运使用安全规定。</w:t>
            </w: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420" w:firstLineChars="200"/>
              <w:jc w:val="both"/>
              <w:textAlignment w:val="auto"/>
              <w:rPr>
                <w:rFonts w:hint="eastAsia" w:ascii="Times New Roman" w:hAnsi="Times New Roman" w:eastAsia="宋体" w:cs="宋体"/>
                <w:color w:val="auto"/>
                <w:sz w:val="21"/>
                <w:szCs w:val="21"/>
                <w:u w:val="wave" w:color="auto"/>
              </w:rPr>
            </w:pPr>
            <w:r>
              <w:rPr>
                <w:rFonts w:hint="eastAsia" w:ascii="Times New Roman" w:hAnsi="Times New Roman" w:eastAsia="宋体" w:cs="宋体"/>
                <w:color w:val="auto"/>
                <w:sz w:val="21"/>
                <w:szCs w:val="21"/>
                <w:u w:val="wave" w:color="auto"/>
              </w:rPr>
              <w:t>④</w:t>
            </w:r>
            <w:r>
              <w:rPr>
                <w:rFonts w:hint="eastAsia" w:ascii="Times New Roman" w:hAnsi="Times New Roman" w:eastAsia="宋体" w:cs="宋体"/>
                <w:color w:val="auto"/>
                <w:sz w:val="21"/>
                <w:szCs w:val="21"/>
                <w:u w:val="wave" w:color="auto"/>
                <w:lang w:val="en-US" w:eastAsia="zh-CN"/>
              </w:rPr>
              <w:t xml:space="preserve"> </w:t>
            </w:r>
            <w:r>
              <w:rPr>
                <w:rFonts w:hint="eastAsia" w:ascii="Times New Roman" w:hAnsi="Times New Roman" w:eastAsia="宋体" w:cs="宋体"/>
                <w:color w:val="auto"/>
                <w:sz w:val="21"/>
                <w:szCs w:val="21"/>
                <w:u w:val="wave" w:color="auto"/>
              </w:rPr>
              <w:t>建立健全环保及安全管理部门，该部门应加强监督检查，按规定监测厂内外空气及水体中的有毒有害物质，及时发现，立即处理，避免污染。</w:t>
            </w: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420" w:firstLineChars="200"/>
              <w:jc w:val="both"/>
              <w:textAlignment w:val="auto"/>
              <w:rPr>
                <w:rFonts w:hint="eastAsia" w:ascii="Times New Roman" w:hAnsi="Times New Roman" w:eastAsia="宋体" w:cs="宋体"/>
                <w:color w:val="auto"/>
                <w:sz w:val="21"/>
                <w:szCs w:val="21"/>
                <w:u w:val="wave" w:color="auto"/>
              </w:rPr>
            </w:pPr>
            <w:r>
              <w:rPr>
                <w:rFonts w:hint="eastAsia" w:ascii="Times New Roman" w:hAnsi="Times New Roman" w:eastAsia="宋体" w:cs="宋体"/>
                <w:color w:val="auto"/>
                <w:sz w:val="21"/>
                <w:szCs w:val="21"/>
                <w:u w:val="wave" w:color="auto"/>
              </w:rPr>
              <w:t>⑤</w:t>
            </w:r>
            <w:r>
              <w:rPr>
                <w:rFonts w:hint="eastAsia" w:ascii="Times New Roman" w:hAnsi="Times New Roman" w:eastAsia="宋体" w:cs="宋体"/>
                <w:color w:val="auto"/>
                <w:sz w:val="21"/>
                <w:szCs w:val="21"/>
                <w:u w:val="wave" w:color="auto"/>
                <w:lang w:val="en-US" w:eastAsia="zh-CN"/>
              </w:rPr>
              <w:t xml:space="preserve"> </w:t>
            </w:r>
            <w:r>
              <w:rPr>
                <w:rFonts w:hint="eastAsia" w:ascii="Times New Roman" w:hAnsi="Times New Roman" w:eastAsia="宋体" w:cs="宋体"/>
                <w:color w:val="auto"/>
                <w:sz w:val="21"/>
                <w:szCs w:val="21"/>
                <w:u w:val="wave" w:color="auto"/>
              </w:rPr>
              <w:t>建立事故应急预案，成立事故应急处理小组，由车间安全负责人担任事故应急小组组长，一旦发火灾等事故，应立即启动事故应急预案，并向有关环境管理部门汇报情况，协助环境管理部门进行应急监测等工作；</w:t>
            </w:r>
          </w:p>
          <w:p>
            <w:pPr>
              <w:keepNext w:val="0"/>
              <w:keepLines w:val="0"/>
              <w:pageBreakBefore w:val="0"/>
              <w:widowControl w:val="0"/>
              <w:kinsoku/>
              <w:wordWrap/>
              <w:overflowPunct/>
              <w:topLinePunct w:val="0"/>
              <w:bidi w:val="0"/>
              <w:adjustRightInd/>
              <w:snapToGrid/>
              <w:spacing w:line="240" w:lineRule="auto"/>
              <w:ind w:left="0" w:leftChars="0" w:firstLine="420" w:firstLineChars="200"/>
              <w:jc w:val="both"/>
              <w:textAlignment w:val="auto"/>
              <w:rPr>
                <w:rFonts w:hint="default" w:ascii="Times New Roman" w:hAnsi="Times New Roman" w:eastAsia="宋体" w:cs="Times New Roman"/>
                <w:color w:val="auto"/>
                <w:sz w:val="21"/>
                <w:szCs w:val="21"/>
                <w:u w:val="wave" w:color="auto"/>
                <w:lang w:eastAsia="zh-CN"/>
              </w:rPr>
            </w:pPr>
            <w:r>
              <w:rPr>
                <w:rFonts w:hint="eastAsia" w:ascii="Times New Roman" w:hAnsi="Times New Roman" w:eastAsia="宋体" w:cs="宋体"/>
                <w:color w:val="auto"/>
                <w:sz w:val="21"/>
                <w:szCs w:val="21"/>
                <w:u w:val="wave" w:color="auto"/>
              </w:rPr>
              <w:t>⑥</w:t>
            </w:r>
            <w:r>
              <w:rPr>
                <w:rFonts w:hint="eastAsia" w:ascii="Times New Roman" w:hAnsi="Times New Roman" w:eastAsia="宋体" w:cs="宋体"/>
                <w:color w:val="auto"/>
                <w:sz w:val="21"/>
                <w:szCs w:val="21"/>
                <w:u w:val="wave" w:color="auto"/>
                <w:lang w:val="en-US" w:eastAsia="zh-CN"/>
              </w:rPr>
              <w:t xml:space="preserve"> </w:t>
            </w:r>
            <w:r>
              <w:rPr>
                <w:rFonts w:hint="eastAsia" w:ascii="Times New Roman" w:hAnsi="Times New Roman" w:eastAsia="宋体" w:cs="宋体"/>
                <w:color w:val="auto"/>
                <w:sz w:val="21"/>
                <w:szCs w:val="21"/>
                <w:u w:val="wave" w:color="auto"/>
              </w:rPr>
              <w:t>在易燃原料贮存地点与使用易燃原料的设备处设立安全标志或涂刷相应的安全色。地面进行防腐防渗，并加强管理与维护，杜绝出现跑、冒、滴、漏现象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1" w:type="dxa"/>
            <w:noWrap w:val="0"/>
            <w:vAlign w:val="center"/>
          </w:tcPr>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pacing w:val="-8"/>
                <w:sz w:val="21"/>
                <w:szCs w:val="21"/>
                <w:u w:val="wave" w:color="auto"/>
              </w:rPr>
            </w:pPr>
            <w:r>
              <w:rPr>
                <w:rFonts w:hint="default" w:ascii="Times New Roman" w:hAnsi="Times New Roman" w:eastAsia="宋体" w:cs="Times New Roman"/>
                <w:color w:val="auto"/>
                <w:spacing w:val="-8"/>
                <w:sz w:val="21"/>
                <w:szCs w:val="21"/>
                <w:u w:val="wave" w:color="auto"/>
              </w:rPr>
              <w:t>其他环境</w:t>
            </w:r>
          </w:p>
          <w:p>
            <w:pPr>
              <w:keepNext w:val="0"/>
              <w:keepLines w:val="0"/>
              <w:pageBreakBefore w:val="0"/>
              <w:kinsoku/>
              <w:wordWrap/>
              <w:overflowPunct/>
              <w:topLinePunct w:val="0"/>
              <w:bidi w:val="0"/>
              <w:adjustRightInd/>
              <w:snapToGrid/>
              <w:jc w:val="center"/>
              <w:rPr>
                <w:rFonts w:hint="default" w:ascii="Times New Roman" w:hAnsi="Times New Roman" w:eastAsia="宋体" w:cs="Times New Roman"/>
                <w:color w:val="auto"/>
                <w:spacing w:val="-8"/>
                <w:sz w:val="21"/>
                <w:szCs w:val="21"/>
                <w:u w:val="wave" w:color="auto"/>
              </w:rPr>
            </w:pPr>
            <w:r>
              <w:rPr>
                <w:rFonts w:hint="default" w:ascii="Times New Roman" w:hAnsi="Times New Roman" w:eastAsia="宋体" w:cs="Times New Roman"/>
                <w:color w:val="auto"/>
                <w:spacing w:val="-8"/>
                <w:sz w:val="21"/>
                <w:szCs w:val="21"/>
                <w:u w:val="wave" w:color="auto"/>
              </w:rPr>
              <w:t>管理要求</w:t>
            </w:r>
          </w:p>
        </w:tc>
        <w:tc>
          <w:tcPr>
            <w:tcW w:w="7799" w:type="dxa"/>
            <w:gridSpan w:val="4"/>
            <w:noWrap w:val="0"/>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（1）环境管理制度</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项目建成投入运行后，其环境管理是一项长期的管理工作，必须建立完善的管理机构和体系，并在此基础上建立健全各项环境监督和管理制度。</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为了做好生产全过程的环境保护工作，减轻项目外排污染物对环境的影响程度，建设单位必须高度重视环境保护工作。设立内部环境保护管理机构，专人负责环境保护工作，实行定岗定员，岗位责任制，负责各生产环节的环境保护管理，保证环保设施的正常运行。</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（2）项目建成投产排污前应办理排污许可证。</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u w:val="wave" w:color="auto"/>
                <w:lang w:val="en-US" w:eastAsia="zh-CN"/>
              </w:rPr>
            </w:pPr>
            <w:r>
              <w:rPr>
                <w:rFonts w:hint="default" w:ascii="Times New Roman" w:hAnsi="Times New Roman" w:eastAsia="宋体" w:cs="Times New Roman"/>
                <w:color w:val="auto"/>
                <w:sz w:val="21"/>
                <w:szCs w:val="21"/>
                <w:u w:val="wave" w:color="auto"/>
                <w:lang w:val="en-US" w:eastAsia="zh-CN"/>
              </w:rPr>
              <w:t>（3）项目建成投产试运行期间应开展竣工环境保护验收。</w:t>
            </w:r>
          </w:p>
        </w:tc>
      </w:tr>
    </w:tbl>
    <w:p>
      <w:pPr>
        <w:pStyle w:val="21"/>
        <w:keepNext w:val="0"/>
        <w:keepLines w:val="0"/>
        <w:pageBreakBefore w:val="0"/>
        <w:kinsoku/>
        <w:wordWrap/>
        <w:overflowPunct/>
        <w:topLinePunct w:val="0"/>
        <w:bidi w:val="0"/>
        <w:adjustRightInd/>
        <w:snapToGrid/>
        <w:jc w:val="center"/>
        <w:outlineLvl w:val="0"/>
        <w:rPr>
          <w:rFonts w:hint="default" w:ascii="Times New Roman" w:hAnsi="Times New Roman" w:eastAsia="宋体" w:cs="Times New Roman"/>
          <w:snapToGrid w:val="0"/>
          <w:color w:val="auto"/>
          <w:sz w:val="30"/>
          <w:szCs w:val="30"/>
          <w:u w:val="none"/>
        </w:rPr>
      </w:pPr>
      <w:r>
        <w:rPr>
          <w:rFonts w:hint="default" w:ascii="Times New Roman" w:hAnsi="Times New Roman" w:eastAsia="宋体" w:cs="Times New Roman"/>
          <w:snapToGrid w:val="0"/>
          <w:color w:val="auto"/>
          <w:u w:val="none"/>
        </w:rPr>
        <w:br w:type="page"/>
      </w:r>
      <w:r>
        <w:rPr>
          <w:rFonts w:hint="default" w:ascii="Times New Roman" w:hAnsi="Times New Roman" w:eastAsia="宋体" w:cs="Times New Roman"/>
          <w:snapToGrid w:val="0"/>
          <w:color w:val="auto"/>
          <w:sz w:val="30"/>
          <w:szCs w:val="30"/>
          <w:u w:val="none"/>
        </w:rPr>
        <w:t>六、结论</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u w:val="none"/>
              </w:rPr>
            </w:pPr>
            <w:r>
              <w:rPr>
                <w:rFonts w:hint="default" w:ascii="Times New Roman" w:hAnsi="Times New Roman" w:eastAsia="宋体" w:cs="Times New Roman"/>
                <w:b w:val="0"/>
                <w:color w:val="auto"/>
                <w:sz w:val="24"/>
                <w:szCs w:val="32"/>
                <w:u w:val="none"/>
                <w:lang w:eastAsia="zh-CN"/>
              </w:rPr>
              <w:t>本项目建设符合国家产业政策，项目选址及总平面布置合理。在落实本报告提出的环境保护措施的前提下，废水、废气、噪声可做到达标排放，固废可得到妥善处置，不会对周围环境质量产生明显影响。在落实风险防范措施前提下，环境风险较小。从环境保护的角度分析，本项目建设可行。</w:t>
            </w:r>
          </w:p>
        </w:tc>
      </w:tr>
    </w:tbl>
    <w:p>
      <w:pPr>
        <w:keepNext w:val="0"/>
        <w:keepLines w:val="0"/>
        <w:pageBreakBefore w:val="0"/>
        <w:kinsoku/>
        <w:wordWrap/>
        <w:overflowPunct/>
        <w:topLinePunct w:val="0"/>
        <w:bidi w:val="0"/>
        <w:adjustRightInd/>
        <w:snapToGrid/>
        <w:rPr>
          <w:rFonts w:hint="default" w:ascii="Times New Roman" w:hAnsi="Times New Roman" w:eastAsia="宋体" w:cs="Times New Roman"/>
          <w:color w:val="auto"/>
          <w:u w:val="none"/>
        </w:rPr>
        <w:sectPr>
          <w:pgSz w:w="11905" w:h="16838"/>
          <w:pgMar w:top="1701" w:right="1531" w:bottom="1701" w:left="1531" w:header="851" w:footer="850" w:gutter="0"/>
          <w:pgBorders>
            <w:top w:val="none" w:sz="0" w:space="0"/>
            <w:left w:val="none" w:sz="0" w:space="0"/>
            <w:bottom w:val="none" w:sz="0" w:space="0"/>
            <w:right w:val="none" w:sz="0" w:space="0"/>
          </w:pgBorders>
          <w:cols w:space="720" w:num="1"/>
          <w:rtlGutter w:val="0"/>
          <w:docGrid w:type="lines" w:linePitch="312" w:charSpace="0"/>
        </w:sectPr>
      </w:pPr>
    </w:p>
    <w:p>
      <w:pPr>
        <w:pStyle w:val="2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0"/>
        <w:rPr>
          <w:rFonts w:hint="default" w:ascii="Times New Roman" w:hAnsi="Times New Roman" w:eastAsia="宋体" w:cs="Times New Roman"/>
          <w:snapToGrid w:val="0"/>
          <w:color w:val="auto"/>
          <w:sz w:val="32"/>
          <w:szCs w:val="32"/>
          <w:u w:val="none"/>
        </w:rPr>
      </w:pPr>
      <w:r>
        <w:rPr>
          <w:rFonts w:hint="default" w:ascii="Times New Roman" w:hAnsi="Times New Roman" w:eastAsia="宋体" w:cs="Times New Roman"/>
          <w:snapToGrid w:val="0"/>
          <w:color w:val="auto"/>
          <w:sz w:val="32"/>
          <w:szCs w:val="32"/>
          <w:u w:val="none"/>
        </w:rPr>
        <w:t>附表</w:t>
      </w:r>
    </w:p>
    <w:p>
      <w:pPr>
        <w:pStyle w:val="2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0"/>
        <w:rPr>
          <w:rFonts w:hint="default" w:ascii="Times New Roman" w:hAnsi="Times New Roman" w:eastAsia="宋体" w:cs="Times New Roman"/>
          <w:snapToGrid w:val="0"/>
          <w:color w:val="auto"/>
          <w:sz w:val="38"/>
          <w:szCs w:val="38"/>
          <w:u w:val="none"/>
        </w:rPr>
      </w:pPr>
      <w:r>
        <w:rPr>
          <w:rFonts w:hint="default" w:ascii="Times New Roman" w:hAnsi="Times New Roman" w:eastAsia="宋体" w:cs="Times New Roman"/>
          <w:snapToGrid w:val="0"/>
          <w:color w:val="auto"/>
          <w:sz w:val="38"/>
          <w:szCs w:val="38"/>
          <w:u w:val="none"/>
        </w:rPr>
        <w:t>建设项目污染物排放量汇总表</w:t>
      </w:r>
    </w:p>
    <w:tbl>
      <w:tblPr>
        <w:tblStyle w:val="25"/>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2167"/>
        <w:gridCol w:w="1583"/>
        <w:gridCol w:w="1333"/>
        <w:gridCol w:w="1684"/>
        <w:gridCol w:w="1600"/>
        <w:gridCol w:w="1316"/>
        <w:gridCol w:w="1741"/>
        <w:gridCol w:w="123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126" w:type="dxa"/>
            <w:tcBorders>
              <w:tl2br w:val="single" w:color="auto" w:sz="4" w:space="0"/>
            </w:tcBorders>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right"/>
              <w:textAlignment w:val="auto"/>
              <w:rPr>
                <w:rFonts w:hint="default" w:ascii="Times New Roman" w:hAnsi="Times New Roman" w:eastAsia="宋体" w:cs="Times New Roman"/>
                <w:snapToGrid w:val="0"/>
                <w:color w:val="auto"/>
                <w:spacing w:val="-6"/>
                <w:kern w:val="21"/>
                <w:sz w:val="21"/>
                <w:szCs w:val="21"/>
                <w:u w:val="none"/>
              </w:rPr>
            </w:pPr>
            <w:r>
              <w:rPr>
                <w:rFonts w:hint="default" w:ascii="Times New Roman" w:hAnsi="Times New Roman" w:eastAsia="宋体" w:cs="Times New Roman"/>
                <w:snapToGrid w:val="0"/>
                <w:color w:val="auto"/>
                <w:spacing w:val="-6"/>
                <w:kern w:val="21"/>
                <w:sz w:val="21"/>
                <w:szCs w:val="21"/>
                <w:u w:val="none"/>
              </w:rPr>
              <w:t>项目</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left"/>
              <w:textAlignment w:val="auto"/>
              <w:rPr>
                <w:rFonts w:hint="default" w:ascii="Times New Roman" w:hAnsi="Times New Roman" w:eastAsia="宋体" w:cs="Times New Roman"/>
                <w:snapToGrid w:val="0"/>
                <w:color w:val="auto"/>
                <w:spacing w:val="-6"/>
                <w:kern w:val="21"/>
                <w:sz w:val="21"/>
                <w:szCs w:val="21"/>
                <w:u w:val="none"/>
              </w:rPr>
            </w:pPr>
            <w:r>
              <w:rPr>
                <w:rFonts w:hint="default" w:ascii="Times New Roman" w:hAnsi="Times New Roman" w:eastAsia="宋体" w:cs="Times New Roman"/>
                <w:snapToGrid w:val="0"/>
                <w:color w:val="auto"/>
                <w:spacing w:val="-6"/>
                <w:kern w:val="21"/>
                <w:sz w:val="21"/>
                <w:szCs w:val="21"/>
                <w:u w:val="none"/>
              </w:rPr>
              <w:t>分类</w:t>
            </w:r>
          </w:p>
        </w:tc>
        <w:tc>
          <w:tcPr>
            <w:tcW w:w="2167"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spacing w:val="-6"/>
                <w:kern w:val="21"/>
                <w:sz w:val="21"/>
                <w:szCs w:val="21"/>
                <w:u w:val="none"/>
              </w:rPr>
            </w:pPr>
            <w:r>
              <w:rPr>
                <w:rFonts w:hint="default" w:ascii="Times New Roman" w:hAnsi="Times New Roman" w:eastAsia="宋体" w:cs="Times New Roman"/>
                <w:snapToGrid w:val="0"/>
                <w:color w:val="auto"/>
                <w:spacing w:val="-6"/>
                <w:kern w:val="21"/>
                <w:sz w:val="21"/>
                <w:szCs w:val="21"/>
                <w:u w:val="none"/>
              </w:rPr>
              <w:t>污染物名称</w:t>
            </w:r>
          </w:p>
        </w:tc>
        <w:tc>
          <w:tcPr>
            <w:tcW w:w="1583"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rPr>
            </w:pPr>
            <w:r>
              <w:rPr>
                <w:rFonts w:hint="default" w:ascii="Times New Roman" w:hAnsi="Times New Roman" w:eastAsia="宋体" w:cs="Times New Roman"/>
                <w:b w:val="0"/>
                <w:bCs w:val="0"/>
                <w:snapToGrid w:val="0"/>
                <w:color w:val="auto"/>
                <w:spacing w:val="-6"/>
                <w:kern w:val="21"/>
                <w:sz w:val="21"/>
                <w:szCs w:val="21"/>
                <w:u w:val="none"/>
              </w:rPr>
              <w:t>现有工程</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lang w:val="en-US" w:eastAsia="zh-CN" w:bidi="ar-SA"/>
              </w:rPr>
            </w:pPr>
            <w:r>
              <w:rPr>
                <w:rFonts w:hint="default" w:ascii="Times New Roman" w:hAnsi="Times New Roman" w:eastAsia="宋体" w:cs="Times New Roman"/>
                <w:b w:val="0"/>
                <w:bCs w:val="0"/>
                <w:snapToGrid w:val="0"/>
                <w:color w:val="auto"/>
                <w:spacing w:val="-6"/>
                <w:kern w:val="21"/>
                <w:sz w:val="21"/>
                <w:szCs w:val="21"/>
                <w:u w:val="none"/>
              </w:rPr>
              <w:t>排放量（固体废物产生量）</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lang w:val="en-US" w:eastAsia="zh-CN"/>
              </w:rPr>
              <w:t>t/a</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rPr>
              <w:fldChar w:fldCharType="begin"/>
            </w:r>
            <w:r>
              <w:rPr>
                <w:rFonts w:hint="default" w:ascii="Times New Roman" w:hAnsi="Times New Roman" w:eastAsia="宋体" w:cs="Times New Roman"/>
                <w:b w:val="0"/>
                <w:bCs w:val="0"/>
                <w:snapToGrid w:val="0"/>
                <w:color w:val="auto"/>
                <w:spacing w:val="-6"/>
                <w:kern w:val="21"/>
                <w:sz w:val="21"/>
                <w:szCs w:val="21"/>
                <w:u w:val="none"/>
              </w:rPr>
              <w:instrText xml:space="preserve"> = 1 \* GB3 \* MERGEFORMAT </w:instrText>
            </w:r>
            <w:r>
              <w:rPr>
                <w:rFonts w:hint="default" w:ascii="Times New Roman" w:hAnsi="Times New Roman" w:eastAsia="宋体" w:cs="Times New Roman"/>
                <w:b w:val="0"/>
                <w:bCs w:val="0"/>
                <w:snapToGrid w:val="0"/>
                <w:color w:val="auto"/>
                <w:spacing w:val="-6"/>
                <w:kern w:val="21"/>
                <w:sz w:val="21"/>
                <w:szCs w:val="21"/>
                <w:u w:val="none"/>
              </w:rPr>
              <w:fldChar w:fldCharType="separate"/>
            </w:r>
            <w:r>
              <w:rPr>
                <w:rFonts w:hint="default" w:ascii="Times New Roman" w:hAnsi="Times New Roman" w:eastAsia="宋体" w:cs="Times New Roman"/>
                <w:b w:val="0"/>
                <w:bCs w:val="0"/>
                <w:color w:val="auto"/>
                <w:kern w:val="2"/>
                <w:sz w:val="21"/>
                <w:szCs w:val="21"/>
                <w:u w:val="none"/>
              </w:rPr>
              <w:t>①</w:t>
            </w:r>
            <w:r>
              <w:rPr>
                <w:rFonts w:hint="default" w:ascii="Times New Roman" w:hAnsi="Times New Roman" w:eastAsia="宋体" w:cs="Times New Roman"/>
                <w:b w:val="0"/>
                <w:bCs w:val="0"/>
                <w:snapToGrid w:val="0"/>
                <w:color w:val="auto"/>
                <w:spacing w:val="-6"/>
                <w:kern w:val="21"/>
                <w:sz w:val="21"/>
                <w:szCs w:val="21"/>
                <w:u w:val="none"/>
              </w:rPr>
              <w:fldChar w:fldCharType="end"/>
            </w:r>
          </w:p>
        </w:tc>
        <w:tc>
          <w:tcPr>
            <w:tcW w:w="1333"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rPr>
            </w:pPr>
            <w:r>
              <w:rPr>
                <w:rFonts w:hint="default" w:ascii="Times New Roman" w:hAnsi="Times New Roman" w:eastAsia="宋体" w:cs="Times New Roman"/>
                <w:b w:val="0"/>
                <w:bCs w:val="0"/>
                <w:snapToGrid w:val="0"/>
                <w:color w:val="auto"/>
                <w:spacing w:val="-6"/>
                <w:kern w:val="21"/>
                <w:sz w:val="21"/>
                <w:szCs w:val="21"/>
                <w:u w:val="none"/>
              </w:rPr>
              <w:t>现有工程</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rPr>
            </w:pPr>
            <w:r>
              <w:rPr>
                <w:rFonts w:hint="default" w:ascii="Times New Roman" w:hAnsi="Times New Roman" w:eastAsia="宋体" w:cs="Times New Roman"/>
                <w:b w:val="0"/>
                <w:bCs w:val="0"/>
                <w:snapToGrid w:val="0"/>
                <w:color w:val="auto"/>
                <w:spacing w:val="-6"/>
                <w:kern w:val="21"/>
                <w:sz w:val="21"/>
                <w:szCs w:val="21"/>
                <w:u w:val="none"/>
              </w:rPr>
              <w:t>许可排放量</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lang w:val="en-US" w:eastAsia="zh-CN" w:bidi="ar-SA"/>
              </w:rPr>
            </w:pP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lang w:val="en-US" w:eastAsia="zh-CN"/>
              </w:rPr>
              <w:t>t/a</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rPr>
              <w:fldChar w:fldCharType="begin"/>
            </w:r>
            <w:r>
              <w:rPr>
                <w:rFonts w:hint="default" w:ascii="Times New Roman" w:hAnsi="Times New Roman" w:eastAsia="宋体" w:cs="Times New Roman"/>
                <w:b w:val="0"/>
                <w:bCs w:val="0"/>
                <w:snapToGrid w:val="0"/>
                <w:color w:val="auto"/>
                <w:spacing w:val="-6"/>
                <w:kern w:val="21"/>
                <w:sz w:val="21"/>
                <w:szCs w:val="21"/>
                <w:u w:val="none"/>
              </w:rPr>
              <w:instrText xml:space="preserve"> = 2 \* GB3 \* MERGEFORMAT </w:instrText>
            </w:r>
            <w:r>
              <w:rPr>
                <w:rFonts w:hint="default" w:ascii="Times New Roman" w:hAnsi="Times New Roman" w:eastAsia="宋体" w:cs="Times New Roman"/>
                <w:b w:val="0"/>
                <w:bCs w:val="0"/>
                <w:snapToGrid w:val="0"/>
                <w:color w:val="auto"/>
                <w:spacing w:val="-6"/>
                <w:kern w:val="21"/>
                <w:sz w:val="21"/>
                <w:szCs w:val="21"/>
                <w:u w:val="none"/>
              </w:rPr>
              <w:fldChar w:fldCharType="separate"/>
            </w:r>
            <w:r>
              <w:rPr>
                <w:rFonts w:hint="default" w:ascii="Times New Roman" w:hAnsi="Times New Roman" w:eastAsia="宋体" w:cs="Times New Roman"/>
                <w:b w:val="0"/>
                <w:bCs w:val="0"/>
                <w:snapToGrid w:val="0"/>
                <w:color w:val="auto"/>
                <w:spacing w:val="-6"/>
                <w:kern w:val="21"/>
                <w:sz w:val="21"/>
                <w:szCs w:val="21"/>
                <w:u w:val="none"/>
              </w:rPr>
              <w:t>②</w:t>
            </w:r>
            <w:r>
              <w:rPr>
                <w:rFonts w:hint="default" w:ascii="Times New Roman" w:hAnsi="Times New Roman" w:eastAsia="宋体" w:cs="Times New Roman"/>
                <w:b w:val="0"/>
                <w:bCs w:val="0"/>
                <w:snapToGrid w:val="0"/>
                <w:color w:val="auto"/>
                <w:spacing w:val="-6"/>
                <w:kern w:val="21"/>
                <w:sz w:val="21"/>
                <w:szCs w:val="21"/>
                <w:u w:val="none"/>
              </w:rPr>
              <w:fldChar w:fldCharType="end"/>
            </w:r>
          </w:p>
        </w:tc>
        <w:tc>
          <w:tcPr>
            <w:tcW w:w="1684"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rPr>
            </w:pPr>
            <w:r>
              <w:rPr>
                <w:rFonts w:hint="default" w:ascii="Times New Roman" w:hAnsi="Times New Roman" w:eastAsia="宋体" w:cs="Times New Roman"/>
                <w:b w:val="0"/>
                <w:bCs w:val="0"/>
                <w:snapToGrid w:val="0"/>
                <w:color w:val="auto"/>
                <w:spacing w:val="-6"/>
                <w:kern w:val="21"/>
                <w:sz w:val="21"/>
                <w:szCs w:val="21"/>
                <w:u w:val="none"/>
              </w:rPr>
              <w:t>在建工程</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lang w:val="en-US" w:eastAsia="zh-CN" w:bidi="ar-SA"/>
              </w:rPr>
            </w:pPr>
            <w:r>
              <w:rPr>
                <w:rFonts w:hint="default" w:ascii="Times New Roman" w:hAnsi="Times New Roman" w:eastAsia="宋体" w:cs="Times New Roman"/>
                <w:b w:val="0"/>
                <w:bCs w:val="0"/>
                <w:snapToGrid w:val="0"/>
                <w:color w:val="auto"/>
                <w:spacing w:val="-6"/>
                <w:kern w:val="21"/>
                <w:sz w:val="21"/>
                <w:szCs w:val="21"/>
                <w:u w:val="none"/>
              </w:rPr>
              <w:t>排放量（固体废物产生量）</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lang w:val="en-US" w:eastAsia="zh-CN"/>
              </w:rPr>
              <w:t>t/a</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rPr>
              <w:fldChar w:fldCharType="begin"/>
            </w:r>
            <w:r>
              <w:rPr>
                <w:rFonts w:hint="default" w:ascii="Times New Roman" w:hAnsi="Times New Roman" w:eastAsia="宋体" w:cs="Times New Roman"/>
                <w:b w:val="0"/>
                <w:bCs w:val="0"/>
                <w:snapToGrid w:val="0"/>
                <w:color w:val="auto"/>
                <w:spacing w:val="-6"/>
                <w:kern w:val="21"/>
                <w:sz w:val="21"/>
                <w:szCs w:val="21"/>
                <w:u w:val="none"/>
              </w:rPr>
              <w:instrText xml:space="preserve"> = 3 \* GB3 \* MERGEFORMAT </w:instrText>
            </w:r>
            <w:r>
              <w:rPr>
                <w:rFonts w:hint="default" w:ascii="Times New Roman" w:hAnsi="Times New Roman" w:eastAsia="宋体" w:cs="Times New Roman"/>
                <w:b w:val="0"/>
                <w:bCs w:val="0"/>
                <w:snapToGrid w:val="0"/>
                <w:color w:val="auto"/>
                <w:spacing w:val="-6"/>
                <w:kern w:val="21"/>
                <w:sz w:val="21"/>
                <w:szCs w:val="21"/>
                <w:u w:val="none"/>
              </w:rPr>
              <w:fldChar w:fldCharType="separate"/>
            </w:r>
            <w:r>
              <w:rPr>
                <w:rFonts w:hint="default" w:ascii="Times New Roman" w:hAnsi="Times New Roman" w:eastAsia="宋体" w:cs="Times New Roman"/>
                <w:b w:val="0"/>
                <w:bCs w:val="0"/>
                <w:color w:val="auto"/>
                <w:kern w:val="2"/>
                <w:sz w:val="21"/>
                <w:szCs w:val="21"/>
                <w:u w:val="none"/>
              </w:rPr>
              <w:t>③</w:t>
            </w:r>
            <w:r>
              <w:rPr>
                <w:rFonts w:hint="default" w:ascii="Times New Roman" w:hAnsi="Times New Roman" w:eastAsia="宋体" w:cs="Times New Roman"/>
                <w:b w:val="0"/>
                <w:bCs w:val="0"/>
                <w:snapToGrid w:val="0"/>
                <w:color w:val="auto"/>
                <w:spacing w:val="-6"/>
                <w:kern w:val="21"/>
                <w:sz w:val="21"/>
                <w:szCs w:val="21"/>
                <w:u w:val="none"/>
              </w:rPr>
              <w:fldChar w:fldCharType="end"/>
            </w:r>
          </w:p>
        </w:tc>
        <w:tc>
          <w:tcPr>
            <w:tcW w:w="1600"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rPr>
            </w:pPr>
            <w:r>
              <w:rPr>
                <w:rFonts w:hint="default" w:ascii="Times New Roman" w:hAnsi="Times New Roman" w:eastAsia="宋体" w:cs="Times New Roman"/>
                <w:b w:val="0"/>
                <w:bCs w:val="0"/>
                <w:snapToGrid w:val="0"/>
                <w:color w:val="auto"/>
                <w:spacing w:val="-6"/>
                <w:kern w:val="21"/>
                <w:sz w:val="21"/>
                <w:szCs w:val="21"/>
                <w:u w:val="none"/>
              </w:rPr>
              <w:t>本项目</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lang w:val="en-US" w:eastAsia="zh-CN" w:bidi="ar-SA"/>
              </w:rPr>
            </w:pPr>
            <w:r>
              <w:rPr>
                <w:rFonts w:hint="default" w:ascii="Times New Roman" w:hAnsi="Times New Roman" w:eastAsia="宋体" w:cs="Times New Roman"/>
                <w:b w:val="0"/>
                <w:bCs w:val="0"/>
                <w:snapToGrid w:val="0"/>
                <w:color w:val="auto"/>
                <w:spacing w:val="-6"/>
                <w:kern w:val="21"/>
                <w:sz w:val="21"/>
                <w:szCs w:val="21"/>
                <w:u w:val="none"/>
              </w:rPr>
              <w:t>排放量（固体废物产生量）</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lang w:val="en-US" w:eastAsia="zh-CN"/>
              </w:rPr>
              <w:t>t/a</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rPr>
              <w:fldChar w:fldCharType="begin"/>
            </w:r>
            <w:r>
              <w:rPr>
                <w:rFonts w:hint="default" w:ascii="Times New Roman" w:hAnsi="Times New Roman" w:eastAsia="宋体" w:cs="Times New Roman"/>
                <w:b w:val="0"/>
                <w:bCs w:val="0"/>
                <w:snapToGrid w:val="0"/>
                <w:color w:val="auto"/>
                <w:spacing w:val="-6"/>
                <w:kern w:val="21"/>
                <w:sz w:val="21"/>
                <w:szCs w:val="21"/>
                <w:u w:val="none"/>
              </w:rPr>
              <w:instrText xml:space="preserve"> = 4 \* GB3 \* MERGEFORMAT </w:instrText>
            </w:r>
            <w:r>
              <w:rPr>
                <w:rFonts w:hint="default" w:ascii="Times New Roman" w:hAnsi="Times New Roman" w:eastAsia="宋体" w:cs="Times New Roman"/>
                <w:b w:val="0"/>
                <w:bCs w:val="0"/>
                <w:snapToGrid w:val="0"/>
                <w:color w:val="auto"/>
                <w:spacing w:val="-6"/>
                <w:kern w:val="21"/>
                <w:sz w:val="21"/>
                <w:szCs w:val="21"/>
                <w:u w:val="none"/>
              </w:rPr>
              <w:fldChar w:fldCharType="separate"/>
            </w:r>
            <w:r>
              <w:rPr>
                <w:rFonts w:hint="default" w:ascii="Times New Roman" w:hAnsi="Times New Roman" w:eastAsia="宋体" w:cs="Times New Roman"/>
                <w:b w:val="0"/>
                <w:bCs w:val="0"/>
                <w:color w:val="auto"/>
                <w:kern w:val="2"/>
                <w:sz w:val="21"/>
                <w:szCs w:val="21"/>
                <w:u w:val="none"/>
              </w:rPr>
              <w:t>④</w:t>
            </w:r>
            <w:r>
              <w:rPr>
                <w:rFonts w:hint="default" w:ascii="Times New Roman" w:hAnsi="Times New Roman" w:eastAsia="宋体" w:cs="Times New Roman"/>
                <w:b w:val="0"/>
                <w:bCs w:val="0"/>
                <w:snapToGrid w:val="0"/>
                <w:color w:val="auto"/>
                <w:spacing w:val="-6"/>
                <w:kern w:val="21"/>
                <w:sz w:val="21"/>
                <w:szCs w:val="21"/>
                <w:u w:val="none"/>
              </w:rPr>
              <w:fldChar w:fldCharType="end"/>
            </w:r>
          </w:p>
        </w:tc>
        <w:tc>
          <w:tcPr>
            <w:tcW w:w="1316"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16"/>
                <w:kern w:val="21"/>
                <w:sz w:val="21"/>
                <w:szCs w:val="21"/>
                <w:u w:val="none"/>
              </w:rPr>
            </w:pPr>
            <w:r>
              <w:rPr>
                <w:rFonts w:hint="default" w:ascii="Times New Roman" w:hAnsi="Times New Roman" w:eastAsia="宋体" w:cs="Times New Roman"/>
                <w:b w:val="0"/>
                <w:bCs w:val="0"/>
                <w:snapToGrid w:val="0"/>
                <w:color w:val="auto"/>
                <w:spacing w:val="-16"/>
                <w:kern w:val="21"/>
                <w:sz w:val="21"/>
                <w:szCs w:val="21"/>
                <w:u w:val="none"/>
              </w:rPr>
              <w:t>以新带老削减量</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16"/>
                <w:kern w:val="21"/>
                <w:sz w:val="21"/>
                <w:szCs w:val="21"/>
                <w:u w:val="none"/>
                <w:lang w:val="en-US" w:eastAsia="zh-CN" w:bidi="ar-SA"/>
              </w:rPr>
            </w:pPr>
            <w:r>
              <w:rPr>
                <w:rFonts w:hint="default" w:ascii="Times New Roman" w:hAnsi="Times New Roman" w:eastAsia="宋体" w:cs="Times New Roman"/>
                <w:b w:val="0"/>
                <w:bCs w:val="0"/>
                <w:snapToGrid w:val="0"/>
                <w:color w:val="auto"/>
                <w:spacing w:val="-16"/>
                <w:kern w:val="21"/>
                <w:sz w:val="21"/>
                <w:szCs w:val="21"/>
                <w:u w:val="none"/>
              </w:rPr>
              <w:t>（新建项目不填）</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lang w:val="en-US" w:eastAsia="zh-CN"/>
              </w:rPr>
              <w:t>t/a</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16"/>
                <w:kern w:val="21"/>
                <w:sz w:val="21"/>
                <w:szCs w:val="21"/>
                <w:u w:val="none"/>
              </w:rPr>
              <w:fldChar w:fldCharType="begin"/>
            </w:r>
            <w:r>
              <w:rPr>
                <w:rFonts w:hint="default" w:ascii="Times New Roman" w:hAnsi="Times New Roman" w:eastAsia="宋体" w:cs="Times New Roman"/>
                <w:b w:val="0"/>
                <w:bCs w:val="0"/>
                <w:snapToGrid w:val="0"/>
                <w:color w:val="auto"/>
                <w:spacing w:val="-16"/>
                <w:kern w:val="21"/>
                <w:sz w:val="21"/>
                <w:szCs w:val="21"/>
                <w:u w:val="none"/>
              </w:rPr>
              <w:instrText xml:space="preserve"> = 5 \* GB3 \* MERGEFORMAT </w:instrText>
            </w:r>
            <w:r>
              <w:rPr>
                <w:rFonts w:hint="default" w:ascii="Times New Roman" w:hAnsi="Times New Roman" w:eastAsia="宋体" w:cs="Times New Roman"/>
                <w:b w:val="0"/>
                <w:bCs w:val="0"/>
                <w:snapToGrid w:val="0"/>
                <w:color w:val="auto"/>
                <w:spacing w:val="-16"/>
                <w:kern w:val="21"/>
                <w:sz w:val="21"/>
                <w:szCs w:val="21"/>
                <w:u w:val="none"/>
              </w:rPr>
              <w:fldChar w:fldCharType="separate"/>
            </w:r>
            <w:r>
              <w:rPr>
                <w:rFonts w:hint="default" w:ascii="Times New Roman" w:hAnsi="Times New Roman" w:eastAsia="宋体" w:cs="Times New Roman"/>
                <w:b w:val="0"/>
                <w:bCs w:val="0"/>
                <w:color w:val="auto"/>
                <w:kern w:val="2"/>
                <w:sz w:val="21"/>
                <w:szCs w:val="21"/>
                <w:u w:val="none"/>
              </w:rPr>
              <w:t>⑤</w:t>
            </w:r>
            <w:r>
              <w:rPr>
                <w:rFonts w:hint="default" w:ascii="Times New Roman" w:hAnsi="Times New Roman" w:eastAsia="宋体" w:cs="Times New Roman"/>
                <w:b w:val="0"/>
                <w:bCs w:val="0"/>
                <w:snapToGrid w:val="0"/>
                <w:color w:val="auto"/>
                <w:spacing w:val="-16"/>
                <w:kern w:val="21"/>
                <w:sz w:val="21"/>
                <w:szCs w:val="21"/>
                <w:u w:val="none"/>
              </w:rPr>
              <w:fldChar w:fldCharType="end"/>
            </w:r>
          </w:p>
        </w:tc>
        <w:tc>
          <w:tcPr>
            <w:tcW w:w="1741"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16"/>
                <w:kern w:val="21"/>
                <w:sz w:val="21"/>
                <w:szCs w:val="21"/>
                <w:u w:val="none"/>
              </w:rPr>
            </w:pPr>
            <w:r>
              <w:rPr>
                <w:rFonts w:hint="default" w:ascii="Times New Roman" w:hAnsi="Times New Roman" w:eastAsia="宋体" w:cs="Times New Roman"/>
                <w:b w:val="0"/>
                <w:bCs w:val="0"/>
                <w:snapToGrid w:val="0"/>
                <w:color w:val="auto"/>
                <w:spacing w:val="-16"/>
                <w:kern w:val="21"/>
                <w:sz w:val="21"/>
                <w:szCs w:val="21"/>
                <w:u w:val="none"/>
              </w:rPr>
              <w:t>本项目建成后</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16"/>
                <w:kern w:val="21"/>
                <w:sz w:val="21"/>
                <w:szCs w:val="21"/>
                <w:u w:val="none"/>
                <w:lang w:val="en-US" w:eastAsia="zh-CN" w:bidi="ar-SA"/>
              </w:rPr>
            </w:pPr>
            <w:r>
              <w:rPr>
                <w:rFonts w:hint="default" w:ascii="Times New Roman" w:hAnsi="Times New Roman" w:eastAsia="宋体" w:cs="Times New Roman"/>
                <w:b w:val="0"/>
                <w:bCs w:val="0"/>
                <w:snapToGrid w:val="0"/>
                <w:color w:val="auto"/>
                <w:spacing w:val="-16"/>
                <w:kern w:val="21"/>
                <w:sz w:val="21"/>
                <w:szCs w:val="21"/>
                <w:u w:val="none"/>
              </w:rPr>
              <w:t>全厂排放量（固体废物产生量）</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6"/>
                <w:kern w:val="21"/>
                <w:sz w:val="21"/>
                <w:szCs w:val="21"/>
                <w:u w:val="none"/>
                <w:lang w:val="en-US" w:eastAsia="zh-CN"/>
              </w:rPr>
              <w:t>t/a</w:t>
            </w:r>
            <w:r>
              <w:rPr>
                <w:rFonts w:hint="default" w:ascii="Times New Roman" w:hAnsi="Times New Roman" w:eastAsia="宋体" w:cs="Times New Roman"/>
                <w:b w:val="0"/>
                <w:bCs w:val="0"/>
                <w:snapToGrid w:val="0"/>
                <w:color w:val="auto"/>
                <w:spacing w:val="-6"/>
                <w:kern w:val="21"/>
                <w:sz w:val="21"/>
                <w:szCs w:val="21"/>
                <w:u w:val="none"/>
                <w:lang w:eastAsia="zh-CN"/>
              </w:rPr>
              <w:t>）</w:t>
            </w:r>
            <w:r>
              <w:rPr>
                <w:rFonts w:hint="default" w:ascii="Times New Roman" w:hAnsi="Times New Roman" w:eastAsia="宋体" w:cs="Times New Roman"/>
                <w:b w:val="0"/>
                <w:bCs w:val="0"/>
                <w:snapToGrid w:val="0"/>
                <w:color w:val="auto"/>
                <w:spacing w:val="-16"/>
                <w:kern w:val="21"/>
                <w:sz w:val="21"/>
                <w:szCs w:val="21"/>
                <w:u w:val="none"/>
              </w:rPr>
              <w:fldChar w:fldCharType="begin"/>
            </w:r>
            <w:r>
              <w:rPr>
                <w:rFonts w:hint="default" w:ascii="Times New Roman" w:hAnsi="Times New Roman" w:eastAsia="宋体" w:cs="Times New Roman"/>
                <w:b w:val="0"/>
                <w:bCs w:val="0"/>
                <w:snapToGrid w:val="0"/>
                <w:color w:val="auto"/>
                <w:spacing w:val="-16"/>
                <w:kern w:val="21"/>
                <w:sz w:val="21"/>
                <w:szCs w:val="21"/>
                <w:u w:val="none"/>
              </w:rPr>
              <w:instrText xml:space="preserve"> = 6 \* GB3 \* MERGEFORMAT </w:instrText>
            </w:r>
            <w:r>
              <w:rPr>
                <w:rFonts w:hint="default" w:ascii="Times New Roman" w:hAnsi="Times New Roman" w:eastAsia="宋体" w:cs="Times New Roman"/>
                <w:b w:val="0"/>
                <w:bCs w:val="0"/>
                <w:snapToGrid w:val="0"/>
                <w:color w:val="auto"/>
                <w:spacing w:val="-16"/>
                <w:kern w:val="21"/>
                <w:sz w:val="21"/>
                <w:szCs w:val="21"/>
                <w:u w:val="none"/>
              </w:rPr>
              <w:fldChar w:fldCharType="separate"/>
            </w:r>
            <w:r>
              <w:rPr>
                <w:rFonts w:hint="default" w:ascii="Times New Roman" w:hAnsi="Times New Roman" w:eastAsia="宋体" w:cs="Times New Roman"/>
                <w:b w:val="0"/>
                <w:bCs w:val="0"/>
                <w:color w:val="auto"/>
                <w:kern w:val="2"/>
                <w:sz w:val="21"/>
                <w:szCs w:val="21"/>
                <w:u w:val="none"/>
              </w:rPr>
              <w:t>⑥</w:t>
            </w:r>
            <w:r>
              <w:rPr>
                <w:rFonts w:hint="default" w:ascii="Times New Roman" w:hAnsi="Times New Roman" w:eastAsia="宋体" w:cs="Times New Roman"/>
                <w:b w:val="0"/>
                <w:bCs w:val="0"/>
                <w:snapToGrid w:val="0"/>
                <w:color w:val="auto"/>
                <w:spacing w:val="-16"/>
                <w:kern w:val="21"/>
                <w:sz w:val="21"/>
                <w:szCs w:val="21"/>
                <w:u w:val="none"/>
              </w:rPr>
              <w:fldChar w:fldCharType="end"/>
            </w:r>
          </w:p>
        </w:tc>
        <w:tc>
          <w:tcPr>
            <w:tcW w:w="1238" w:type="dxa"/>
            <w:noWrap w:val="0"/>
            <w:tcMar>
              <w:left w:w="28" w:type="dxa"/>
              <w:right w:w="28" w:type="dxa"/>
            </w:tcMar>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rPr>
            </w:pPr>
            <w:r>
              <w:rPr>
                <w:rFonts w:hint="default" w:ascii="Times New Roman" w:hAnsi="Times New Roman" w:eastAsia="宋体" w:cs="Times New Roman"/>
                <w:b w:val="0"/>
                <w:bCs w:val="0"/>
                <w:snapToGrid w:val="0"/>
                <w:color w:val="auto"/>
                <w:spacing w:val="-6"/>
                <w:kern w:val="21"/>
                <w:sz w:val="21"/>
                <w:szCs w:val="21"/>
                <w:u w:val="none"/>
              </w:rPr>
              <w:t>变化量</w:t>
            </w:r>
          </w:p>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jc w:val="center"/>
              <w:textAlignment w:val="auto"/>
              <w:rPr>
                <w:rFonts w:hint="default" w:ascii="Times New Roman" w:hAnsi="Times New Roman" w:eastAsia="宋体" w:cs="Times New Roman"/>
                <w:b w:val="0"/>
                <w:bCs w:val="0"/>
                <w:snapToGrid w:val="0"/>
                <w:color w:val="auto"/>
                <w:spacing w:val="-6"/>
                <w:kern w:val="21"/>
                <w:sz w:val="21"/>
                <w:szCs w:val="21"/>
                <w:u w:val="none"/>
                <w:lang w:val="en-US" w:eastAsia="zh-CN" w:bidi="ar-SA"/>
              </w:rPr>
            </w:pPr>
            <w:r>
              <w:rPr>
                <w:rFonts w:hint="default" w:ascii="Times New Roman" w:hAnsi="Times New Roman" w:eastAsia="宋体" w:cs="Times New Roman"/>
                <w:b w:val="0"/>
                <w:bCs w:val="0"/>
                <w:snapToGrid w:val="0"/>
                <w:color w:val="auto"/>
                <w:spacing w:val="-6"/>
                <w:kern w:val="21"/>
                <w:sz w:val="21"/>
                <w:szCs w:val="21"/>
                <w:u w:val="none"/>
              </w:rPr>
              <w:fldChar w:fldCharType="begin"/>
            </w:r>
            <w:r>
              <w:rPr>
                <w:rFonts w:hint="default" w:ascii="Times New Roman" w:hAnsi="Times New Roman" w:eastAsia="宋体" w:cs="Times New Roman"/>
                <w:b w:val="0"/>
                <w:bCs w:val="0"/>
                <w:snapToGrid w:val="0"/>
                <w:color w:val="auto"/>
                <w:spacing w:val="-6"/>
                <w:kern w:val="21"/>
                <w:sz w:val="21"/>
                <w:szCs w:val="21"/>
                <w:u w:val="none"/>
              </w:rPr>
              <w:instrText xml:space="preserve"> = 7 \* GB3 \* MERGEFORMAT </w:instrText>
            </w:r>
            <w:r>
              <w:rPr>
                <w:rFonts w:hint="default" w:ascii="Times New Roman" w:hAnsi="Times New Roman" w:eastAsia="宋体" w:cs="Times New Roman"/>
                <w:b w:val="0"/>
                <w:bCs w:val="0"/>
                <w:snapToGrid w:val="0"/>
                <w:color w:val="auto"/>
                <w:spacing w:val="-6"/>
                <w:kern w:val="21"/>
                <w:sz w:val="21"/>
                <w:szCs w:val="21"/>
                <w:u w:val="none"/>
              </w:rPr>
              <w:fldChar w:fldCharType="separate"/>
            </w:r>
            <w:r>
              <w:rPr>
                <w:rFonts w:hint="default" w:ascii="Times New Roman" w:hAnsi="Times New Roman" w:eastAsia="宋体" w:cs="Times New Roman"/>
                <w:b w:val="0"/>
                <w:bCs w:val="0"/>
                <w:color w:val="auto"/>
                <w:kern w:val="2"/>
                <w:sz w:val="21"/>
                <w:szCs w:val="21"/>
                <w:u w:val="none"/>
              </w:rPr>
              <w:t>⑦</w:t>
            </w:r>
            <w:r>
              <w:rPr>
                <w:rFonts w:hint="default" w:ascii="Times New Roman" w:hAnsi="Times New Roman" w:eastAsia="宋体" w:cs="Times New Roman"/>
                <w:b w:val="0"/>
                <w:bCs w:val="0"/>
                <w:snapToGrid w:val="0"/>
                <w:color w:val="auto"/>
                <w:spacing w:val="-6"/>
                <w:kern w:val="21"/>
                <w:sz w:val="21"/>
                <w:szCs w:val="21"/>
                <w:u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restart"/>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r>
              <w:rPr>
                <w:rFonts w:hint="default" w:ascii="Times New Roman" w:hAnsi="Times New Roman" w:eastAsia="宋体" w:cs="Times New Roman"/>
                <w:snapToGrid w:val="0"/>
                <w:color w:val="auto"/>
                <w:kern w:val="21"/>
                <w:sz w:val="21"/>
                <w:szCs w:val="21"/>
                <w:u w:val="none"/>
              </w:rPr>
              <w:t>废气</w:t>
            </w:r>
          </w:p>
        </w:tc>
        <w:tc>
          <w:tcPr>
            <w:tcW w:w="2167"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颗粒物</w:t>
            </w:r>
          </w:p>
        </w:tc>
        <w:tc>
          <w:tcPr>
            <w:tcW w:w="158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33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84"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00"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hAnsi="Times New Roman" w:eastAsia="宋体" w:cs="Times New Roman"/>
                <w:snapToGrid w:val="0"/>
                <w:color w:val="auto"/>
                <w:kern w:val="21"/>
                <w:sz w:val="21"/>
                <w:szCs w:val="21"/>
                <w:u w:val="none"/>
                <w:lang w:val="en-US" w:eastAsia="zh-CN"/>
              </w:rPr>
              <w:t>3.08</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hAnsi="Times New Roman" w:eastAsia="宋体" w:cs="Times New Roman"/>
                <w:snapToGrid w:val="0"/>
                <w:color w:val="auto"/>
                <w:kern w:val="21"/>
                <w:sz w:val="21"/>
                <w:szCs w:val="21"/>
                <w:u w:val="none"/>
                <w:lang w:val="en-US" w:eastAsia="zh-CN"/>
              </w:rPr>
              <w:t>3.08</w:t>
            </w:r>
          </w:p>
        </w:tc>
        <w:tc>
          <w:tcPr>
            <w:tcW w:w="1238"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hAnsi="Times New Roman" w:eastAsia="宋体" w:cs="Times New Roman"/>
                <w:snapToGrid w:val="0"/>
                <w:color w:val="auto"/>
                <w:kern w:val="21"/>
                <w:sz w:val="21"/>
                <w:szCs w:val="21"/>
                <w:u w:val="none"/>
                <w:lang w:val="en-US" w:eastAsia="zh-CN"/>
              </w:rPr>
              <w:t>非甲烷总烃</w:t>
            </w:r>
          </w:p>
        </w:tc>
        <w:tc>
          <w:tcPr>
            <w:tcW w:w="158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33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84"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00"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cs="Times New Roman"/>
                <w:snapToGrid w:val="0"/>
                <w:color w:val="auto"/>
                <w:kern w:val="21"/>
                <w:sz w:val="21"/>
                <w:szCs w:val="21"/>
                <w:u w:val="none"/>
                <w:lang w:val="en-US" w:eastAsia="zh-CN"/>
              </w:rPr>
              <w:t>0.234</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cs="Times New Roman"/>
                <w:snapToGrid w:val="0"/>
                <w:color w:val="auto"/>
                <w:kern w:val="21"/>
                <w:sz w:val="21"/>
                <w:szCs w:val="21"/>
                <w:u w:val="none"/>
                <w:lang w:val="en-US" w:eastAsia="zh-CN"/>
              </w:rPr>
              <w:t>0.234</w:t>
            </w:r>
          </w:p>
        </w:tc>
        <w:tc>
          <w:tcPr>
            <w:tcW w:w="1238"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restart"/>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hAnsi="Times New Roman" w:eastAsia="宋体" w:cs="Times New Roman"/>
                <w:snapToGrid w:val="0"/>
                <w:color w:val="auto"/>
                <w:kern w:val="21"/>
                <w:sz w:val="21"/>
                <w:szCs w:val="21"/>
                <w:u w:val="none"/>
                <w:lang w:val="en-US" w:eastAsia="zh-CN"/>
              </w:rPr>
              <w:t>废水</w:t>
            </w:r>
          </w:p>
        </w:tc>
        <w:tc>
          <w:tcPr>
            <w:tcW w:w="2167"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eastAsia" w:ascii="Times New Roman" w:hAnsi="Times New Roman" w:eastAsia="宋体" w:cs="Times New Roman"/>
                <w:snapToGrid w:val="0"/>
                <w:color w:val="auto"/>
                <w:kern w:val="21"/>
                <w:sz w:val="21"/>
                <w:szCs w:val="21"/>
                <w:u w:val="none"/>
                <w:lang w:val="en-US" w:eastAsia="zh-CN"/>
              </w:rPr>
              <w:t>COD</w:t>
            </w:r>
          </w:p>
        </w:tc>
        <w:tc>
          <w:tcPr>
            <w:tcW w:w="158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33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84"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00"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cs="Times New Roman"/>
                <w:snapToGrid w:val="0"/>
                <w:color w:val="auto"/>
                <w:kern w:val="21"/>
                <w:sz w:val="21"/>
                <w:szCs w:val="21"/>
                <w:u w:val="none"/>
                <w:lang w:val="en-US" w:eastAsia="zh-CN"/>
              </w:rPr>
              <w:t>0.333</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bidi="ar-SA"/>
              </w:rPr>
            </w:pPr>
            <w:r>
              <w:rPr>
                <w:rFonts w:hint="eastAsia" w:ascii="Times New Roman" w:cs="Times New Roman"/>
                <w:snapToGrid w:val="0"/>
                <w:color w:val="auto"/>
                <w:kern w:val="21"/>
                <w:sz w:val="21"/>
                <w:szCs w:val="21"/>
                <w:u w:val="none"/>
                <w:lang w:val="en-US" w:eastAsia="zh-CN"/>
              </w:rPr>
              <w:t>0.333</w:t>
            </w:r>
          </w:p>
        </w:tc>
        <w:tc>
          <w:tcPr>
            <w:tcW w:w="1238"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2167"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NH</w:t>
            </w:r>
            <w:r>
              <w:rPr>
                <w:rFonts w:hint="default" w:ascii="Times New Roman" w:hAnsi="Times New Roman" w:eastAsia="宋体" w:cs="Times New Roman"/>
                <w:snapToGrid w:val="0"/>
                <w:color w:val="auto"/>
                <w:kern w:val="21"/>
                <w:sz w:val="21"/>
                <w:szCs w:val="21"/>
                <w:u w:val="none"/>
                <w:vertAlign w:val="subscript"/>
                <w:lang w:val="en-US" w:eastAsia="zh-CN"/>
              </w:rPr>
              <w:t>3</w:t>
            </w:r>
            <w:r>
              <w:rPr>
                <w:rFonts w:hint="default" w:ascii="Times New Roman" w:hAnsi="Times New Roman" w:eastAsia="宋体" w:cs="Times New Roman"/>
                <w:snapToGrid w:val="0"/>
                <w:color w:val="auto"/>
                <w:kern w:val="21"/>
                <w:sz w:val="21"/>
                <w:szCs w:val="21"/>
                <w:u w:val="none"/>
                <w:lang w:val="en-US" w:eastAsia="zh-CN"/>
              </w:rPr>
              <w:t>-N</w:t>
            </w:r>
          </w:p>
        </w:tc>
        <w:tc>
          <w:tcPr>
            <w:tcW w:w="158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333"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84"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600"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eastAsia" w:ascii="Times New Roman" w:cs="Times New Roman"/>
                <w:snapToGrid w:val="0"/>
                <w:color w:val="auto"/>
                <w:kern w:val="21"/>
                <w:sz w:val="21"/>
                <w:szCs w:val="21"/>
                <w:u w:val="none"/>
                <w:lang w:val="en-US" w:eastAsia="zh-CN"/>
              </w:rPr>
              <w:t>0.003</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bidi="ar-SA"/>
              </w:rPr>
            </w:pPr>
            <w:r>
              <w:rPr>
                <w:rFonts w:hint="eastAsia" w:ascii="Times New Roman" w:cs="Times New Roman"/>
                <w:snapToGrid w:val="0"/>
                <w:color w:val="auto"/>
                <w:kern w:val="21"/>
                <w:sz w:val="21"/>
                <w:szCs w:val="21"/>
                <w:u w:val="none"/>
                <w:lang w:val="en-US" w:eastAsia="zh-CN"/>
              </w:rPr>
              <w:t>0.003</w:t>
            </w:r>
          </w:p>
        </w:tc>
        <w:tc>
          <w:tcPr>
            <w:tcW w:w="1238"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r>
              <w:rPr>
                <w:rFonts w:hint="eastAsia" w:ascii="Times New Roman" w:hAnsi="Times New Roman" w:eastAsia="宋体" w:cs="Times New Roman"/>
                <w:snapToGrid w:val="0"/>
                <w:color w:val="auto"/>
                <w:kern w:val="21"/>
                <w:sz w:val="21"/>
                <w:szCs w:val="21"/>
                <w:u w:val="none"/>
                <w:lang w:eastAsia="zh-CN"/>
              </w:rPr>
              <w:t>生活垃圾</w:t>
            </w:r>
          </w:p>
        </w:tc>
        <w:tc>
          <w:tcPr>
            <w:tcW w:w="2167"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color w:val="auto"/>
                <w:sz w:val="21"/>
                <w:szCs w:val="21"/>
                <w:u w:val="none"/>
              </w:rPr>
              <w:t>生活垃圾</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1.5</w:t>
            </w:r>
          </w:p>
        </w:tc>
        <w:tc>
          <w:tcPr>
            <w:tcW w:w="1238" w:type="dxa"/>
            <w:noWrap w:val="0"/>
            <w:vAlign w:val="center"/>
          </w:tcPr>
          <w:p>
            <w:pPr>
              <w:adjustRightInd w:val="0"/>
              <w:snapToGrid w:val="0"/>
              <w:jc w:val="center"/>
              <w:rPr>
                <w:rFonts w:hint="eastAsia"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restart"/>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r>
              <w:rPr>
                <w:rFonts w:hint="eastAsia" w:ascii="Times New Roman" w:hAnsi="Times New Roman" w:eastAsia="宋体" w:cs="Times New Roman"/>
                <w:snapToGrid w:val="0"/>
                <w:color w:val="auto"/>
                <w:kern w:val="21"/>
                <w:sz w:val="21"/>
                <w:szCs w:val="21"/>
                <w:u w:val="none"/>
                <w:lang w:eastAsia="zh-CN"/>
              </w:rPr>
              <w:t>一般固废</w:t>
            </w: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废动力蓄电池</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53.1</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53.1</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废安全气囊</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1220.5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1220.5</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废电线电缆</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193.29</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193.29</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废玻璃</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382.41</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382.41</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废钢铁</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27993.96</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27993.96</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eastAsia="zh-CN"/>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废橡胶</w:t>
            </w:r>
          </w:p>
        </w:tc>
        <w:tc>
          <w:tcPr>
            <w:tcW w:w="1583"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1251.96</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1251.96</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废塑料</w:t>
            </w:r>
          </w:p>
        </w:tc>
        <w:tc>
          <w:tcPr>
            <w:tcW w:w="1583" w:type="dxa"/>
            <w:noWrap w:val="0"/>
            <w:vAlign w:val="center"/>
          </w:tcPr>
          <w:p>
            <w:pPr>
              <w:adjustRightInd w:val="0"/>
              <w:snapToGrid w:val="0"/>
              <w:jc w:val="center"/>
              <w:rPr>
                <w:rFonts w:hint="default" w:ascii="Times New Roman" w:hAnsi="Times New Roman" w:eastAsia="宋体" w:cs="Times New Roman"/>
                <w:color w:val="auto"/>
                <w:kern w:val="0"/>
                <w:sz w:val="21"/>
                <w:szCs w:val="21"/>
                <w:u w:val="none"/>
                <w:lang w:val="en-US" w:eastAsia="zh-CN" w:bidi="ar-SA"/>
              </w:rPr>
            </w:pPr>
          </w:p>
        </w:tc>
        <w:tc>
          <w:tcPr>
            <w:tcW w:w="1333" w:type="dxa"/>
            <w:noWrap w:val="0"/>
            <w:vAlign w:val="top"/>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top"/>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659.4</w:t>
            </w:r>
          </w:p>
        </w:tc>
        <w:tc>
          <w:tcPr>
            <w:tcW w:w="1316" w:type="dxa"/>
            <w:noWrap w:val="0"/>
            <w:vAlign w:val="top"/>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659.4</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废有色金属</w:t>
            </w:r>
          </w:p>
        </w:tc>
        <w:tc>
          <w:tcPr>
            <w:tcW w:w="1583" w:type="dxa"/>
            <w:noWrap w:val="0"/>
            <w:vAlign w:val="center"/>
          </w:tcPr>
          <w:p>
            <w:pPr>
              <w:overflowPunct w:val="0"/>
              <w:autoSpaceDE w:val="0"/>
              <w:autoSpaceDN w:val="0"/>
              <w:snapToGrid w:val="0"/>
              <w:spacing w:line="240" w:lineRule="auto"/>
              <w:ind w:firstLine="0" w:firstLineChars="0"/>
              <w:jc w:val="center"/>
              <w:textAlignment w:val="baseline"/>
              <w:rPr>
                <w:rFonts w:hint="default" w:ascii="Times New Roman" w:hAnsi="Times New Roman" w:eastAsia="宋体" w:cs="Times New Roman"/>
                <w:color w:val="auto"/>
                <w:sz w:val="21"/>
                <w:szCs w:val="21"/>
                <w:u w:val="none"/>
                <w:lang w:val="en-US" w:eastAsia="zh-CN"/>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591.645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591.645</w:t>
            </w:r>
          </w:p>
        </w:tc>
        <w:tc>
          <w:tcPr>
            <w:tcW w:w="1238"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shd w:val="clear" w:color="auto" w:fill="auto"/>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不可利用材料（包含海绵、电子废物、布料等）</w:t>
            </w:r>
          </w:p>
        </w:tc>
        <w:tc>
          <w:tcPr>
            <w:tcW w:w="1583" w:type="dxa"/>
            <w:noWrap w:val="0"/>
            <w:vAlign w:val="center"/>
          </w:tcPr>
          <w:p>
            <w:pPr>
              <w:overflowPunct w:val="0"/>
              <w:autoSpaceDE w:val="0"/>
              <w:autoSpaceDN w:val="0"/>
              <w:snapToGrid w:val="0"/>
              <w:spacing w:line="240" w:lineRule="auto"/>
              <w:ind w:firstLine="0" w:firstLineChars="0"/>
              <w:jc w:val="center"/>
              <w:textAlignment w:val="baseline"/>
              <w:rPr>
                <w:rFonts w:hint="default" w:ascii="Times New Roman" w:hAnsi="Times New Roman"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4344.84</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4344.84</w:t>
            </w:r>
          </w:p>
        </w:tc>
        <w:tc>
          <w:tcPr>
            <w:tcW w:w="1238" w:type="dxa"/>
            <w:noWrap w:val="0"/>
            <w:vAlign w:val="center"/>
          </w:tcPr>
          <w:p>
            <w:pPr>
              <w:adjustRightInd w:val="0"/>
              <w:snapToGrid w:val="0"/>
              <w:jc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restart"/>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r>
              <w:rPr>
                <w:rFonts w:hint="default" w:ascii="Times New Roman" w:hAnsi="Times New Roman" w:eastAsia="宋体" w:cs="Times New Roman"/>
                <w:snapToGrid w:val="0"/>
                <w:color w:val="auto"/>
                <w:kern w:val="21"/>
                <w:sz w:val="21"/>
                <w:szCs w:val="21"/>
                <w:u w:val="none"/>
              </w:rPr>
              <w:t>危险废物</w:t>
            </w: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废铅蓄电池</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158.6</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158.6</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废油液（机油、润滑油、液压油、制动液等）</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51.145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51.145</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燃料油（汽柴油）</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27.775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27.775</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废有机溶剂与含有机溶剂废物</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7.13</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7.13</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废滤清器</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13.4</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13.4</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抹布手套/吸油毡</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0.5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0.5</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废空调制冷剂</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4.145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4.145</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废尾气净化装置</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23.75</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23.75</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default" w:ascii="Times New Roman" w:hAnsi="Times New Roman" w:eastAsia="宋体" w:cs="Times New Roman"/>
                <w:color w:val="auto"/>
                <w:kern w:val="2"/>
                <w:sz w:val="21"/>
                <w:szCs w:val="21"/>
                <w:u w:val="none"/>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含多氯联苯的电容器</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3.03</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3.03</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废电路板</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1.81</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1.81</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废有毒物质部件（含铅部件、含汞开关）</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19.74</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19.74</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26" w:type="dxa"/>
            <w:vMerge w:val="continue"/>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rPr>
            </w:pPr>
          </w:p>
        </w:tc>
        <w:tc>
          <w:tcPr>
            <w:tcW w:w="2167" w:type="dxa"/>
            <w:noWrap w:val="0"/>
            <w:vAlign w:val="center"/>
          </w:tcPr>
          <w:p>
            <w:pPr>
              <w:adjustRightInd w:val="0"/>
              <w:snapToGrid w:val="0"/>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初期雨水收集池、隔油沉淀池废油及污泥</w:t>
            </w:r>
          </w:p>
        </w:tc>
        <w:tc>
          <w:tcPr>
            <w:tcW w:w="1583" w:type="dxa"/>
            <w:noWrap w:val="0"/>
            <w:vAlign w:val="center"/>
          </w:tcPr>
          <w:p>
            <w:pPr>
              <w:keepNext w:val="0"/>
              <w:keepLines w:val="0"/>
              <w:pageBreakBefore w:val="0"/>
              <w:kinsoku/>
              <w:wordWrap/>
              <w:overflowPunct w:val="0"/>
              <w:topLinePunct w:val="0"/>
              <w:autoSpaceDE w:val="0"/>
              <w:autoSpaceDN w:val="0"/>
              <w:bidi w:val="0"/>
              <w:snapToGrid w:val="0"/>
              <w:spacing w:line="240" w:lineRule="auto"/>
              <w:ind w:firstLine="0" w:firstLineChars="0"/>
              <w:jc w:val="center"/>
              <w:textAlignment w:val="baseline"/>
              <w:rPr>
                <w:rFonts w:hint="default" w:ascii="Times New Roman" w:hAnsi="Times New Roman" w:eastAsia="宋体" w:cs="Times New Roman"/>
                <w:color w:val="auto"/>
                <w:kern w:val="2"/>
                <w:sz w:val="21"/>
                <w:szCs w:val="21"/>
                <w:u w:val="none"/>
                <w:lang w:val="en-US" w:eastAsia="zh-CN" w:bidi="ar-SA"/>
              </w:rPr>
            </w:pPr>
          </w:p>
        </w:tc>
        <w:tc>
          <w:tcPr>
            <w:tcW w:w="1333"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84" w:type="dxa"/>
            <w:noWrap w:val="0"/>
            <w:vAlign w:val="center"/>
          </w:tcPr>
          <w:p>
            <w:pPr>
              <w:pStyle w:val="44"/>
              <w:keepNext w:val="0"/>
              <w:keepLines w:val="0"/>
              <w:pageBreakBefore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bidi="ar-SA"/>
              </w:rPr>
            </w:pPr>
          </w:p>
        </w:tc>
        <w:tc>
          <w:tcPr>
            <w:tcW w:w="1600"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1.2</w:t>
            </w:r>
          </w:p>
        </w:tc>
        <w:tc>
          <w:tcPr>
            <w:tcW w:w="1316" w:type="dxa"/>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eastAsia" w:ascii="Times New Roman" w:hAnsi="Times New Roman" w:eastAsia="宋体" w:cs="Times New Roman"/>
                <w:snapToGrid w:val="0"/>
                <w:color w:val="auto"/>
                <w:kern w:val="21"/>
                <w:sz w:val="21"/>
                <w:szCs w:val="21"/>
                <w:u w:val="none"/>
                <w:lang w:val="en-US" w:eastAsia="zh-CN"/>
              </w:rPr>
            </w:pPr>
          </w:p>
        </w:tc>
        <w:tc>
          <w:tcPr>
            <w:tcW w:w="1741" w:type="dxa"/>
            <w:shd w:val="clear" w:color="auto" w:fill="auto"/>
            <w:noWrap w:val="0"/>
            <w:vAlign w:val="center"/>
          </w:tcPr>
          <w:p>
            <w:pPr>
              <w:pStyle w:val="44"/>
              <w:keepNext w:val="0"/>
              <w:keepLines w:val="0"/>
              <w:pageBreakBefore w:val="0"/>
              <w:widowControl w:val="0"/>
              <w:kinsoku/>
              <w:wordWrap/>
              <w:overflowPunct/>
              <w:topLinePunct w:val="0"/>
              <w:autoSpaceDE/>
              <w:autoSpaceDN/>
              <w:bidi w:val="0"/>
              <w:adjustRightInd/>
              <w:snapToGrid/>
              <w:spacing w:beforeLines="0" w:afterLines="0" w:line="240" w:lineRule="auto"/>
              <w:ind w:firstLine="0" w:firstLineChars="0"/>
              <w:textAlignment w:val="auto"/>
              <w:rPr>
                <w:rFonts w:hint="default" w:ascii="Times New Roman" w:hAnsi="Times New Roman" w:eastAsia="宋体" w:cs="Times New Roman"/>
                <w:snapToGrid w:val="0"/>
                <w:color w:val="auto"/>
                <w:kern w:val="21"/>
                <w:sz w:val="21"/>
                <w:szCs w:val="21"/>
                <w:u w:val="none"/>
                <w:lang w:val="en-US" w:eastAsia="zh-CN"/>
              </w:rPr>
            </w:pPr>
            <w:r>
              <w:rPr>
                <w:rFonts w:hint="default" w:ascii="Times New Roman" w:hAnsi="Times New Roman" w:eastAsia="宋体" w:cs="Times New Roman"/>
                <w:snapToGrid w:val="0"/>
                <w:color w:val="auto"/>
                <w:kern w:val="21"/>
                <w:sz w:val="21"/>
                <w:szCs w:val="21"/>
                <w:u w:val="none"/>
                <w:lang w:val="en-US" w:eastAsia="zh-CN"/>
              </w:rPr>
              <w:t>1.2</w:t>
            </w:r>
          </w:p>
        </w:tc>
        <w:tc>
          <w:tcPr>
            <w:tcW w:w="1238" w:type="dxa"/>
            <w:noWrap w:val="0"/>
            <w:vAlign w:val="center"/>
          </w:tcPr>
          <w:p>
            <w:pPr>
              <w:keepNext w:val="0"/>
              <w:keepLines w:val="0"/>
              <w:pageBreakBefore w:val="0"/>
              <w:widowControl/>
              <w:suppressLineNumbers w:val="0"/>
              <w:kinsoku/>
              <w:wordWrap/>
              <w:topLinePunct w:val="0"/>
              <w:bidi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bl>
    <w:p>
      <w:pPr>
        <w:pStyle w:val="44"/>
        <w:keepNext w:val="0"/>
        <w:keepLines w:val="0"/>
        <w:pageBreakBefore w:val="0"/>
        <w:kinsoku/>
        <w:wordWrap/>
        <w:overflowPunct/>
        <w:topLinePunct w:val="0"/>
        <w:bidi w:val="0"/>
        <w:adjustRightInd/>
        <w:snapToGrid/>
        <w:spacing w:before="192" w:beforeLines="80" w:after="24"/>
        <w:jc w:val="left"/>
        <w:rPr>
          <w:rFonts w:hint="default" w:ascii="Times New Roman" w:hAnsi="Times New Roman" w:eastAsia="宋体" w:cs="Times New Roman"/>
          <w:color w:val="auto"/>
          <w:u w:val="none"/>
        </w:rPr>
      </w:pPr>
      <w:r>
        <w:rPr>
          <w:rFonts w:hint="default" w:ascii="Times New Roman" w:hAnsi="Times New Roman" w:eastAsia="宋体" w:cs="Times New Roman"/>
          <w:snapToGrid w:val="0"/>
          <w:color w:val="auto"/>
          <w:kern w:val="21"/>
          <w:szCs w:val="21"/>
          <w:u w:val="none"/>
        </w:rPr>
        <w:t>注：</w:t>
      </w:r>
      <w:r>
        <w:rPr>
          <w:rFonts w:hint="default" w:ascii="Times New Roman" w:hAnsi="Times New Roman" w:eastAsia="宋体" w:cs="Times New Roman"/>
          <w:snapToGrid w:val="0"/>
          <w:color w:val="auto"/>
          <w:spacing w:val="-16"/>
          <w:kern w:val="21"/>
          <w:szCs w:val="21"/>
          <w:u w:val="none"/>
        </w:rPr>
        <w:fldChar w:fldCharType="begin"/>
      </w:r>
      <w:r>
        <w:rPr>
          <w:rFonts w:hint="default" w:ascii="Times New Roman" w:hAnsi="Times New Roman" w:eastAsia="宋体" w:cs="Times New Roman"/>
          <w:snapToGrid w:val="0"/>
          <w:color w:val="auto"/>
          <w:spacing w:val="-16"/>
          <w:kern w:val="21"/>
          <w:szCs w:val="21"/>
          <w:u w:val="none"/>
        </w:rPr>
        <w:instrText xml:space="preserve"> = 6 \* GB3 \* MERGEFORMAT </w:instrText>
      </w:r>
      <w:r>
        <w:rPr>
          <w:rFonts w:hint="default" w:ascii="Times New Roman" w:hAnsi="Times New Roman" w:eastAsia="宋体" w:cs="Times New Roman"/>
          <w:snapToGrid w:val="0"/>
          <w:color w:val="auto"/>
          <w:spacing w:val="-16"/>
          <w:kern w:val="21"/>
          <w:szCs w:val="21"/>
          <w:u w:val="none"/>
        </w:rPr>
        <w:fldChar w:fldCharType="separate"/>
      </w:r>
      <w:r>
        <w:rPr>
          <w:rFonts w:hint="default" w:ascii="Times New Roman" w:hAnsi="Times New Roman" w:eastAsia="宋体" w:cs="Times New Roman"/>
          <w:color w:val="auto"/>
          <w:szCs w:val="21"/>
          <w:u w:val="none"/>
        </w:rPr>
        <w:t>⑥</w:t>
      </w:r>
      <w:r>
        <w:rPr>
          <w:rFonts w:hint="default" w:ascii="Times New Roman" w:hAnsi="Times New Roman" w:eastAsia="宋体" w:cs="Times New Roman"/>
          <w:snapToGrid w:val="0"/>
          <w:color w:val="auto"/>
          <w:spacing w:val="-16"/>
          <w:kern w:val="21"/>
          <w:szCs w:val="21"/>
          <w:u w:val="none"/>
        </w:rPr>
        <w:fldChar w:fldCharType="end"/>
      </w:r>
      <w:r>
        <w:rPr>
          <w:rFonts w:hint="default" w:ascii="Times New Roman" w:hAnsi="Times New Roman" w:eastAsia="宋体" w:cs="Times New Roman"/>
          <w:snapToGrid w:val="0"/>
          <w:color w:val="auto"/>
          <w:spacing w:val="-16"/>
          <w:kern w:val="21"/>
          <w:szCs w:val="21"/>
          <w:u w:val="none"/>
        </w:rPr>
        <w:t>=</w:t>
      </w:r>
      <w:r>
        <w:rPr>
          <w:rFonts w:hint="default" w:ascii="Times New Roman" w:hAnsi="Times New Roman" w:eastAsia="宋体" w:cs="Times New Roman"/>
          <w:snapToGrid w:val="0"/>
          <w:color w:val="auto"/>
          <w:spacing w:val="-6"/>
          <w:kern w:val="21"/>
          <w:szCs w:val="21"/>
          <w:u w:val="none"/>
        </w:rPr>
        <w:fldChar w:fldCharType="begin"/>
      </w:r>
      <w:r>
        <w:rPr>
          <w:rFonts w:hint="default" w:ascii="Times New Roman" w:hAnsi="Times New Roman" w:eastAsia="宋体" w:cs="Times New Roman"/>
          <w:snapToGrid w:val="0"/>
          <w:color w:val="auto"/>
          <w:spacing w:val="-6"/>
          <w:kern w:val="21"/>
          <w:szCs w:val="21"/>
          <w:u w:val="none"/>
        </w:rPr>
        <w:instrText xml:space="preserve"> = 1 \* GB3 \* MERGEFORMAT </w:instrText>
      </w:r>
      <w:r>
        <w:rPr>
          <w:rFonts w:hint="default" w:ascii="Times New Roman" w:hAnsi="Times New Roman" w:eastAsia="宋体" w:cs="Times New Roman"/>
          <w:snapToGrid w:val="0"/>
          <w:color w:val="auto"/>
          <w:spacing w:val="-6"/>
          <w:kern w:val="21"/>
          <w:szCs w:val="21"/>
          <w:u w:val="none"/>
        </w:rPr>
        <w:fldChar w:fldCharType="separate"/>
      </w:r>
      <w:r>
        <w:rPr>
          <w:rFonts w:hint="default" w:ascii="Times New Roman" w:hAnsi="Times New Roman" w:eastAsia="宋体" w:cs="Times New Roman"/>
          <w:color w:val="auto"/>
          <w:szCs w:val="21"/>
          <w:u w:val="none"/>
        </w:rPr>
        <w:t>①</w:t>
      </w:r>
      <w:r>
        <w:rPr>
          <w:rFonts w:hint="default" w:ascii="Times New Roman" w:hAnsi="Times New Roman" w:eastAsia="宋体" w:cs="Times New Roman"/>
          <w:snapToGrid w:val="0"/>
          <w:color w:val="auto"/>
          <w:spacing w:val="-6"/>
          <w:kern w:val="21"/>
          <w:szCs w:val="21"/>
          <w:u w:val="none"/>
        </w:rPr>
        <w:fldChar w:fldCharType="end"/>
      </w:r>
      <w:r>
        <w:rPr>
          <w:rFonts w:hint="default" w:ascii="Times New Roman" w:hAnsi="Times New Roman" w:eastAsia="宋体" w:cs="Times New Roman"/>
          <w:snapToGrid w:val="0"/>
          <w:color w:val="auto"/>
          <w:spacing w:val="-6"/>
          <w:kern w:val="21"/>
          <w:szCs w:val="21"/>
          <w:u w:val="none"/>
        </w:rPr>
        <w:t>+</w:t>
      </w:r>
      <w:r>
        <w:rPr>
          <w:rFonts w:hint="default" w:ascii="Times New Roman" w:hAnsi="Times New Roman" w:eastAsia="宋体" w:cs="Times New Roman"/>
          <w:snapToGrid w:val="0"/>
          <w:color w:val="auto"/>
          <w:spacing w:val="-6"/>
          <w:kern w:val="21"/>
          <w:szCs w:val="21"/>
          <w:u w:val="none"/>
        </w:rPr>
        <w:fldChar w:fldCharType="begin"/>
      </w:r>
      <w:r>
        <w:rPr>
          <w:rFonts w:hint="default" w:ascii="Times New Roman" w:hAnsi="Times New Roman" w:eastAsia="宋体" w:cs="Times New Roman"/>
          <w:snapToGrid w:val="0"/>
          <w:color w:val="auto"/>
          <w:spacing w:val="-6"/>
          <w:kern w:val="21"/>
          <w:szCs w:val="21"/>
          <w:u w:val="none"/>
        </w:rPr>
        <w:instrText xml:space="preserve"> = 3 \* GB3 \* MERGEFORMAT </w:instrText>
      </w:r>
      <w:r>
        <w:rPr>
          <w:rFonts w:hint="default" w:ascii="Times New Roman" w:hAnsi="Times New Roman" w:eastAsia="宋体" w:cs="Times New Roman"/>
          <w:snapToGrid w:val="0"/>
          <w:color w:val="auto"/>
          <w:spacing w:val="-6"/>
          <w:kern w:val="21"/>
          <w:szCs w:val="21"/>
          <w:u w:val="none"/>
        </w:rPr>
        <w:fldChar w:fldCharType="separate"/>
      </w:r>
      <w:r>
        <w:rPr>
          <w:rFonts w:hint="default" w:ascii="Times New Roman" w:hAnsi="Times New Roman" w:eastAsia="宋体" w:cs="Times New Roman"/>
          <w:color w:val="auto"/>
          <w:szCs w:val="21"/>
          <w:u w:val="none"/>
        </w:rPr>
        <w:t>③</w:t>
      </w:r>
      <w:r>
        <w:rPr>
          <w:rFonts w:hint="default" w:ascii="Times New Roman" w:hAnsi="Times New Roman" w:eastAsia="宋体" w:cs="Times New Roman"/>
          <w:snapToGrid w:val="0"/>
          <w:color w:val="auto"/>
          <w:spacing w:val="-6"/>
          <w:kern w:val="21"/>
          <w:szCs w:val="21"/>
          <w:u w:val="none"/>
        </w:rPr>
        <w:fldChar w:fldCharType="end"/>
      </w:r>
      <w:r>
        <w:rPr>
          <w:rFonts w:hint="default" w:ascii="Times New Roman" w:hAnsi="Times New Roman" w:eastAsia="宋体" w:cs="Times New Roman"/>
          <w:snapToGrid w:val="0"/>
          <w:color w:val="auto"/>
          <w:spacing w:val="-6"/>
          <w:kern w:val="21"/>
          <w:szCs w:val="21"/>
          <w:u w:val="none"/>
        </w:rPr>
        <w:t>+</w:t>
      </w:r>
      <w:r>
        <w:rPr>
          <w:rFonts w:hint="default" w:ascii="Times New Roman" w:hAnsi="Times New Roman" w:eastAsia="宋体" w:cs="Times New Roman"/>
          <w:snapToGrid w:val="0"/>
          <w:color w:val="auto"/>
          <w:spacing w:val="-6"/>
          <w:kern w:val="21"/>
          <w:szCs w:val="21"/>
          <w:u w:val="none"/>
        </w:rPr>
        <w:fldChar w:fldCharType="begin"/>
      </w:r>
      <w:r>
        <w:rPr>
          <w:rFonts w:hint="default" w:ascii="Times New Roman" w:hAnsi="Times New Roman" w:eastAsia="宋体" w:cs="Times New Roman"/>
          <w:snapToGrid w:val="0"/>
          <w:color w:val="auto"/>
          <w:spacing w:val="-6"/>
          <w:kern w:val="21"/>
          <w:szCs w:val="21"/>
          <w:u w:val="none"/>
        </w:rPr>
        <w:instrText xml:space="preserve"> = 4 \* GB3 \* MERGEFORMAT </w:instrText>
      </w:r>
      <w:r>
        <w:rPr>
          <w:rFonts w:hint="default" w:ascii="Times New Roman" w:hAnsi="Times New Roman" w:eastAsia="宋体" w:cs="Times New Roman"/>
          <w:snapToGrid w:val="0"/>
          <w:color w:val="auto"/>
          <w:spacing w:val="-6"/>
          <w:kern w:val="21"/>
          <w:szCs w:val="21"/>
          <w:u w:val="none"/>
        </w:rPr>
        <w:fldChar w:fldCharType="separate"/>
      </w:r>
      <w:r>
        <w:rPr>
          <w:rFonts w:hint="default" w:ascii="Times New Roman" w:hAnsi="Times New Roman" w:eastAsia="宋体" w:cs="Times New Roman"/>
          <w:color w:val="auto"/>
          <w:szCs w:val="21"/>
          <w:u w:val="none"/>
        </w:rPr>
        <w:t>④</w:t>
      </w:r>
      <w:r>
        <w:rPr>
          <w:rFonts w:hint="default" w:ascii="Times New Roman" w:hAnsi="Times New Roman" w:eastAsia="宋体" w:cs="Times New Roman"/>
          <w:snapToGrid w:val="0"/>
          <w:color w:val="auto"/>
          <w:spacing w:val="-6"/>
          <w:kern w:val="21"/>
          <w:szCs w:val="21"/>
          <w:u w:val="none"/>
        </w:rPr>
        <w:fldChar w:fldCharType="end"/>
      </w:r>
      <w:r>
        <w:rPr>
          <w:rFonts w:hint="default" w:ascii="Times New Roman" w:hAnsi="Times New Roman" w:eastAsia="宋体" w:cs="Times New Roman"/>
          <w:snapToGrid w:val="0"/>
          <w:color w:val="auto"/>
          <w:spacing w:val="-6"/>
          <w:kern w:val="21"/>
          <w:szCs w:val="21"/>
          <w:u w:val="none"/>
        </w:rPr>
        <w:t>-</w:t>
      </w:r>
      <w:r>
        <w:rPr>
          <w:rFonts w:hint="default" w:ascii="Times New Roman" w:hAnsi="Times New Roman" w:eastAsia="宋体" w:cs="Times New Roman"/>
          <w:snapToGrid w:val="0"/>
          <w:color w:val="auto"/>
          <w:spacing w:val="-16"/>
          <w:kern w:val="21"/>
          <w:szCs w:val="21"/>
          <w:u w:val="none"/>
        </w:rPr>
        <w:fldChar w:fldCharType="begin"/>
      </w:r>
      <w:r>
        <w:rPr>
          <w:rFonts w:hint="default" w:ascii="Times New Roman" w:hAnsi="Times New Roman" w:eastAsia="宋体" w:cs="Times New Roman"/>
          <w:snapToGrid w:val="0"/>
          <w:color w:val="auto"/>
          <w:spacing w:val="-16"/>
          <w:kern w:val="21"/>
          <w:szCs w:val="21"/>
          <w:u w:val="none"/>
        </w:rPr>
        <w:instrText xml:space="preserve"> = 5 \* GB3 \* MERGEFORMAT </w:instrText>
      </w:r>
      <w:r>
        <w:rPr>
          <w:rFonts w:hint="default" w:ascii="Times New Roman" w:hAnsi="Times New Roman" w:eastAsia="宋体" w:cs="Times New Roman"/>
          <w:snapToGrid w:val="0"/>
          <w:color w:val="auto"/>
          <w:spacing w:val="-16"/>
          <w:kern w:val="21"/>
          <w:szCs w:val="21"/>
          <w:u w:val="none"/>
        </w:rPr>
        <w:fldChar w:fldCharType="separate"/>
      </w:r>
      <w:r>
        <w:rPr>
          <w:rFonts w:hint="default" w:ascii="Times New Roman" w:hAnsi="Times New Roman" w:eastAsia="宋体" w:cs="Times New Roman"/>
          <w:color w:val="auto"/>
          <w:szCs w:val="21"/>
          <w:u w:val="none"/>
        </w:rPr>
        <w:t>⑤</w:t>
      </w:r>
      <w:r>
        <w:rPr>
          <w:rFonts w:hint="default" w:ascii="Times New Roman" w:hAnsi="Times New Roman" w:eastAsia="宋体" w:cs="Times New Roman"/>
          <w:snapToGrid w:val="0"/>
          <w:color w:val="auto"/>
          <w:spacing w:val="-16"/>
          <w:kern w:val="21"/>
          <w:szCs w:val="21"/>
          <w:u w:val="none"/>
        </w:rPr>
        <w:fldChar w:fldCharType="end"/>
      </w:r>
      <w:r>
        <w:rPr>
          <w:rFonts w:hint="default" w:ascii="Times New Roman" w:hAnsi="Times New Roman" w:eastAsia="宋体" w:cs="Times New Roman"/>
          <w:snapToGrid w:val="0"/>
          <w:color w:val="auto"/>
          <w:spacing w:val="-16"/>
          <w:kern w:val="21"/>
          <w:szCs w:val="21"/>
          <w:u w:val="none"/>
        </w:rPr>
        <w:t>；</w:t>
      </w:r>
      <w:r>
        <w:rPr>
          <w:rFonts w:hint="default" w:ascii="Times New Roman" w:hAnsi="Times New Roman" w:eastAsia="宋体" w:cs="Times New Roman"/>
          <w:snapToGrid w:val="0"/>
          <w:color w:val="auto"/>
          <w:spacing w:val="-6"/>
          <w:kern w:val="21"/>
          <w:szCs w:val="21"/>
          <w:u w:val="none"/>
        </w:rPr>
        <w:fldChar w:fldCharType="begin"/>
      </w:r>
      <w:r>
        <w:rPr>
          <w:rFonts w:hint="default" w:ascii="Times New Roman" w:hAnsi="Times New Roman" w:eastAsia="宋体" w:cs="Times New Roman"/>
          <w:snapToGrid w:val="0"/>
          <w:color w:val="auto"/>
          <w:spacing w:val="-6"/>
          <w:kern w:val="21"/>
          <w:szCs w:val="21"/>
          <w:u w:val="none"/>
        </w:rPr>
        <w:instrText xml:space="preserve"> = 7 \* GB3 \* MERGEFORMAT </w:instrText>
      </w:r>
      <w:r>
        <w:rPr>
          <w:rFonts w:hint="default" w:ascii="Times New Roman" w:hAnsi="Times New Roman" w:eastAsia="宋体" w:cs="Times New Roman"/>
          <w:snapToGrid w:val="0"/>
          <w:color w:val="auto"/>
          <w:spacing w:val="-6"/>
          <w:kern w:val="21"/>
          <w:szCs w:val="21"/>
          <w:u w:val="none"/>
        </w:rPr>
        <w:fldChar w:fldCharType="separate"/>
      </w:r>
      <w:r>
        <w:rPr>
          <w:rFonts w:hint="default" w:ascii="Times New Roman" w:hAnsi="Times New Roman" w:eastAsia="宋体" w:cs="Times New Roman"/>
          <w:color w:val="auto"/>
          <w:szCs w:val="21"/>
          <w:u w:val="none"/>
        </w:rPr>
        <w:t>⑦</w:t>
      </w:r>
      <w:r>
        <w:rPr>
          <w:rFonts w:hint="default" w:ascii="Times New Roman" w:hAnsi="Times New Roman" w:eastAsia="宋体" w:cs="Times New Roman"/>
          <w:snapToGrid w:val="0"/>
          <w:color w:val="auto"/>
          <w:spacing w:val="-6"/>
          <w:kern w:val="21"/>
          <w:szCs w:val="21"/>
          <w:u w:val="none"/>
        </w:rPr>
        <w:fldChar w:fldCharType="end"/>
      </w:r>
      <w:r>
        <w:rPr>
          <w:rFonts w:hint="default" w:ascii="Times New Roman" w:hAnsi="Times New Roman" w:eastAsia="宋体" w:cs="Times New Roman"/>
          <w:snapToGrid w:val="0"/>
          <w:color w:val="auto"/>
          <w:spacing w:val="-6"/>
          <w:kern w:val="21"/>
          <w:szCs w:val="21"/>
          <w:u w:val="none"/>
        </w:rPr>
        <w:t>=</w:t>
      </w:r>
      <w:r>
        <w:rPr>
          <w:rFonts w:hint="default" w:ascii="Times New Roman" w:hAnsi="Times New Roman" w:eastAsia="宋体" w:cs="Times New Roman"/>
          <w:snapToGrid w:val="0"/>
          <w:color w:val="auto"/>
          <w:spacing w:val="-16"/>
          <w:kern w:val="21"/>
          <w:szCs w:val="21"/>
          <w:u w:val="none"/>
        </w:rPr>
        <w:fldChar w:fldCharType="begin"/>
      </w:r>
      <w:r>
        <w:rPr>
          <w:rFonts w:hint="default" w:ascii="Times New Roman" w:hAnsi="Times New Roman" w:eastAsia="宋体" w:cs="Times New Roman"/>
          <w:snapToGrid w:val="0"/>
          <w:color w:val="auto"/>
          <w:spacing w:val="-16"/>
          <w:kern w:val="21"/>
          <w:szCs w:val="21"/>
          <w:u w:val="none"/>
        </w:rPr>
        <w:instrText xml:space="preserve"> = 6 \* GB3 \* MERGEFORMAT </w:instrText>
      </w:r>
      <w:r>
        <w:rPr>
          <w:rFonts w:hint="default" w:ascii="Times New Roman" w:hAnsi="Times New Roman" w:eastAsia="宋体" w:cs="Times New Roman"/>
          <w:snapToGrid w:val="0"/>
          <w:color w:val="auto"/>
          <w:spacing w:val="-16"/>
          <w:kern w:val="21"/>
          <w:szCs w:val="21"/>
          <w:u w:val="none"/>
        </w:rPr>
        <w:fldChar w:fldCharType="separate"/>
      </w:r>
      <w:r>
        <w:rPr>
          <w:rFonts w:hint="default" w:ascii="Times New Roman" w:hAnsi="Times New Roman" w:eastAsia="宋体" w:cs="Times New Roman"/>
          <w:color w:val="auto"/>
          <w:szCs w:val="21"/>
          <w:u w:val="none"/>
        </w:rPr>
        <w:t>⑥</w:t>
      </w:r>
      <w:r>
        <w:rPr>
          <w:rFonts w:hint="default" w:ascii="Times New Roman" w:hAnsi="Times New Roman" w:eastAsia="宋体" w:cs="Times New Roman"/>
          <w:snapToGrid w:val="0"/>
          <w:color w:val="auto"/>
          <w:spacing w:val="-16"/>
          <w:kern w:val="21"/>
          <w:szCs w:val="21"/>
          <w:u w:val="none"/>
        </w:rPr>
        <w:fldChar w:fldCharType="end"/>
      </w:r>
      <w:r>
        <w:rPr>
          <w:rFonts w:hint="default" w:ascii="Times New Roman" w:hAnsi="Times New Roman" w:eastAsia="宋体" w:cs="Times New Roman"/>
          <w:snapToGrid w:val="0"/>
          <w:color w:val="auto"/>
          <w:spacing w:val="-16"/>
          <w:kern w:val="21"/>
          <w:szCs w:val="21"/>
          <w:u w:val="none"/>
        </w:rPr>
        <w:t>-</w:t>
      </w:r>
      <w:r>
        <w:rPr>
          <w:rFonts w:hint="default" w:ascii="Times New Roman" w:hAnsi="Times New Roman" w:eastAsia="宋体" w:cs="Times New Roman"/>
          <w:snapToGrid w:val="0"/>
          <w:color w:val="auto"/>
          <w:spacing w:val="-6"/>
          <w:kern w:val="21"/>
          <w:szCs w:val="21"/>
          <w:u w:val="none"/>
        </w:rPr>
        <w:fldChar w:fldCharType="begin"/>
      </w:r>
      <w:r>
        <w:rPr>
          <w:rFonts w:hint="default" w:ascii="Times New Roman" w:hAnsi="Times New Roman" w:eastAsia="宋体" w:cs="Times New Roman"/>
          <w:snapToGrid w:val="0"/>
          <w:color w:val="auto"/>
          <w:spacing w:val="-6"/>
          <w:kern w:val="21"/>
          <w:szCs w:val="21"/>
          <w:u w:val="none"/>
        </w:rPr>
        <w:instrText xml:space="preserve"> = 1 \* GB3 \* MERGEFORMAT </w:instrText>
      </w:r>
      <w:r>
        <w:rPr>
          <w:rFonts w:hint="default" w:ascii="Times New Roman" w:hAnsi="Times New Roman" w:eastAsia="宋体" w:cs="Times New Roman"/>
          <w:snapToGrid w:val="0"/>
          <w:color w:val="auto"/>
          <w:spacing w:val="-6"/>
          <w:kern w:val="21"/>
          <w:szCs w:val="21"/>
          <w:u w:val="none"/>
        </w:rPr>
        <w:fldChar w:fldCharType="separate"/>
      </w:r>
      <w:r>
        <w:rPr>
          <w:rFonts w:hint="default" w:ascii="Times New Roman" w:hAnsi="Times New Roman" w:eastAsia="宋体" w:cs="Times New Roman"/>
          <w:color w:val="auto"/>
          <w:szCs w:val="21"/>
          <w:u w:val="none"/>
        </w:rPr>
        <w:t>①</w:t>
      </w:r>
      <w:r>
        <w:rPr>
          <w:rFonts w:hint="default" w:ascii="Times New Roman" w:hAnsi="Times New Roman" w:eastAsia="宋体" w:cs="Times New Roman"/>
          <w:snapToGrid w:val="0"/>
          <w:color w:val="auto"/>
          <w:spacing w:val="-6"/>
          <w:kern w:val="21"/>
          <w:szCs w:val="21"/>
          <w:u w:val="none"/>
        </w:rPr>
        <w:fldChar w:fldCharType="end"/>
      </w:r>
    </w:p>
    <w:sectPr>
      <w:footerReference r:id="rId6" w:type="default"/>
      <w:pgSz w:w="16838" w:h="11905" w:orient="landscape"/>
      <w:pgMar w:top="1531" w:right="1701" w:bottom="1417" w:left="1701" w:header="851" w:footer="850" w:gutter="0"/>
      <w:pgBorders>
        <w:top w:val="none" w:sz="0" w:space="0"/>
        <w:left w:val="none" w:sz="0" w:space="0"/>
        <w:bottom w:val="none" w:sz="0" w:space="0"/>
        <w:right w:val="none" w:sz="0" w:space="0"/>
      </w:pgBorders>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29"/>
      </w:rPr>
    </w:pPr>
    <w:r>
      <w:fldChar w:fldCharType="begin"/>
    </w:r>
    <w:r>
      <w:rPr>
        <w:rStyle w:val="29"/>
      </w:rPr>
      <w:instrText xml:space="preserve">PAGE  </w:instrText>
    </w:r>
    <w:r>
      <w:fldChar w:fldCharType="end"/>
    </w:r>
  </w:p>
  <w:p>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9</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pPr>
      <w:pStyle w:val="18"/>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9"/>
        <w:rFonts w:ascii="宋体" w:hAnsi="宋体"/>
        <w:sz w:val="28"/>
        <w:szCs w:val="28"/>
      </w:rPr>
    </w:pPr>
    <w:r>
      <w:rPr>
        <w:rStyle w:val="29"/>
        <w:rFonts w:hint="eastAsia" w:ascii="宋体" w:hAnsi="宋体"/>
        <w:sz w:val="28"/>
        <w:szCs w:val="28"/>
      </w:rPr>
      <w:t>—</w:t>
    </w:r>
    <w:r>
      <w:rPr>
        <w:rStyle w:val="29"/>
        <w:rFonts w:hint="eastAsia" w:ascii="宋体" w:hAnsi="宋体"/>
        <w:sz w:val="20"/>
      </w:rPr>
      <w:t xml:space="preserve">  </w:t>
    </w:r>
    <w:r>
      <w:rPr>
        <w:rFonts w:ascii="宋体" w:hAnsi="宋体"/>
        <w:sz w:val="26"/>
        <w:szCs w:val="26"/>
      </w:rPr>
      <w:fldChar w:fldCharType="begin"/>
    </w:r>
    <w:r>
      <w:rPr>
        <w:rStyle w:val="29"/>
        <w:rFonts w:ascii="宋体" w:hAnsi="宋体"/>
        <w:sz w:val="26"/>
        <w:szCs w:val="26"/>
      </w:rPr>
      <w:instrText xml:space="preserve">PAGE  </w:instrText>
    </w:r>
    <w:r>
      <w:rPr>
        <w:rFonts w:ascii="宋体" w:hAnsi="宋体"/>
        <w:sz w:val="26"/>
        <w:szCs w:val="26"/>
      </w:rPr>
      <w:fldChar w:fldCharType="separate"/>
    </w:r>
    <w:r>
      <w:rPr>
        <w:rStyle w:val="29"/>
        <w:rFonts w:ascii="宋体" w:hAnsi="宋体"/>
        <w:sz w:val="26"/>
        <w:szCs w:val="26"/>
      </w:rPr>
      <w:t>11</w:t>
    </w:r>
    <w:r>
      <w:rPr>
        <w:rFonts w:ascii="宋体" w:hAnsi="宋体"/>
        <w:sz w:val="26"/>
        <w:szCs w:val="26"/>
      </w:rPr>
      <w:fldChar w:fldCharType="end"/>
    </w:r>
    <w:r>
      <w:rPr>
        <w:rStyle w:val="29"/>
        <w:rFonts w:hint="eastAsia" w:ascii="宋体" w:hAnsi="宋体"/>
        <w:sz w:val="20"/>
      </w:rPr>
      <w:t xml:space="preserve">  </w:t>
    </w:r>
    <w:r>
      <w:rPr>
        <w:rStyle w:val="29"/>
        <w:rFonts w:hint="eastAsia" w:ascii="宋体" w:hAnsi="宋体"/>
        <w:sz w:val="28"/>
        <w:szCs w:val="28"/>
      </w:rPr>
      <w:t>—</w:t>
    </w:r>
  </w:p>
  <w:p>
    <w:pPr>
      <w:pStyle w:val="18"/>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9BFD8D"/>
    <w:multiLevelType w:val="multilevel"/>
    <w:tmpl w:val="EA9BFD8D"/>
    <w:lvl w:ilvl="0" w:tentative="0">
      <w:start w:val="1"/>
      <w:numFmt w:val="decimal"/>
      <w:suff w:val="space"/>
      <w:lvlText w:val="%1"/>
      <w:lvlJc w:val="center"/>
      <w:pPr>
        <w:ind w:left="0" w:firstLine="288"/>
      </w:pPr>
      <w:rPr>
        <w:rFonts w:hint="eastAsia" w:ascii="Times New Roman" w:hAnsi="Times New Roman"/>
        <w:b w:val="0"/>
        <w:bCs w:val="0"/>
        <w:i w:val="0"/>
        <w:iCs w:val="0"/>
        <w:caps w:val="0"/>
        <w:smallCaps w:val="0"/>
        <w:strike w:val="0"/>
        <w:dstrike w:val="0"/>
        <w:vanish w:val="0"/>
        <w:color w:val="000000"/>
        <w:spacing w:val="0"/>
        <w:position w:val="0"/>
        <w:u w:val="none"/>
        <w:vertAlign w:val="baseline"/>
      </w:rPr>
    </w:lvl>
    <w:lvl w:ilvl="1" w:tentative="0">
      <w:start w:val="1"/>
      <w:numFmt w:val="decimal"/>
      <w:suff w:val="space"/>
      <w:lvlText w:val="%1.%2"/>
      <w:lvlJc w:val="left"/>
      <w:pPr>
        <w:ind w:left="720" w:firstLine="0"/>
      </w:pPr>
      <w:rPr>
        <w:rFonts w:hint="eastAsia"/>
      </w:rPr>
    </w:lvl>
    <w:lvl w:ilvl="2" w:tentative="0">
      <w:start w:val="1"/>
      <w:numFmt w:val="decimal"/>
      <w:pStyle w:val="4"/>
      <w:suff w:val="space"/>
      <w:lvlText w:val="%1.%2.%3"/>
      <w:lvlJc w:val="left"/>
      <w:pPr>
        <w:ind w:left="0" w:firstLine="851"/>
      </w:pPr>
      <w:rPr>
        <w:rFonts w:hint="eastAsia"/>
      </w:rPr>
    </w:lvl>
    <w:lvl w:ilvl="3" w:tentative="0">
      <w:start w:val="1"/>
      <w:numFmt w:val="decimal"/>
      <w:suff w:val="space"/>
      <w:lvlText w:val="%1.%2.%3.%4"/>
      <w:lvlJc w:val="left"/>
      <w:pPr>
        <w:ind w:left="0" w:firstLine="1276"/>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jNmQxYjM4ZTM0ZjAwY2E5MzIxZDk1YTRhNGQ1OTQifQ=="/>
  </w:docVars>
  <w:rsids>
    <w:rsidRoot w:val="00172A27"/>
    <w:rsid w:val="000060B3"/>
    <w:rsid w:val="0004364B"/>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137D"/>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90F7E"/>
    <w:rsid w:val="015D1E09"/>
    <w:rsid w:val="01911D7A"/>
    <w:rsid w:val="01D87641"/>
    <w:rsid w:val="01FE01E6"/>
    <w:rsid w:val="02697903"/>
    <w:rsid w:val="02957268"/>
    <w:rsid w:val="02B5036A"/>
    <w:rsid w:val="02F96569"/>
    <w:rsid w:val="0368371A"/>
    <w:rsid w:val="03EA7B21"/>
    <w:rsid w:val="04D96728"/>
    <w:rsid w:val="04FC2D3E"/>
    <w:rsid w:val="05B9750E"/>
    <w:rsid w:val="05F83EAE"/>
    <w:rsid w:val="063E7D85"/>
    <w:rsid w:val="06855D6B"/>
    <w:rsid w:val="069A73F8"/>
    <w:rsid w:val="06F672B7"/>
    <w:rsid w:val="07293586"/>
    <w:rsid w:val="07295285"/>
    <w:rsid w:val="0742304A"/>
    <w:rsid w:val="07636392"/>
    <w:rsid w:val="07770C56"/>
    <w:rsid w:val="08CF7A00"/>
    <w:rsid w:val="092217DD"/>
    <w:rsid w:val="093A7294"/>
    <w:rsid w:val="0A263993"/>
    <w:rsid w:val="0A2D3AC2"/>
    <w:rsid w:val="0A554A0D"/>
    <w:rsid w:val="0A7F4AC6"/>
    <w:rsid w:val="0AA755DF"/>
    <w:rsid w:val="0B0256A9"/>
    <w:rsid w:val="0B120D44"/>
    <w:rsid w:val="0BD27BF6"/>
    <w:rsid w:val="0BE666D5"/>
    <w:rsid w:val="0C3B3C7D"/>
    <w:rsid w:val="0C3D6FF7"/>
    <w:rsid w:val="0CA36D33"/>
    <w:rsid w:val="0CAB2EAE"/>
    <w:rsid w:val="0CD83FBF"/>
    <w:rsid w:val="0D621C7D"/>
    <w:rsid w:val="0D917081"/>
    <w:rsid w:val="0E2C33F6"/>
    <w:rsid w:val="0E73034D"/>
    <w:rsid w:val="0ECB13AD"/>
    <w:rsid w:val="0F13775A"/>
    <w:rsid w:val="0F531273"/>
    <w:rsid w:val="0F5F45FE"/>
    <w:rsid w:val="0F9A112B"/>
    <w:rsid w:val="0FC951C7"/>
    <w:rsid w:val="106D2F64"/>
    <w:rsid w:val="10B63710"/>
    <w:rsid w:val="10F10820"/>
    <w:rsid w:val="111C2F7A"/>
    <w:rsid w:val="11665CA1"/>
    <w:rsid w:val="124B786C"/>
    <w:rsid w:val="12AD4EC5"/>
    <w:rsid w:val="13951726"/>
    <w:rsid w:val="143234B5"/>
    <w:rsid w:val="14396509"/>
    <w:rsid w:val="14DD2C3C"/>
    <w:rsid w:val="154212C6"/>
    <w:rsid w:val="158C5D04"/>
    <w:rsid w:val="16087E1D"/>
    <w:rsid w:val="176101D5"/>
    <w:rsid w:val="17701D14"/>
    <w:rsid w:val="17735226"/>
    <w:rsid w:val="18205BDA"/>
    <w:rsid w:val="189F624C"/>
    <w:rsid w:val="1A112900"/>
    <w:rsid w:val="1A1C66C0"/>
    <w:rsid w:val="1A42393B"/>
    <w:rsid w:val="1AAD45DE"/>
    <w:rsid w:val="1B046F80"/>
    <w:rsid w:val="1B3267B5"/>
    <w:rsid w:val="1B40161D"/>
    <w:rsid w:val="1B441827"/>
    <w:rsid w:val="1B441859"/>
    <w:rsid w:val="1B6606B1"/>
    <w:rsid w:val="1B8D3B96"/>
    <w:rsid w:val="1C5E7925"/>
    <w:rsid w:val="1CFD070F"/>
    <w:rsid w:val="1D5F6196"/>
    <w:rsid w:val="1D6132A5"/>
    <w:rsid w:val="1D8E56D5"/>
    <w:rsid w:val="1E7A43DA"/>
    <w:rsid w:val="1F1170AA"/>
    <w:rsid w:val="1FE7539E"/>
    <w:rsid w:val="2013773B"/>
    <w:rsid w:val="20671BE0"/>
    <w:rsid w:val="20963CB8"/>
    <w:rsid w:val="20A81A1B"/>
    <w:rsid w:val="20B07FB6"/>
    <w:rsid w:val="20B646FB"/>
    <w:rsid w:val="20C8678E"/>
    <w:rsid w:val="213B74B1"/>
    <w:rsid w:val="215A2310"/>
    <w:rsid w:val="21DE318A"/>
    <w:rsid w:val="21EF5B80"/>
    <w:rsid w:val="22576990"/>
    <w:rsid w:val="22AF0313"/>
    <w:rsid w:val="22F47480"/>
    <w:rsid w:val="237274BE"/>
    <w:rsid w:val="23D358DE"/>
    <w:rsid w:val="23DE1C48"/>
    <w:rsid w:val="240210CD"/>
    <w:rsid w:val="2472201A"/>
    <w:rsid w:val="24924C8F"/>
    <w:rsid w:val="24986340"/>
    <w:rsid w:val="24BF09F7"/>
    <w:rsid w:val="252D53FE"/>
    <w:rsid w:val="25EC2D81"/>
    <w:rsid w:val="25F13405"/>
    <w:rsid w:val="26273F84"/>
    <w:rsid w:val="26C25623"/>
    <w:rsid w:val="277057A2"/>
    <w:rsid w:val="2815192C"/>
    <w:rsid w:val="287B29ED"/>
    <w:rsid w:val="28D11356"/>
    <w:rsid w:val="28F0707A"/>
    <w:rsid w:val="29206EB8"/>
    <w:rsid w:val="292B55FA"/>
    <w:rsid w:val="29595666"/>
    <w:rsid w:val="29874881"/>
    <w:rsid w:val="29BE0F5E"/>
    <w:rsid w:val="29E325E0"/>
    <w:rsid w:val="2A452503"/>
    <w:rsid w:val="2AFC452C"/>
    <w:rsid w:val="2B767E1B"/>
    <w:rsid w:val="2BA936A8"/>
    <w:rsid w:val="2C315A5A"/>
    <w:rsid w:val="2C4B1C25"/>
    <w:rsid w:val="2D557714"/>
    <w:rsid w:val="2D9E56F5"/>
    <w:rsid w:val="2E015E40"/>
    <w:rsid w:val="2E0F2EE8"/>
    <w:rsid w:val="2E4F75CA"/>
    <w:rsid w:val="2E667F96"/>
    <w:rsid w:val="2E8226AB"/>
    <w:rsid w:val="2EE65343"/>
    <w:rsid w:val="2F6C009D"/>
    <w:rsid w:val="2FD065E6"/>
    <w:rsid w:val="2FD96870"/>
    <w:rsid w:val="303D3F26"/>
    <w:rsid w:val="30580BC9"/>
    <w:rsid w:val="30952C3A"/>
    <w:rsid w:val="30C34F3C"/>
    <w:rsid w:val="311E2ED7"/>
    <w:rsid w:val="315619EE"/>
    <w:rsid w:val="315C449C"/>
    <w:rsid w:val="31B82709"/>
    <w:rsid w:val="31D05482"/>
    <w:rsid w:val="32400B34"/>
    <w:rsid w:val="329E6876"/>
    <w:rsid w:val="32BD4D51"/>
    <w:rsid w:val="333015F2"/>
    <w:rsid w:val="334B6320"/>
    <w:rsid w:val="33D934D4"/>
    <w:rsid w:val="33FE2F6A"/>
    <w:rsid w:val="340E07E5"/>
    <w:rsid w:val="34235BF7"/>
    <w:rsid w:val="358C5FA8"/>
    <w:rsid w:val="35A47A71"/>
    <w:rsid w:val="35B779F7"/>
    <w:rsid w:val="35C15DF1"/>
    <w:rsid w:val="35D8592E"/>
    <w:rsid w:val="36074A7F"/>
    <w:rsid w:val="36923549"/>
    <w:rsid w:val="36B75FBF"/>
    <w:rsid w:val="36BD0C45"/>
    <w:rsid w:val="37B2054B"/>
    <w:rsid w:val="37E00298"/>
    <w:rsid w:val="38B302F9"/>
    <w:rsid w:val="38F12CD3"/>
    <w:rsid w:val="38F94775"/>
    <w:rsid w:val="392971ED"/>
    <w:rsid w:val="39325651"/>
    <w:rsid w:val="39326C29"/>
    <w:rsid w:val="39850C95"/>
    <w:rsid w:val="3A872856"/>
    <w:rsid w:val="3AEC4DFA"/>
    <w:rsid w:val="3B3763D1"/>
    <w:rsid w:val="3C122D1E"/>
    <w:rsid w:val="3C2F6E1E"/>
    <w:rsid w:val="3C4C61A9"/>
    <w:rsid w:val="3C4F64BA"/>
    <w:rsid w:val="3CDA245A"/>
    <w:rsid w:val="3CE13E2B"/>
    <w:rsid w:val="3D1E06B7"/>
    <w:rsid w:val="3EDA0523"/>
    <w:rsid w:val="3F03330E"/>
    <w:rsid w:val="3F10186A"/>
    <w:rsid w:val="3FAB12E5"/>
    <w:rsid w:val="4000434F"/>
    <w:rsid w:val="407A6407"/>
    <w:rsid w:val="41342557"/>
    <w:rsid w:val="41E27B86"/>
    <w:rsid w:val="4200449D"/>
    <w:rsid w:val="423A3BCC"/>
    <w:rsid w:val="42465F9D"/>
    <w:rsid w:val="424E57D2"/>
    <w:rsid w:val="42B26C49"/>
    <w:rsid w:val="42D63B90"/>
    <w:rsid w:val="43395DD6"/>
    <w:rsid w:val="433A6FE6"/>
    <w:rsid w:val="43480868"/>
    <w:rsid w:val="4350713C"/>
    <w:rsid w:val="436653E0"/>
    <w:rsid w:val="43C07B3E"/>
    <w:rsid w:val="43C4431A"/>
    <w:rsid w:val="44B951CC"/>
    <w:rsid w:val="44CD14E0"/>
    <w:rsid w:val="44F20B0B"/>
    <w:rsid w:val="452E5F4C"/>
    <w:rsid w:val="45612018"/>
    <w:rsid w:val="458946E9"/>
    <w:rsid w:val="45A47C0E"/>
    <w:rsid w:val="461A4084"/>
    <w:rsid w:val="46577FD6"/>
    <w:rsid w:val="468E2C43"/>
    <w:rsid w:val="46D955A7"/>
    <w:rsid w:val="47133957"/>
    <w:rsid w:val="471A1ED2"/>
    <w:rsid w:val="47731F69"/>
    <w:rsid w:val="479031FC"/>
    <w:rsid w:val="47A07E0C"/>
    <w:rsid w:val="47F90701"/>
    <w:rsid w:val="48665E06"/>
    <w:rsid w:val="4870272E"/>
    <w:rsid w:val="48B332EA"/>
    <w:rsid w:val="49134A25"/>
    <w:rsid w:val="493B24D6"/>
    <w:rsid w:val="49642599"/>
    <w:rsid w:val="49DC7715"/>
    <w:rsid w:val="4A023139"/>
    <w:rsid w:val="4A1B1222"/>
    <w:rsid w:val="4A3358C2"/>
    <w:rsid w:val="4A7A729B"/>
    <w:rsid w:val="4A7B576F"/>
    <w:rsid w:val="4AF561A9"/>
    <w:rsid w:val="4B623959"/>
    <w:rsid w:val="4BD559FD"/>
    <w:rsid w:val="4C4A0649"/>
    <w:rsid w:val="4C7E5ECA"/>
    <w:rsid w:val="4C876AA5"/>
    <w:rsid w:val="4D0E00FB"/>
    <w:rsid w:val="4D1242AB"/>
    <w:rsid w:val="4D176606"/>
    <w:rsid w:val="4D842ED5"/>
    <w:rsid w:val="4DB00284"/>
    <w:rsid w:val="4DDD15D0"/>
    <w:rsid w:val="4DEC4FB0"/>
    <w:rsid w:val="4DF868D7"/>
    <w:rsid w:val="4E075D8A"/>
    <w:rsid w:val="4EC00FAD"/>
    <w:rsid w:val="4EFB19B7"/>
    <w:rsid w:val="4F9843DC"/>
    <w:rsid w:val="4FC62A8C"/>
    <w:rsid w:val="4FE20F0D"/>
    <w:rsid w:val="4FE51552"/>
    <w:rsid w:val="501338B7"/>
    <w:rsid w:val="50504C4B"/>
    <w:rsid w:val="509C6E7C"/>
    <w:rsid w:val="5162104E"/>
    <w:rsid w:val="53A039CC"/>
    <w:rsid w:val="53A1505A"/>
    <w:rsid w:val="53B920DB"/>
    <w:rsid w:val="53C917D5"/>
    <w:rsid w:val="53E33234"/>
    <w:rsid w:val="54063E08"/>
    <w:rsid w:val="543437E8"/>
    <w:rsid w:val="54AD4E60"/>
    <w:rsid w:val="54F73313"/>
    <w:rsid w:val="54F80955"/>
    <w:rsid w:val="555170A7"/>
    <w:rsid w:val="5587536D"/>
    <w:rsid w:val="559B174B"/>
    <w:rsid w:val="55CE0CF4"/>
    <w:rsid w:val="56AA376D"/>
    <w:rsid w:val="56B22A9C"/>
    <w:rsid w:val="56BA1C13"/>
    <w:rsid w:val="57205993"/>
    <w:rsid w:val="57B72A76"/>
    <w:rsid w:val="57C3426C"/>
    <w:rsid w:val="57CE1F93"/>
    <w:rsid w:val="58142EF9"/>
    <w:rsid w:val="588743D1"/>
    <w:rsid w:val="5887701A"/>
    <w:rsid w:val="58AC522E"/>
    <w:rsid w:val="593E4A38"/>
    <w:rsid w:val="59C0439F"/>
    <w:rsid w:val="59E14E48"/>
    <w:rsid w:val="5ABE2233"/>
    <w:rsid w:val="5B463FFF"/>
    <w:rsid w:val="5B536380"/>
    <w:rsid w:val="5BDF5D95"/>
    <w:rsid w:val="5BFE7528"/>
    <w:rsid w:val="5E2467F1"/>
    <w:rsid w:val="5E7265E3"/>
    <w:rsid w:val="5EDB6308"/>
    <w:rsid w:val="5F1A2B43"/>
    <w:rsid w:val="5FB837BB"/>
    <w:rsid w:val="5FBE5CA1"/>
    <w:rsid w:val="5FD90725"/>
    <w:rsid w:val="605B1D7F"/>
    <w:rsid w:val="60B82DC8"/>
    <w:rsid w:val="60C26B4A"/>
    <w:rsid w:val="60CC405A"/>
    <w:rsid w:val="60D17E19"/>
    <w:rsid w:val="610A438C"/>
    <w:rsid w:val="61E215D8"/>
    <w:rsid w:val="621B3775"/>
    <w:rsid w:val="62364782"/>
    <w:rsid w:val="62BE2037"/>
    <w:rsid w:val="6394356A"/>
    <w:rsid w:val="63C61B2C"/>
    <w:rsid w:val="63D40BE9"/>
    <w:rsid w:val="64102431"/>
    <w:rsid w:val="64A5243A"/>
    <w:rsid w:val="64F531DE"/>
    <w:rsid w:val="65373578"/>
    <w:rsid w:val="65AB65E1"/>
    <w:rsid w:val="65D61F8E"/>
    <w:rsid w:val="671F124A"/>
    <w:rsid w:val="677A33C6"/>
    <w:rsid w:val="681F6961"/>
    <w:rsid w:val="682E002C"/>
    <w:rsid w:val="68610A2F"/>
    <w:rsid w:val="687A7C1E"/>
    <w:rsid w:val="68805514"/>
    <w:rsid w:val="689A216B"/>
    <w:rsid w:val="68E73675"/>
    <w:rsid w:val="69316E2F"/>
    <w:rsid w:val="694E2071"/>
    <w:rsid w:val="69766163"/>
    <w:rsid w:val="697A3B33"/>
    <w:rsid w:val="69D44760"/>
    <w:rsid w:val="6A520EC7"/>
    <w:rsid w:val="6AF87E20"/>
    <w:rsid w:val="6B063754"/>
    <w:rsid w:val="6B322639"/>
    <w:rsid w:val="6C472F0B"/>
    <w:rsid w:val="6C636C38"/>
    <w:rsid w:val="6CCC0E67"/>
    <w:rsid w:val="6DB34098"/>
    <w:rsid w:val="6DB545B6"/>
    <w:rsid w:val="6DE02FB4"/>
    <w:rsid w:val="6E514CED"/>
    <w:rsid w:val="6EA60F24"/>
    <w:rsid w:val="6EAB138B"/>
    <w:rsid w:val="6EB563D5"/>
    <w:rsid w:val="6ED92677"/>
    <w:rsid w:val="6F0847A7"/>
    <w:rsid w:val="6F225983"/>
    <w:rsid w:val="6F6611CD"/>
    <w:rsid w:val="6FAB6E59"/>
    <w:rsid w:val="6FFC5590"/>
    <w:rsid w:val="706D1DD0"/>
    <w:rsid w:val="70856B87"/>
    <w:rsid w:val="70C22430"/>
    <w:rsid w:val="70D527EE"/>
    <w:rsid w:val="70EC6649"/>
    <w:rsid w:val="710277B2"/>
    <w:rsid w:val="715B5300"/>
    <w:rsid w:val="71D27F8A"/>
    <w:rsid w:val="7201068B"/>
    <w:rsid w:val="72215470"/>
    <w:rsid w:val="723C7ED1"/>
    <w:rsid w:val="72553024"/>
    <w:rsid w:val="726D5078"/>
    <w:rsid w:val="72A21CA3"/>
    <w:rsid w:val="73122968"/>
    <w:rsid w:val="731F5D5E"/>
    <w:rsid w:val="73C51AD5"/>
    <w:rsid w:val="741E793C"/>
    <w:rsid w:val="745E3944"/>
    <w:rsid w:val="75007B20"/>
    <w:rsid w:val="76030AA7"/>
    <w:rsid w:val="7635099D"/>
    <w:rsid w:val="77762421"/>
    <w:rsid w:val="77B56B1F"/>
    <w:rsid w:val="77C417EA"/>
    <w:rsid w:val="780F09F4"/>
    <w:rsid w:val="78780324"/>
    <w:rsid w:val="78A90480"/>
    <w:rsid w:val="78C863E2"/>
    <w:rsid w:val="79283FAC"/>
    <w:rsid w:val="79316409"/>
    <w:rsid w:val="79391C31"/>
    <w:rsid w:val="7A075DBA"/>
    <w:rsid w:val="7A0C5C54"/>
    <w:rsid w:val="7A364017"/>
    <w:rsid w:val="7A8265E1"/>
    <w:rsid w:val="7B686D42"/>
    <w:rsid w:val="7B841746"/>
    <w:rsid w:val="7C6C5AC7"/>
    <w:rsid w:val="7CC6544B"/>
    <w:rsid w:val="7D0239FF"/>
    <w:rsid w:val="7D5E40CD"/>
    <w:rsid w:val="7DC1271D"/>
    <w:rsid w:val="7DCD56F2"/>
    <w:rsid w:val="7DF54DDA"/>
    <w:rsid w:val="7E540388"/>
    <w:rsid w:val="7EB559BB"/>
    <w:rsid w:val="7F001CE7"/>
    <w:rsid w:val="7F6A2B47"/>
    <w:rsid w:val="7F6C0890"/>
    <w:rsid w:val="7FE47E50"/>
    <w:rsid w:val="7FEE5F5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uiPriority w:val="0"/>
    <w:pPr>
      <w:keepNext/>
      <w:spacing w:line="420" w:lineRule="exact"/>
      <w:jc w:val="center"/>
      <w:outlineLvl w:val="1"/>
    </w:pPr>
    <w:rPr>
      <w:sz w:val="24"/>
    </w:rPr>
  </w:style>
  <w:style w:type="paragraph" w:styleId="4">
    <w:name w:val="heading 3"/>
    <w:basedOn w:val="1"/>
    <w:next w:val="1"/>
    <w:unhideWhenUsed/>
    <w:qFormat/>
    <w:uiPriority w:val="0"/>
    <w:pPr>
      <w:keepNext/>
      <w:keepLines/>
      <w:numPr>
        <w:ilvl w:val="2"/>
        <w:numId w:val="1"/>
      </w:numPr>
      <w:spacing w:before="260" w:beforeLines="0" w:beforeAutospacing="0" w:after="260" w:afterLines="0" w:afterAutospacing="0" w:line="413" w:lineRule="auto"/>
      <w:ind w:firstLine="851"/>
      <w:outlineLvl w:val="2"/>
    </w:pPr>
    <w:rPr>
      <w:b/>
      <w:sz w:val="32"/>
    </w:rPr>
  </w:style>
  <w:style w:type="paragraph" w:styleId="5">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6">
    <w:name w:val="Note Heading"/>
    <w:basedOn w:val="1"/>
    <w:next w:val="1"/>
    <w:unhideWhenUsed/>
    <w:qFormat/>
    <w:uiPriority w:val="0"/>
    <w:pPr>
      <w:snapToGrid w:val="0"/>
      <w:ind w:firstLine="482"/>
      <w:jc w:val="center"/>
    </w:pPr>
    <w:rPr>
      <w:kern w:val="2"/>
      <w:szCs w:val="24"/>
    </w:rPr>
  </w:style>
  <w:style w:type="paragraph" w:styleId="7">
    <w:name w:val="Normal Indent"/>
    <w:basedOn w:val="1"/>
    <w:next w:val="1"/>
    <w:qFormat/>
    <w:uiPriority w:val="0"/>
    <w:pPr>
      <w:ind w:firstLine="420" w:firstLineChars="200"/>
    </w:pPr>
    <w:rPr>
      <w:szCs w:val="20"/>
    </w:rPr>
  </w:style>
  <w:style w:type="paragraph" w:styleId="8">
    <w:name w:val="caption"/>
    <w:basedOn w:val="1"/>
    <w:next w:val="1"/>
    <w:qFormat/>
    <w:uiPriority w:val="0"/>
    <w:rPr>
      <w:rFonts w:ascii="Arial" w:hAnsi="Arial" w:eastAsia="黑体" w:cs="Arial"/>
      <w:sz w:val="20"/>
    </w:rPr>
  </w:style>
  <w:style w:type="paragraph" w:styleId="9">
    <w:name w:val="annotation text"/>
    <w:basedOn w:val="1"/>
    <w:link w:val="32"/>
    <w:semiHidden/>
    <w:qFormat/>
    <w:uiPriority w:val="0"/>
    <w:pPr>
      <w:jc w:val="left"/>
    </w:pPr>
    <w:rPr>
      <w:kern w:val="0"/>
      <w:sz w:val="24"/>
      <w:szCs w:val="20"/>
    </w:rPr>
  </w:style>
  <w:style w:type="paragraph" w:styleId="10">
    <w:name w:val="Body Text"/>
    <w:basedOn w:val="1"/>
    <w:link w:val="31"/>
    <w:qFormat/>
    <w:uiPriority w:val="0"/>
    <w:pPr>
      <w:widowControl/>
      <w:snapToGrid w:val="0"/>
      <w:spacing w:before="60" w:after="160" w:line="259" w:lineRule="auto"/>
      <w:ind w:right="113"/>
    </w:pPr>
    <w:rPr>
      <w:kern w:val="0"/>
      <w:sz w:val="18"/>
      <w:szCs w:val="20"/>
    </w:rPr>
  </w:style>
  <w:style w:type="paragraph" w:styleId="11">
    <w:name w:val="Body Text Indent"/>
    <w:basedOn w:val="1"/>
    <w:next w:val="12"/>
    <w:link w:val="33"/>
    <w:qFormat/>
    <w:uiPriority w:val="0"/>
    <w:pPr>
      <w:spacing w:after="120"/>
      <w:ind w:left="420" w:leftChars="200"/>
    </w:pPr>
    <w:rPr>
      <w:kern w:val="0"/>
      <w:sz w:val="24"/>
      <w:szCs w:val="20"/>
    </w:rPr>
  </w:style>
  <w:style w:type="paragraph" w:styleId="12">
    <w:name w:val="header"/>
    <w:basedOn w:val="1"/>
    <w:next w:val="13"/>
    <w:link w:val="37"/>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3">
    <w:name w:val="样式5"/>
    <w:basedOn w:val="1"/>
    <w:qFormat/>
    <w:uiPriority w:val="0"/>
    <w:pPr>
      <w:snapToGrid w:val="0"/>
      <w:spacing w:line="360" w:lineRule="auto"/>
      <w:ind w:firstLine="510"/>
    </w:pPr>
    <w:rPr>
      <w:sz w:val="24"/>
    </w:rPr>
  </w:style>
  <w:style w:type="paragraph" w:styleId="14">
    <w:name w:val="Plain Text"/>
    <w:basedOn w:val="1"/>
    <w:qFormat/>
    <w:uiPriority w:val="0"/>
    <w:rPr>
      <w:rFonts w:ascii="宋体" w:hAnsi="Courier New"/>
      <w:kern w:val="0"/>
      <w:sz w:val="20"/>
      <w:szCs w:val="21"/>
    </w:rPr>
  </w:style>
  <w:style w:type="paragraph" w:styleId="15">
    <w:name w:val="Date"/>
    <w:basedOn w:val="1"/>
    <w:next w:val="1"/>
    <w:link w:val="34"/>
    <w:qFormat/>
    <w:uiPriority w:val="0"/>
    <w:pPr>
      <w:ind w:left="100" w:leftChars="2500"/>
    </w:pPr>
    <w:rPr>
      <w:kern w:val="0"/>
      <w:sz w:val="24"/>
      <w:szCs w:val="20"/>
    </w:rPr>
  </w:style>
  <w:style w:type="paragraph" w:styleId="16">
    <w:name w:val="Body Text Indent 2"/>
    <w:basedOn w:val="1"/>
    <w:next w:val="1"/>
    <w:qFormat/>
    <w:uiPriority w:val="0"/>
    <w:pPr>
      <w:spacing w:after="120" w:line="480" w:lineRule="auto"/>
      <w:ind w:left="420" w:leftChars="200"/>
    </w:pPr>
  </w:style>
  <w:style w:type="paragraph" w:styleId="17">
    <w:name w:val="Balloon Text"/>
    <w:basedOn w:val="1"/>
    <w:link w:val="35"/>
    <w:semiHidden/>
    <w:qFormat/>
    <w:uiPriority w:val="0"/>
    <w:rPr>
      <w:kern w:val="0"/>
      <w:sz w:val="18"/>
      <w:szCs w:val="20"/>
    </w:rPr>
  </w:style>
  <w:style w:type="paragraph" w:styleId="18">
    <w:name w:val="footer"/>
    <w:basedOn w:val="1"/>
    <w:link w:val="36"/>
    <w:qFormat/>
    <w:uiPriority w:val="99"/>
    <w:pPr>
      <w:tabs>
        <w:tab w:val="center" w:pos="4153"/>
        <w:tab w:val="right" w:pos="8306"/>
      </w:tabs>
      <w:snapToGrid w:val="0"/>
      <w:jc w:val="left"/>
    </w:pPr>
    <w:rPr>
      <w:kern w:val="0"/>
      <w:sz w:val="18"/>
      <w:szCs w:val="20"/>
    </w:rPr>
  </w:style>
  <w:style w:type="paragraph" w:styleId="19">
    <w:name w:val="toc 1"/>
    <w:basedOn w:val="1"/>
    <w:next w:val="1"/>
    <w:qFormat/>
    <w:uiPriority w:val="0"/>
  </w:style>
  <w:style w:type="paragraph" w:styleId="20">
    <w:name w:val="Body Text 2"/>
    <w:basedOn w:val="1"/>
    <w:unhideWhenUsed/>
    <w:qFormat/>
    <w:uiPriority w:val="99"/>
    <w:pPr>
      <w:spacing w:after="120" w:line="480" w:lineRule="auto"/>
    </w:pPr>
  </w:style>
  <w:style w:type="paragraph" w:styleId="21">
    <w:name w:val="Normal (Web)"/>
    <w:basedOn w:val="1"/>
    <w:link w:val="38"/>
    <w:qFormat/>
    <w:uiPriority w:val="0"/>
    <w:pPr>
      <w:widowControl/>
      <w:spacing w:before="100" w:beforeAutospacing="1" w:after="100" w:afterAutospacing="1"/>
      <w:jc w:val="left"/>
    </w:pPr>
    <w:rPr>
      <w:rFonts w:ascii="宋体" w:hAnsi="宋体"/>
      <w:kern w:val="0"/>
      <w:sz w:val="24"/>
      <w:szCs w:val="20"/>
    </w:rPr>
  </w:style>
  <w:style w:type="paragraph" w:styleId="22">
    <w:name w:val="annotation subject"/>
    <w:basedOn w:val="9"/>
    <w:next w:val="9"/>
    <w:link w:val="39"/>
    <w:semiHidden/>
    <w:qFormat/>
    <w:uiPriority w:val="0"/>
    <w:rPr>
      <w:b/>
      <w:sz w:val="24"/>
      <w:szCs w:val="20"/>
    </w:rPr>
  </w:style>
  <w:style w:type="paragraph" w:styleId="23">
    <w:name w:val="Body Text First Indent"/>
    <w:basedOn w:val="10"/>
    <w:next w:val="1"/>
    <w:qFormat/>
    <w:uiPriority w:val="0"/>
    <w:pPr>
      <w:spacing w:after="120"/>
      <w:ind w:firstLine="420" w:firstLineChars="100"/>
    </w:pPr>
    <w:rPr>
      <w:sz w:val="21"/>
    </w:rPr>
  </w:style>
  <w:style w:type="paragraph" w:styleId="24">
    <w:name w:val="Body Text First Indent 2"/>
    <w:basedOn w:val="11"/>
    <w:next w:val="1"/>
    <w:qFormat/>
    <w:uiPriority w:val="0"/>
    <w:pPr>
      <w:kinsoku/>
      <w:overflowPunct/>
      <w:spacing w:after="120" w:afterLines="0" w:line="240" w:lineRule="auto"/>
      <w:ind w:left="420" w:leftChars="200" w:firstLine="420"/>
    </w:pPr>
    <w:rPr>
      <w:rFonts w:ascii="Times New Roman"/>
    </w:r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basedOn w:val="27"/>
    <w:qFormat/>
    <w:uiPriority w:val="0"/>
  </w:style>
  <w:style w:type="character" w:styleId="30">
    <w:name w:val="annotation reference"/>
    <w:semiHidden/>
    <w:qFormat/>
    <w:uiPriority w:val="0"/>
    <w:rPr>
      <w:sz w:val="21"/>
    </w:rPr>
  </w:style>
  <w:style w:type="character" w:customStyle="1" w:styleId="31">
    <w:name w:val="正文文本 Char"/>
    <w:link w:val="10"/>
    <w:qFormat/>
    <w:uiPriority w:val="0"/>
    <w:rPr>
      <w:sz w:val="18"/>
    </w:rPr>
  </w:style>
  <w:style w:type="character" w:customStyle="1" w:styleId="32">
    <w:name w:val="批注文字 Char"/>
    <w:link w:val="9"/>
    <w:qFormat/>
    <w:uiPriority w:val="0"/>
    <w:rPr>
      <w:rFonts w:ascii="Times New Roman" w:hAnsi="Times New Roman" w:eastAsia="宋体"/>
      <w:sz w:val="24"/>
    </w:rPr>
  </w:style>
  <w:style w:type="character" w:customStyle="1" w:styleId="33">
    <w:name w:val="正文文本缩进 Char"/>
    <w:link w:val="11"/>
    <w:semiHidden/>
    <w:qFormat/>
    <w:uiPriority w:val="0"/>
    <w:rPr>
      <w:rFonts w:ascii="Times New Roman" w:hAnsi="Times New Roman" w:eastAsia="宋体"/>
      <w:sz w:val="24"/>
    </w:rPr>
  </w:style>
  <w:style w:type="character" w:customStyle="1" w:styleId="34">
    <w:name w:val="日期 Char"/>
    <w:link w:val="15"/>
    <w:qFormat/>
    <w:uiPriority w:val="0"/>
    <w:rPr>
      <w:rFonts w:ascii="Times New Roman" w:hAnsi="Times New Roman" w:eastAsia="宋体"/>
      <w:sz w:val="24"/>
    </w:rPr>
  </w:style>
  <w:style w:type="character" w:customStyle="1" w:styleId="35">
    <w:name w:val="批注框文本 Char"/>
    <w:link w:val="17"/>
    <w:semiHidden/>
    <w:qFormat/>
    <w:uiPriority w:val="0"/>
    <w:rPr>
      <w:rFonts w:ascii="Times New Roman" w:hAnsi="Times New Roman" w:eastAsia="宋体"/>
      <w:sz w:val="18"/>
    </w:rPr>
  </w:style>
  <w:style w:type="character" w:customStyle="1" w:styleId="36">
    <w:name w:val="页脚 Char"/>
    <w:link w:val="18"/>
    <w:qFormat/>
    <w:uiPriority w:val="99"/>
    <w:rPr>
      <w:sz w:val="18"/>
    </w:rPr>
  </w:style>
  <w:style w:type="character" w:customStyle="1" w:styleId="37">
    <w:name w:val="页眉 Char"/>
    <w:link w:val="12"/>
    <w:qFormat/>
    <w:uiPriority w:val="0"/>
    <w:rPr>
      <w:sz w:val="18"/>
    </w:rPr>
  </w:style>
  <w:style w:type="character" w:customStyle="1" w:styleId="38">
    <w:name w:val="普通(网站) Char"/>
    <w:link w:val="21"/>
    <w:qFormat/>
    <w:uiPriority w:val="0"/>
    <w:rPr>
      <w:rFonts w:ascii="宋体" w:hAnsi="宋体" w:eastAsia="宋体"/>
      <w:sz w:val="24"/>
    </w:rPr>
  </w:style>
  <w:style w:type="character" w:customStyle="1" w:styleId="39">
    <w:name w:val="批注主题 Char"/>
    <w:link w:val="22"/>
    <w:semiHidden/>
    <w:qFormat/>
    <w:uiPriority w:val="0"/>
    <w:rPr>
      <w:rFonts w:ascii="Times New Roman" w:hAnsi="Times New Roman" w:eastAsia="宋体"/>
      <w:b/>
      <w:kern w:val="2"/>
      <w:sz w:val="24"/>
    </w:rPr>
  </w:style>
  <w:style w:type="paragraph" w:customStyle="1" w:styleId="40">
    <w:name w:val="样式 正文文本缩进 + 行距: 1.5 倍行距"/>
    <w:basedOn w:val="11"/>
    <w:qFormat/>
    <w:uiPriority w:val="0"/>
    <w:pPr>
      <w:spacing w:before="0" w:after="120"/>
      <w:ind w:left="90" w:leftChars="32" w:firstLine="560" w:firstLineChars="200"/>
    </w:pPr>
    <w:rPr>
      <w:rFonts w:ascii="Times New Roman" w:cs="宋体"/>
    </w:rPr>
  </w:style>
  <w:style w:type="paragraph" w:customStyle="1" w:styleId="41">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szCs w:val="24"/>
    </w:rPr>
  </w:style>
  <w:style w:type="character" w:customStyle="1" w:styleId="42">
    <w:name w:val="font01"/>
    <w:basedOn w:val="27"/>
    <w:qFormat/>
    <w:uiPriority w:val="0"/>
    <w:rPr>
      <w:rFonts w:hint="eastAsia" w:ascii="宋体" w:hAnsi="宋体" w:eastAsia="宋体" w:cs="宋体"/>
      <w:color w:val="000000"/>
      <w:sz w:val="22"/>
      <w:szCs w:val="22"/>
      <w:u w:val="none"/>
    </w:rPr>
  </w:style>
  <w:style w:type="character" w:customStyle="1" w:styleId="43">
    <w:name w:val="表格 Char"/>
    <w:link w:val="44"/>
    <w:qFormat/>
    <w:uiPriority w:val="0"/>
    <w:rPr>
      <w:rFonts w:ascii="宋体"/>
      <w:sz w:val="21"/>
    </w:rPr>
  </w:style>
  <w:style w:type="paragraph" w:customStyle="1" w:styleId="44">
    <w:name w:val="表格"/>
    <w:basedOn w:val="7"/>
    <w:next w:val="1"/>
    <w:link w:val="43"/>
    <w:qFormat/>
    <w:uiPriority w:val="0"/>
    <w:pPr>
      <w:adjustRightInd w:val="0"/>
      <w:snapToGrid w:val="0"/>
      <w:spacing w:beforeLines="10" w:afterLines="10" w:line="259" w:lineRule="auto"/>
      <w:jc w:val="center"/>
    </w:pPr>
    <w:rPr>
      <w:rFonts w:ascii="宋体"/>
      <w:kern w:val="0"/>
      <w:szCs w:val="20"/>
    </w:rPr>
  </w:style>
  <w:style w:type="character" w:customStyle="1" w:styleId="45">
    <w:name w:val="日期 字符"/>
    <w:semiHidden/>
    <w:qFormat/>
    <w:uiPriority w:val="0"/>
    <w:rPr>
      <w:rFonts w:ascii="Times New Roman" w:hAnsi="Times New Roman" w:eastAsia="宋体"/>
      <w:sz w:val="24"/>
    </w:rPr>
  </w:style>
  <w:style w:type="character" w:customStyle="1" w:styleId="46">
    <w:name w:val="正文文本 字符1"/>
    <w:semiHidden/>
    <w:qFormat/>
    <w:uiPriority w:val="0"/>
    <w:rPr>
      <w:rFonts w:ascii="Times New Roman" w:hAnsi="Times New Roman" w:eastAsia="宋体"/>
      <w:sz w:val="24"/>
    </w:rPr>
  </w:style>
  <w:style w:type="character" w:customStyle="1" w:styleId="47">
    <w:name w:val="批注文字 字符1"/>
    <w:semiHidden/>
    <w:qFormat/>
    <w:uiPriority w:val="0"/>
    <w:rPr>
      <w:rFonts w:ascii="Times New Roman" w:hAnsi="Times New Roman" w:eastAsia="宋体"/>
      <w:sz w:val="24"/>
    </w:rPr>
  </w:style>
  <w:style w:type="character" w:customStyle="1" w:styleId="48">
    <w:name w:val="页脚 字符"/>
    <w:basedOn w:val="27"/>
    <w:qFormat/>
    <w:uiPriority w:val="99"/>
  </w:style>
  <w:style w:type="paragraph" w:customStyle="1" w:styleId="49">
    <w:name w:val="0正文"/>
    <w:unhideWhenUsed/>
    <w:qFormat/>
    <w:uiPriority w:val="0"/>
    <w:pPr>
      <w:widowControl w:val="0"/>
      <w:spacing w:line="360" w:lineRule="auto"/>
      <w:ind w:firstLine="720" w:firstLineChars="200"/>
    </w:pPr>
    <w:rPr>
      <w:rFonts w:ascii="Calibri" w:hAnsi="Calibri" w:eastAsia="宋体" w:cs="Times New Roman"/>
      <w:sz w:val="24"/>
      <w:lang w:val="en-US" w:eastAsia="zh-CN" w:bidi="ar-SA"/>
    </w:rPr>
  </w:style>
  <w:style w:type="paragraph" w:customStyle="1" w:styleId="50">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1">
    <w:name w:val="纯文本1"/>
    <w:basedOn w:val="1"/>
    <w:next w:val="1"/>
    <w:qFormat/>
    <w:uiPriority w:val="0"/>
    <w:pPr>
      <w:adjustRightInd w:val="0"/>
    </w:pPr>
    <w:rPr>
      <w:rFonts w:ascii="宋体" w:hAnsi="Courier New"/>
      <w:szCs w:val="20"/>
    </w:rPr>
  </w:style>
  <w:style w:type="paragraph" w:customStyle="1" w:styleId="52">
    <w:name w:val="（正文）"/>
    <w:basedOn w:val="14"/>
    <w:qFormat/>
    <w:uiPriority w:val="0"/>
    <w:pPr>
      <w:adjustRightInd w:val="0"/>
      <w:snapToGrid w:val="0"/>
      <w:spacing w:line="360" w:lineRule="auto"/>
      <w:ind w:firstLine="200" w:firstLineChars="200"/>
    </w:pPr>
    <w:rPr>
      <w:rFonts w:ascii="Times New Roman" w:hAnsi="Times New Roman"/>
      <w:sz w:val="24"/>
      <w:szCs w:val="24"/>
    </w:rPr>
  </w:style>
  <w:style w:type="paragraph" w:customStyle="1" w:styleId="53">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4">
    <w:name w:val="样式 表格 32 + 首行缩进:  2 字符"/>
    <w:basedOn w:val="1"/>
    <w:qFormat/>
    <w:uiPriority w:val="0"/>
    <w:pPr>
      <w:autoSpaceDE w:val="0"/>
      <w:autoSpaceDN w:val="0"/>
      <w:spacing w:line="0" w:lineRule="atLeast"/>
      <w:jc w:val="center"/>
    </w:pPr>
    <w:rPr>
      <w:rFonts w:cs="宋体"/>
      <w:szCs w:val="21"/>
    </w:rPr>
  </w:style>
  <w:style w:type="paragraph" w:customStyle="1" w:styleId="55">
    <w:name w:val="WPS Plain"/>
    <w:qFormat/>
    <w:uiPriority w:val="0"/>
    <w:rPr>
      <w:rFonts w:ascii="Times New Roman" w:hAnsi="Times New Roman" w:eastAsia="宋体" w:cs="Times New Roman"/>
      <w:kern w:val="0"/>
      <w:sz w:val="21"/>
      <w:szCs w:val="22"/>
      <w:lang w:val="en-US" w:eastAsia="zh-CN" w:bidi="ar-SA"/>
    </w:rPr>
  </w:style>
  <w:style w:type="paragraph" w:customStyle="1" w:styleId="56">
    <w:name w:val="表格内容"/>
    <w:basedOn w:val="57"/>
    <w:next w:val="1"/>
    <w:qFormat/>
    <w:uiPriority w:val="0"/>
    <w:pPr>
      <w:spacing w:line="240" w:lineRule="auto"/>
      <w:ind w:firstLine="0" w:firstLineChars="0"/>
      <w:jc w:val="center"/>
    </w:pPr>
    <w:rPr>
      <w:rFonts w:ascii="Times New Roman" w:hAnsi="Times New Roman"/>
      <w:bCs/>
      <w:sz w:val="21"/>
    </w:rPr>
  </w:style>
  <w:style w:type="paragraph" w:customStyle="1" w:styleId="57">
    <w:name w:val="表格文字"/>
    <w:basedOn w:val="23"/>
    <w:next w:val="1"/>
    <w:qFormat/>
    <w:uiPriority w:val="0"/>
    <w:pPr>
      <w:adjustRightInd w:val="0"/>
      <w:snapToGrid w:val="0"/>
      <w:spacing w:after="0"/>
      <w:ind w:firstLine="0" w:firstLineChars="0"/>
      <w:jc w:val="center"/>
    </w:pPr>
    <w:rPr>
      <w:szCs w:val="20"/>
    </w:rPr>
  </w:style>
  <w:style w:type="paragraph" w:customStyle="1" w:styleId="58">
    <w:name w:val="正文 首行缩进:  2 字符"/>
    <w:basedOn w:val="1"/>
    <w:qFormat/>
    <w:uiPriority w:val="0"/>
    <w:pPr>
      <w:ind w:firstLine="579" w:firstLineChars="200"/>
    </w:pPr>
    <w:rPr>
      <w:sz w:val="28"/>
      <w:szCs w:val="20"/>
    </w:rPr>
  </w:style>
  <w:style w:type="paragraph" w:customStyle="1" w:styleId="59">
    <w:name w:val="环评正文文字"/>
    <w:basedOn w:val="23"/>
    <w:next w:val="10"/>
    <w:qFormat/>
    <w:uiPriority w:val="0"/>
    <w:pPr>
      <w:ind w:firstLine="480" w:firstLineChars="200"/>
    </w:pPr>
    <w:rPr>
      <w:kern w:val="0"/>
    </w:rPr>
  </w:style>
  <w:style w:type="paragraph" w:customStyle="1" w:styleId="60">
    <w:name w:val="环评正文"/>
    <w:basedOn w:val="1"/>
    <w:qFormat/>
    <w:uiPriority w:val="0"/>
    <w:pPr>
      <w:spacing w:beforeLines="30" w:line="360" w:lineRule="auto"/>
      <w:ind w:firstLine="480" w:firstLineChars="200"/>
    </w:pPr>
    <w:rPr>
      <w:kern w:val="0"/>
      <w:sz w:val="24"/>
      <w:szCs w:val="20"/>
    </w:rPr>
  </w:style>
  <w:style w:type="paragraph" w:customStyle="1" w:styleId="61">
    <w:name w:val="111正文格式111"/>
    <w:basedOn w:val="62"/>
    <w:qFormat/>
    <w:uiPriority w:val="0"/>
    <w:pPr>
      <w:adjustRightInd w:val="0"/>
      <w:snapToGrid w:val="0"/>
    </w:pPr>
    <w:rPr>
      <w:bCs/>
    </w:rPr>
  </w:style>
  <w:style w:type="paragraph" w:customStyle="1" w:styleId="62">
    <w:name w:val="正文的格式"/>
    <w:basedOn w:val="1"/>
    <w:qFormat/>
    <w:uiPriority w:val="0"/>
    <w:pPr>
      <w:spacing w:line="360" w:lineRule="auto"/>
      <w:ind w:firstLine="200" w:firstLineChars="200"/>
    </w:pPr>
    <w:rPr>
      <w:rFonts w:ascii="Times New Roman" w:hAnsi="Times New Roman"/>
      <w:sz w:val="24"/>
      <w:szCs w:val="24"/>
    </w:rPr>
  </w:style>
  <w:style w:type="paragraph" w:customStyle="1" w:styleId="6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4">
    <w:name w:val="S报告正文"/>
    <w:basedOn w:val="1"/>
    <w:qFormat/>
    <w:uiPriority w:val="0"/>
    <w:pPr>
      <w:adjustRightInd w:val="0"/>
      <w:snapToGrid w:val="0"/>
      <w:spacing w:line="480" w:lineRule="exact"/>
      <w:ind w:firstLine="510"/>
      <w:jc w:val="left"/>
    </w:pPr>
    <w:rPr>
      <w:sz w:val="24"/>
    </w:rPr>
  </w:style>
  <w:style w:type="paragraph" w:customStyle="1" w:styleId="65">
    <w:name w:val="表格的字"/>
    <w:next w:val="1"/>
    <w:qFormat/>
    <w:uiPriority w:val="0"/>
    <w:pPr>
      <w:jc w:val="center"/>
    </w:pPr>
    <w:rPr>
      <w:rFonts w:ascii="Calibri" w:hAnsi="Calibri" w:eastAsia="宋体" w:cs="Times New Roman"/>
      <w:kern w:val="2"/>
      <w:sz w:val="21"/>
      <w:szCs w:val="21"/>
      <w:lang w:val="en-US" w:eastAsia="zh-CN" w:bidi="ar-SA"/>
    </w:rPr>
  </w:style>
  <w:style w:type="paragraph" w:customStyle="1" w:styleId="66">
    <w:name w:val="【正文】"/>
    <w:basedOn w:val="1"/>
    <w:qFormat/>
    <w:uiPriority w:val="0"/>
    <w:pPr>
      <w:spacing w:line="440" w:lineRule="exact"/>
      <w:ind w:firstLine="544" w:firstLineChars="200"/>
    </w:pPr>
    <w:rPr>
      <w:rFonts w:ascii="Calibri"/>
      <w:spacing w:val="16"/>
    </w:rPr>
  </w:style>
  <w:style w:type="paragraph" w:customStyle="1" w:styleId="67">
    <w:name w:val="正文（首行缩进两字） Char"/>
    <w:basedOn w:val="1"/>
    <w:qFormat/>
    <w:uiPriority w:val="0"/>
    <w:pPr>
      <w:widowControl/>
      <w:spacing w:line="360" w:lineRule="auto"/>
      <w:ind w:firstLine="420"/>
    </w:pPr>
    <w:rPr>
      <w:kern w:val="0"/>
      <w:sz w:val="24"/>
      <w:szCs w:val="20"/>
    </w:rPr>
  </w:style>
  <w:style w:type="paragraph" w:customStyle="1" w:styleId="68">
    <w:name w:val="Default"/>
    <w:basedOn w:val="53"/>
    <w:next w:val="24"/>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69">
    <w:name w:val="样式 样式 首行缩进:  2 字符 + 首行缩进:  2 字符"/>
    <w:basedOn w:val="1"/>
    <w:next w:val="19"/>
    <w:qFormat/>
    <w:uiPriority w:val="0"/>
    <w:pPr>
      <w:snapToGrid w:val="0"/>
      <w:spacing w:line="360" w:lineRule="auto"/>
      <w:ind w:firstLine="560" w:firstLineChars="200"/>
    </w:pPr>
    <w:rPr>
      <w:spacing w:val="0"/>
      <w:sz w:val="28"/>
    </w:rPr>
  </w:style>
  <w:style w:type="paragraph" w:customStyle="1" w:styleId="70">
    <w:name w:val="样式1"/>
    <w:next w:val="1"/>
    <w:qFormat/>
    <w:uiPriority w:val="0"/>
    <w:pPr>
      <w:widowControl w:val="0"/>
      <w:spacing w:beforeLines="50" w:line="440" w:lineRule="exact"/>
      <w:ind w:left="100" w:leftChars="100"/>
      <w:jc w:val="both"/>
    </w:pPr>
    <w:rPr>
      <w:rFonts w:ascii="宋体" w:hAnsi="宋体" w:eastAsia="宋体" w:cs="Times New Roman"/>
      <w:kern w:val="2"/>
      <w:sz w:val="21"/>
      <w:szCs w:val="20"/>
      <w:lang w:val="en-US" w:eastAsia="zh-CN" w:bidi="ar-SA"/>
    </w:rPr>
  </w:style>
  <w:style w:type="paragraph" w:styleId="71">
    <w:name w:val="List Paragraph"/>
    <w:basedOn w:val="1"/>
    <w:qFormat/>
    <w:uiPriority w:val="34"/>
    <w:pPr>
      <w:ind w:firstLine="420" w:firstLineChars="200"/>
    </w:pPr>
  </w:style>
  <w:style w:type="paragraph" w:customStyle="1" w:styleId="72">
    <w:name w:val="B-文字"/>
    <w:basedOn w:val="1"/>
    <w:qFormat/>
    <w:uiPriority w:val="0"/>
    <w:pPr>
      <w:jc w:val="center"/>
    </w:pPr>
    <w:rPr>
      <w:szCs w:val="21"/>
    </w:rPr>
  </w:style>
  <w:style w:type="paragraph" w:customStyle="1" w:styleId="73">
    <w:name w:val="A正文1"/>
    <w:basedOn w:val="1"/>
    <w:qFormat/>
    <w:uiPriority w:val="0"/>
    <w:pPr>
      <w:spacing w:line="360" w:lineRule="auto"/>
      <w:ind w:firstLine="480" w:firstLineChars="200"/>
    </w:pPr>
    <w:rPr>
      <w:sz w:val="24"/>
      <w:szCs w:val="28"/>
    </w:rPr>
  </w:style>
  <w:style w:type="paragraph" w:customStyle="1" w:styleId="74">
    <w:name w:val="Table Paragraph"/>
    <w:basedOn w:val="1"/>
    <w:qFormat/>
    <w:uiPriority w:val="1"/>
    <w:rPr>
      <w:rFonts w:ascii="宋体" w:hAnsi="宋体" w:eastAsia="宋体" w:cs="宋体"/>
      <w:lang w:val="zh-CN" w:eastAsia="zh-CN" w:bidi="zh-CN"/>
    </w:rPr>
  </w:style>
  <w:style w:type="paragraph" w:customStyle="1" w:styleId="75">
    <w:name w:val="正文20110920"/>
    <w:basedOn w:val="1"/>
    <w:qFormat/>
    <w:uiPriority w:val="0"/>
    <w:pPr>
      <w:spacing w:line="360" w:lineRule="auto"/>
      <w:ind w:firstLine="480" w:firstLineChars="200"/>
    </w:pPr>
    <w:rPr>
      <w:rFonts w:eastAsia="宋体" w:cs="宋体"/>
      <w:color w:val="000000"/>
      <w:szCs w:val="24"/>
    </w:rPr>
  </w:style>
  <w:style w:type="paragraph" w:customStyle="1" w:styleId="76">
    <w:name w:val="报告正文"/>
    <w:basedOn w:val="1"/>
    <w:qFormat/>
    <w:uiPriority w:val="0"/>
    <w:pPr>
      <w:adjustRightInd w:val="0"/>
      <w:snapToGrid w:val="0"/>
      <w:spacing w:line="360" w:lineRule="auto"/>
      <w:ind w:firstLine="200" w:firstLineChars="200"/>
    </w:pPr>
    <w:rPr>
      <w:sz w:val="24"/>
      <w:szCs w:val="20"/>
    </w:rPr>
  </w:style>
  <w:style w:type="paragraph" w:customStyle="1" w:styleId="77">
    <w:name w:val="B正文"/>
    <w:basedOn w:val="1"/>
    <w:qFormat/>
    <w:uiPriority w:val="0"/>
    <w:pPr>
      <w:spacing w:line="240" w:lineRule="exact"/>
      <w:jc w:val="center"/>
    </w:pPr>
    <w:rPr>
      <w:szCs w:val="28"/>
    </w:rPr>
  </w:style>
  <w:style w:type="table" w:customStyle="1" w:styleId="78">
    <w:name w:val="Table Normal"/>
    <w:unhideWhenUsed/>
    <w:qFormat/>
    <w:uiPriority w:val="0"/>
    <w:tblPr>
      <w:tblCellMar>
        <w:top w:w="0" w:type="dxa"/>
        <w:left w:w="0" w:type="dxa"/>
        <w:bottom w:w="0" w:type="dxa"/>
        <w:right w:w="0" w:type="dxa"/>
      </w:tblCellMar>
    </w:tblPr>
  </w:style>
  <w:style w:type="paragraph" w:customStyle="1" w:styleId="79">
    <w:name w:val="表图标题"/>
    <w:basedOn w:val="1"/>
    <w:qFormat/>
    <w:uiPriority w:val="0"/>
    <w:pPr>
      <w:jc w:val="center"/>
    </w:pPr>
    <w:rPr>
      <w:rFonts w:ascii="Times New Roman" w:hAnsi="Times New Roman" w:eastAsia="宋体"/>
      <w:b/>
    </w:rPr>
  </w:style>
  <w:style w:type="paragraph" w:customStyle="1" w:styleId="80">
    <w:name w:val="表中文字"/>
    <w:basedOn w:val="1"/>
    <w:qFormat/>
    <w:uiPriority w:val="99"/>
    <w:pPr>
      <w:spacing w:line="240" w:lineRule="auto"/>
      <w:ind w:firstLine="0" w:firstLineChars="0"/>
      <w:jc w:val="center"/>
    </w:pPr>
    <w:rPr>
      <w:kern w:val="44"/>
      <w:sz w:val="21"/>
    </w:rPr>
  </w:style>
  <w:style w:type="character" w:customStyle="1" w:styleId="81">
    <w:name w:val="font21"/>
    <w:basedOn w:val="27"/>
    <w:qFormat/>
    <w:uiPriority w:val="0"/>
    <w:rPr>
      <w:rFonts w:hint="eastAsia" w:ascii="宋体" w:hAnsi="宋体" w:eastAsia="宋体" w:cs="宋体"/>
      <w:color w:val="000000"/>
      <w:sz w:val="18"/>
      <w:szCs w:val="18"/>
      <w:u w:val="none"/>
    </w:rPr>
  </w:style>
  <w:style w:type="character" w:customStyle="1" w:styleId="82">
    <w:name w:val="font31"/>
    <w:basedOn w:val="27"/>
    <w:qFormat/>
    <w:uiPriority w:val="0"/>
    <w:rPr>
      <w:rFonts w:hint="default" w:ascii="Times New Roman" w:hAnsi="Times New Roman" w:cs="Times New Roman"/>
      <w:color w:val="000000"/>
      <w:sz w:val="20"/>
      <w:szCs w:val="20"/>
      <w:u w:val="none"/>
      <w:vertAlign w:val="subscript"/>
    </w:rPr>
  </w:style>
  <w:style w:type="paragraph" w:customStyle="1" w:styleId="83">
    <w:name w:val="列出段落1"/>
    <w:basedOn w:val="1"/>
    <w:qFormat/>
    <w:uiPriority w:val="34"/>
    <w:pPr>
      <w:widowControl/>
      <w:adjustRightInd w:val="0"/>
      <w:snapToGrid w:val="0"/>
      <w:ind w:firstLine="420" w:firstLineChars="200"/>
    </w:pPr>
    <w:rPr>
      <w:rFonts w:eastAsia="宋体" w:cs="Times New Roman"/>
      <w:szCs w:val="24"/>
    </w:rPr>
  </w:style>
  <w:style w:type="character" w:customStyle="1" w:styleId="84">
    <w:name w:val="04正文 Char"/>
    <w:link w:val="85"/>
    <w:qFormat/>
    <w:uiPriority w:val="0"/>
    <w:rPr>
      <w:sz w:val="24"/>
    </w:rPr>
  </w:style>
  <w:style w:type="paragraph" w:customStyle="1" w:styleId="85">
    <w:name w:val="04正文"/>
    <w:basedOn w:val="1"/>
    <w:link w:val="84"/>
    <w:qFormat/>
    <w:uiPriority w:val="0"/>
    <w:pPr>
      <w:spacing w:line="360" w:lineRule="auto"/>
      <w:ind w:firstLine="480" w:firstLineChars="200"/>
    </w:pPr>
    <w:rPr>
      <w:sz w:val="24"/>
    </w:rPr>
  </w:style>
  <w:style w:type="paragraph" w:customStyle="1" w:styleId="86">
    <w:name w:val="样式 (符号) 宋体 小四 行距: 1.5 倍行距"/>
    <w:basedOn w:val="1"/>
    <w:qFormat/>
    <w:uiPriority w:val="0"/>
    <w:pPr>
      <w:spacing w:line="360" w:lineRule="auto"/>
      <w:ind w:firstLine="480" w:firstLineChars="200"/>
    </w:pPr>
    <w:rPr>
      <w:rFonts w:hAnsi="宋体"/>
      <w:sz w:val="24"/>
      <w:szCs w:val="20"/>
    </w:rPr>
  </w:style>
  <w:style w:type="paragraph" w:customStyle="1" w:styleId="87">
    <w:name w:val="正文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5文章(治)"/>
    <w:basedOn w:val="87"/>
    <w:qFormat/>
    <w:uiPriority w:val="0"/>
    <w:pPr>
      <w:spacing w:line="360" w:lineRule="auto"/>
      <w:ind w:firstLine="200" w:firstLineChars="200"/>
    </w:pPr>
    <w:rPr>
      <w:sz w:val="24"/>
      <w:szCs w:val="20"/>
    </w:rPr>
  </w:style>
  <w:style w:type="paragraph" w:customStyle="1" w:styleId="89">
    <w:name w:val="表格内文字"/>
    <w:basedOn w:val="1"/>
    <w:qFormat/>
    <w:uiPriority w:val="0"/>
    <w:pPr>
      <w:spacing w:line="240" w:lineRule="auto"/>
      <w:ind w:firstLine="0" w:firstLineChars="0"/>
      <w:jc w:val="center"/>
    </w:pPr>
    <w:rPr>
      <w:rFonts w:ascii="宋体" w:hAnsi="宋体" w:cs="宋体"/>
      <w:bCs/>
      <w:sz w:val="21"/>
      <w:szCs w:val="21"/>
    </w:rPr>
  </w:style>
  <w:style w:type="character" w:customStyle="1" w:styleId="90">
    <w:name w:val="font11"/>
    <w:basedOn w:val="27"/>
    <w:qFormat/>
    <w:uiPriority w:val="0"/>
    <w:rPr>
      <w:rFonts w:hint="default" w:ascii="Times New Roman" w:hAnsi="Times New Roman" w:cs="Times New Roman"/>
      <w:color w:val="000000"/>
      <w:sz w:val="21"/>
      <w:szCs w:val="21"/>
      <w:u w:val="none"/>
    </w:rPr>
  </w:style>
  <w:style w:type="character" w:customStyle="1" w:styleId="91">
    <w:name w:val="font41"/>
    <w:basedOn w:val="27"/>
    <w:qFormat/>
    <w:uiPriority w:val="0"/>
    <w:rPr>
      <w:rFonts w:hint="default" w:ascii="Times New Roman" w:hAnsi="Times New Roman" w:cs="Times New Roman"/>
      <w:color w:val="000000"/>
      <w:sz w:val="21"/>
      <w:szCs w:val="21"/>
      <w:u w:val="none"/>
      <w:vertAlign w:val="superscript"/>
    </w:rPr>
  </w:style>
  <w:style w:type="character" w:customStyle="1" w:styleId="92">
    <w:name w:val="font51"/>
    <w:basedOn w:val="27"/>
    <w:qFormat/>
    <w:uiPriority w:val="0"/>
    <w:rPr>
      <w:rFonts w:hint="eastAsia" w:ascii="宋体" w:hAnsi="宋体" w:eastAsia="宋体" w:cs="宋体"/>
      <w:color w:val="000000"/>
      <w:sz w:val="18"/>
      <w:szCs w:val="18"/>
      <w:u w:val="none"/>
    </w:rPr>
  </w:style>
  <w:style w:type="paragraph" w:customStyle="1" w:styleId="93">
    <w:name w:val="表格标题"/>
    <w:basedOn w:val="1"/>
    <w:qFormat/>
    <w:uiPriority w:val="0"/>
    <w:pPr>
      <w:ind w:firstLine="0" w:firstLineChars="0"/>
      <w:jc w:val="center"/>
    </w:pPr>
    <w:rPr>
      <w:rFonts w:ascii="黑体" w:hAnsi="黑体" w:eastAsia="黑体" w:cs="黑体"/>
      <w:b/>
      <w:kern w:val="2"/>
      <w:szCs w:val="24"/>
    </w:rPr>
  </w:style>
  <w:style w:type="paragraph" w:customStyle="1" w:styleId="94">
    <w:name w:val="1表格"/>
    <w:basedOn w:val="87"/>
    <w:qFormat/>
    <w:uiPriority w:val="0"/>
    <w:pPr>
      <w:spacing w:line="160" w:lineRule="atLeast"/>
      <w:jc w:val="center"/>
    </w:pPr>
    <w:rPr>
      <w:rFonts w:eastAsia="仿宋_GB2312"/>
    </w:rPr>
  </w:style>
  <w:style w:type="paragraph" w:customStyle="1" w:styleId="95">
    <w:name w:val="正文缩进1"/>
    <w:basedOn w:val="87"/>
    <w:next w:val="24"/>
    <w:qFormat/>
    <w:uiPriority w:val="0"/>
    <w:pPr>
      <w:spacing w:after="120"/>
      <w:ind w:left="420" w:leftChars="200"/>
    </w:pPr>
    <w:rPr>
      <w:kern w:val="0"/>
      <w:sz w:val="24"/>
      <w:szCs w:val="20"/>
    </w:rPr>
  </w:style>
  <w:style w:type="paragraph" w:customStyle="1" w:styleId="96">
    <w:name w:val="BGZX"/>
    <w:next w:val="1"/>
    <w:qFormat/>
    <w:uiPriority w:val="0"/>
    <w:pPr>
      <w:widowControl w:val="0"/>
      <w:snapToGrid w:val="0"/>
      <w:spacing w:line="360" w:lineRule="auto"/>
      <w:ind w:firstLine="200" w:firstLineChars="200"/>
      <w:jc w:val="both"/>
    </w:pPr>
    <w:rPr>
      <w:rFonts w:ascii="Times New Roman" w:hAnsi="Times New Roman" w:eastAsia="宋体" w:cs="Times New Roman"/>
      <w:color w:val="000000"/>
      <w:sz w:val="24"/>
      <w:szCs w:val="22"/>
      <w:lang w:val="en-US" w:eastAsia="zh-CN" w:bidi="ar-SA"/>
    </w:rPr>
  </w:style>
  <w:style w:type="paragraph" w:customStyle="1" w:styleId="97">
    <w:name w:val="表的标题"/>
    <w:basedOn w:val="87"/>
    <w:qFormat/>
    <w:uiPriority w:val="0"/>
    <w:pPr>
      <w:snapToGrid w:val="0"/>
      <w:spacing w:before="50"/>
      <w:jc w:val="center"/>
    </w:pPr>
    <w:rPr>
      <w:rFonts w:eastAsia="黑体"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emf"/><Relationship Id="rId18" Type="http://schemas.openxmlformats.org/officeDocument/2006/relationships/oleObject" Target="embeddings/oleObject2.bin"/><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extobjs>
    <extobj name="ECB019B1-382A-4266-B25C-5B523AA43C14-1">
      <extobjdata type="ECB019B1-382A-4266-B25C-5B523AA43C14" data="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"/>
    </extobj>
    <extobj name="ECB019B1-382A-4266-B25C-5B523AA43C14-2">
      <extobjdata type="ECB019B1-382A-4266-B25C-5B523AA43C14" data="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"/>
    </extobj>
    <extobj name="ECB019B1-382A-4266-B25C-5B523AA43C14-3">
      <extobjdata type="ECB019B1-382A-4266-B25C-5B523AA43C14" data="ewoJIkZpbGVJZCIgOiAiMjYyNjg2Mzg0MjcyIiwKCSJHcm91cElkIiA6ICI1NTc0OTA1MjgiLAoJIkltYWdlIiA6ICJpVkJPUncwS0dnb0FBQUFOU1VoRVVnQUFBc0FBQUFCOENBWUFBQUJudUFiSUFBQUFDWEJJV1hNQUFBc1RBQUFMRXdFQW1wd1lBQUFnQUVsRVFWUjRuTzNkZVZoVTFmOEg4UGVBaXFBaXBFaElpaVdoWHl0bHlkMVdjQ3ZKVE0xOVYwd05sY29GZDdPTVRJakFwUlFRVVVFMEZYY1E5U3RmVGNnTlVWRklNVlFnUlFWbGNRU0d1YjgvK00yTllXWmdRSllCM3EvbjRYbVllKytjdWZlZW1UdG56ajNuOHdH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Xbmwvd0JuYjFzR3crTHpHZ0FBQUFCSlJVNUVya0pnZ2c9PSIsCgkiVGhlbWUiIDogIiIsCgkiVHlwZSIgOiAiZmxvdyIsCgkiVmVyc2lvbiIgOiAiNiIKfQo="/>
    </extobj>
    <extobj name="ECB019B1-382A-4266-B25C-5B523AA43C14-4">
      <extobjdata type="ECB019B1-382A-4266-B25C-5B523AA43C14" data="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"/>
    </extobj>
    <extobj name="ECB019B1-382A-4266-B25C-5B523AA43C14-5">
      <extobjdata type="ECB019B1-382A-4266-B25C-5B523AA43C14" data="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114</Pages>
  <Words>67530</Words>
  <Characters>75790</Characters>
  <Lines>13</Lines>
  <Paragraphs>3</Paragraphs>
  <TotalTime>13</TotalTime>
  <ScaleCrop>false</ScaleCrop>
  <LinksUpToDate>false</LinksUpToDate>
  <CharactersWithSpaces>76056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蒋阔</cp:lastModifiedBy>
  <cp:lastPrinted>2022-12-11T11:20:00Z</cp:lastPrinted>
  <dcterms:modified xsi:type="dcterms:W3CDTF">2026-04-16T02:33:08Z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DF4A0DF196E24A69BFD82F5A38486C1A_13</vt:lpwstr>
  </property>
</Properties>
</file>