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B27000">
      <w:pPr>
        <w:pStyle w:val="2"/>
        <w:spacing w:before="120" w:after="120"/>
        <w:rPr>
          <w:rFonts w:hint="eastAsia"/>
          <w:color w:val="auto"/>
          <w:highlight w:val="none"/>
        </w:rPr>
      </w:pPr>
      <w:r>
        <w:rPr>
          <w:color w:val="auto"/>
          <w:highlight w:val="none"/>
        </w:rPr>
        <w:t>第</w:t>
      </w:r>
      <w:r>
        <w:rPr>
          <w:rFonts w:hint="eastAsia"/>
          <w:color w:val="auto"/>
          <w:highlight w:val="none"/>
        </w:rPr>
        <w:t>五</w:t>
      </w:r>
      <w:r>
        <w:rPr>
          <w:color w:val="auto"/>
          <w:highlight w:val="none"/>
        </w:rPr>
        <w:t>章</w:t>
      </w:r>
      <w:r>
        <w:rPr>
          <w:rFonts w:hint="eastAsia"/>
          <w:color w:val="auto"/>
          <w:highlight w:val="none"/>
        </w:rPr>
        <w:t xml:space="preserve">  采购内容与</w:t>
      </w:r>
      <w:r>
        <w:rPr>
          <w:color w:val="auto"/>
          <w:highlight w:val="none"/>
        </w:rPr>
        <w:t>要求</w:t>
      </w:r>
    </w:p>
    <w:p w14:paraId="625449AC">
      <w:pPr>
        <w:widowControl/>
        <w:jc w:val="center"/>
        <w:rPr>
          <w:rFonts w:ascii="Times New Roman" w:hAnsi="Times New Roman" w:eastAsia="Times New Roman" w:cs="Times New Roman"/>
          <w:b/>
          <w:bCs/>
          <w:color w:val="auto"/>
          <w:kern w:val="0"/>
          <w:sz w:val="30"/>
          <w:szCs w:val="30"/>
          <w:highlight w:val="none"/>
        </w:rPr>
      </w:pPr>
      <w:bookmarkStart w:id="0" w:name="EB469f22d861c64ce29b6fd03a79836fb8"/>
      <w:r>
        <w:rPr>
          <w:rFonts w:ascii="宋体" w:hAnsi="宋体" w:eastAsia="宋体" w:cs="宋体"/>
          <w:b/>
          <w:bCs/>
          <w:color w:val="auto"/>
          <w:spacing w:val="30"/>
          <w:kern w:val="0"/>
          <w:sz w:val="30"/>
          <w:szCs w:val="30"/>
          <w:highlight w:val="none"/>
        </w:rPr>
        <w:t>第一节 技术要求</w:t>
      </w:r>
    </w:p>
    <w:p w14:paraId="2F1808E5">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Times New Roman" w:hAnsi="Times New Roman" w:eastAsia="黑体" w:cs="Times New Roman"/>
          <w:color w:val="auto"/>
          <w:highlight w:val="none"/>
          <w:lang w:val="en-US" w:eastAsia="zh-CN"/>
        </w:rPr>
      </w:pPr>
      <w:r>
        <w:rPr>
          <w:rFonts w:hint="eastAsia" w:ascii="宋体" w:hAnsi="宋体" w:eastAsia="宋体" w:cs="宋体"/>
          <w:bCs/>
          <w:color w:val="auto"/>
          <w:kern w:val="2"/>
          <w:sz w:val="24"/>
          <w:szCs w:val="24"/>
          <w:highlight w:val="none"/>
          <w:lang w:val="en-US" w:eastAsia="zh-CN" w:bidi="ar-SA"/>
        </w:rPr>
        <w:t>一、采购内容及数量</w:t>
      </w:r>
    </w:p>
    <w:tbl>
      <w:tblPr>
        <w:tblStyle w:val="5"/>
        <w:tblW w:w="9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494"/>
        <w:gridCol w:w="1966"/>
        <w:gridCol w:w="1283"/>
        <w:gridCol w:w="1339"/>
        <w:gridCol w:w="1425"/>
        <w:gridCol w:w="1477"/>
      </w:tblGrid>
      <w:tr w14:paraId="4E2A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56" w:type="dxa"/>
            <w:noWrap w:val="0"/>
            <w:vAlign w:val="center"/>
          </w:tcPr>
          <w:p w14:paraId="1445627A">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default"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包号</w:t>
            </w:r>
          </w:p>
        </w:tc>
        <w:tc>
          <w:tcPr>
            <w:tcW w:w="1494" w:type="dxa"/>
            <w:noWrap w:val="0"/>
            <w:vAlign w:val="center"/>
          </w:tcPr>
          <w:p w14:paraId="19930418">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 xml:space="preserve">产品名称 </w:t>
            </w:r>
          </w:p>
        </w:tc>
        <w:tc>
          <w:tcPr>
            <w:tcW w:w="1966" w:type="dxa"/>
            <w:noWrap w:val="0"/>
            <w:vAlign w:val="center"/>
          </w:tcPr>
          <w:p w14:paraId="64AF0C94">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品种型号</w:t>
            </w:r>
          </w:p>
        </w:tc>
        <w:tc>
          <w:tcPr>
            <w:tcW w:w="1283" w:type="dxa"/>
            <w:noWrap w:val="0"/>
            <w:vAlign w:val="center"/>
          </w:tcPr>
          <w:p w14:paraId="60FA5CFD">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数量</w:t>
            </w:r>
          </w:p>
          <w:p w14:paraId="6F84A598">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（kg）</w:t>
            </w:r>
          </w:p>
        </w:tc>
        <w:tc>
          <w:tcPr>
            <w:tcW w:w="1339" w:type="dxa"/>
            <w:noWrap w:val="0"/>
            <w:vAlign w:val="center"/>
          </w:tcPr>
          <w:p w14:paraId="1DDDFCF8">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单价上限值（元/kg）</w:t>
            </w:r>
          </w:p>
        </w:tc>
        <w:tc>
          <w:tcPr>
            <w:tcW w:w="1425" w:type="dxa"/>
            <w:noWrap w:val="0"/>
            <w:vAlign w:val="center"/>
          </w:tcPr>
          <w:p w14:paraId="5F6CDC4B">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预算金额（元）</w:t>
            </w:r>
          </w:p>
        </w:tc>
        <w:tc>
          <w:tcPr>
            <w:tcW w:w="1477" w:type="dxa"/>
            <w:noWrap w:val="0"/>
            <w:vAlign w:val="center"/>
          </w:tcPr>
          <w:p w14:paraId="41CDE77D">
            <w:pPr>
              <w:pStyle w:val="7"/>
              <w:spacing w:line="240" w:lineRule="auto"/>
              <w:ind w:left="0" w:leftChars="0" w:firstLine="0" w:firstLineChars="0"/>
              <w:jc w:val="center"/>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最高限价（元）</w:t>
            </w:r>
          </w:p>
        </w:tc>
      </w:tr>
      <w:tr w14:paraId="4124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6" w:type="dxa"/>
            <w:vMerge w:val="restart"/>
            <w:noWrap w:val="0"/>
            <w:vAlign w:val="center"/>
          </w:tcPr>
          <w:p w14:paraId="600D8EA6">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包2</w:t>
            </w:r>
          </w:p>
        </w:tc>
        <w:tc>
          <w:tcPr>
            <w:tcW w:w="1494" w:type="dxa"/>
            <w:noWrap w:val="0"/>
            <w:vAlign w:val="center"/>
          </w:tcPr>
          <w:p w14:paraId="21AB6317">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籼型三系杂交水稻</w:t>
            </w:r>
          </w:p>
        </w:tc>
        <w:tc>
          <w:tcPr>
            <w:tcW w:w="1966" w:type="dxa"/>
            <w:noWrap w:val="0"/>
            <w:vAlign w:val="center"/>
          </w:tcPr>
          <w:p w14:paraId="6895D6E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泰优553</w:t>
            </w:r>
          </w:p>
        </w:tc>
        <w:tc>
          <w:tcPr>
            <w:tcW w:w="1283" w:type="dxa"/>
            <w:noWrap w:val="0"/>
            <w:vAlign w:val="center"/>
          </w:tcPr>
          <w:p w14:paraId="6A2EFCD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137928</w:t>
            </w:r>
          </w:p>
        </w:tc>
        <w:tc>
          <w:tcPr>
            <w:tcW w:w="1339" w:type="dxa"/>
            <w:noWrap w:val="0"/>
            <w:vAlign w:val="center"/>
          </w:tcPr>
          <w:p w14:paraId="284AB9B5">
            <w:pPr>
              <w:keepNext w:val="0"/>
              <w:keepLines w:val="0"/>
              <w:widowControl/>
              <w:suppressLineNumbers w:val="0"/>
              <w:jc w:val="center"/>
              <w:textAlignment w:val="center"/>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51.51</w:t>
            </w:r>
          </w:p>
        </w:tc>
        <w:tc>
          <w:tcPr>
            <w:tcW w:w="1425" w:type="dxa"/>
            <w:noWrap w:val="0"/>
            <w:vAlign w:val="center"/>
          </w:tcPr>
          <w:p w14:paraId="1A90A879">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7104671.3 </w:t>
            </w:r>
          </w:p>
        </w:tc>
        <w:tc>
          <w:tcPr>
            <w:tcW w:w="1477" w:type="dxa"/>
            <w:vMerge w:val="restart"/>
            <w:noWrap w:val="0"/>
            <w:vAlign w:val="center"/>
          </w:tcPr>
          <w:p w14:paraId="2F1B8452">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9803593.2 </w:t>
            </w:r>
          </w:p>
        </w:tc>
      </w:tr>
      <w:tr w14:paraId="5EE0B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6" w:type="dxa"/>
            <w:vMerge w:val="continue"/>
            <w:noWrap w:val="0"/>
            <w:vAlign w:val="center"/>
          </w:tcPr>
          <w:p w14:paraId="341D5B3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noWrap w:val="0"/>
            <w:vAlign w:val="center"/>
          </w:tcPr>
          <w:p w14:paraId="3C0162F9">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籼型三系杂交水稻</w:t>
            </w:r>
          </w:p>
        </w:tc>
        <w:tc>
          <w:tcPr>
            <w:tcW w:w="1966" w:type="dxa"/>
            <w:noWrap w:val="0"/>
            <w:vAlign w:val="center"/>
          </w:tcPr>
          <w:p w14:paraId="3B0188B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桃优香占</w:t>
            </w:r>
          </w:p>
        </w:tc>
        <w:tc>
          <w:tcPr>
            <w:tcW w:w="1283" w:type="dxa"/>
            <w:noWrap w:val="0"/>
            <w:vAlign w:val="center"/>
          </w:tcPr>
          <w:p w14:paraId="71AF775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31370</w:t>
            </w:r>
          </w:p>
        </w:tc>
        <w:tc>
          <w:tcPr>
            <w:tcW w:w="1339" w:type="dxa"/>
            <w:noWrap w:val="0"/>
            <w:vAlign w:val="center"/>
          </w:tcPr>
          <w:p w14:paraId="2DEB1800">
            <w:pPr>
              <w:keepNext w:val="0"/>
              <w:keepLines w:val="0"/>
              <w:widowControl/>
              <w:suppressLineNumbers w:val="0"/>
              <w:jc w:val="center"/>
              <w:textAlignment w:val="center"/>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47.3</w:t>
            </w:r>
          </w:p>
        </w:tc>
        <w:tc>
          <w:tcPr>
            <w:tcW w:w="1425" w:type="dxa"/>
            <w:noWrap w:val="0"/>
            <w:vAlign w:val="center"/>
          </w:tcPr>
          <w:p w14:paraId="621E0806">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1483801.0 </w:t>
            </w:r>
          </w:p>
        </w:tc>
        <w:tc>
          <w:tcPr>
            <w:tcW w:w="1477" w:type="dxa"/>
            <w:vMerge w:val="continue"/>
            <w:noWrap w:val="0"/>
            <w:vAlign w:val="center"/>
          </w:tcPr>
          <w:p w14:paraId="46029F5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r w14:paraId="4A39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6" w:type="dxa"/>
            <w:vMerge w:val="continue"/>
            <w:noWrap w:val="0"/>
            <w:vAlign w:val="center"/>
          </w:tcPr>
          <w:p w14:paraId="641B507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noWrap w:val="0"/>
            <w:vAlign w:val="center"/>
          </w:tcPr>
          <w:p w14:paraId="5E35F578">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籼型三系杂交水稻</w:t>
            </w:r>
          </w:p>
        </w:tc>
        <w:tc>
          <w:tcPr>
            <w:tcW w:w="1966" w:type="dxa"/>
            <w:noWrap w:val="0"/>
            <w:vAlign w:val="center"/>
          </w:tcPr>
          <w:p w14:paraId="502E7725">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香禾优明月丝苗</w:t>
            </w:r>
          </w:p>
        </w:tc>
        <w:tc>
          <w:tcPr>
            <w:tcW w:w="1283" w:type="dxa"/>
            <w:noWrap w:val="0"/>
            <w:vAlign w:val="center"/>
          </w:tcPr>
          <w:p w14:paraId="1550089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23590</w:t>
            </w:r>
          </w:p>
        </w:tc>
        <w:tc>
          <w:tcPr>
            <w:tcW w:w="1339" w:type="dxa"/>
            <w:noWrap w:val="0"/>
            <w:vAlign w:val="center"/>
          </w:tcPr>
          <w:p w14:paraId="283B10C0">
            <w:pPr>
              <w:keepNext w:val="0"/>
              <w:keepLines w:val="0"/>
              <w:widowControl/>
              <w:suppressLineNumbers w:val="0"/>
              <w:jc w:val="center"/>
              <w:textAlignment w:val="center"/>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51.51</w:t>
            </w:r>
          </w:p>
        </w:tc>
        <w:tc>
          <w:tcPr>
            <w:tcW w:w="1425" w:type="dxa"/>
            <w:noWrap w:val="0"/>
            <w:vAlign w:val="center"/>
          </w:tcPr>
          <w:p w14:paraId="4728D77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1215120.9 </w:t>
            </w:r>
          </w:p>
        </w:tc>
        <w:tc>
          <w:tcPr>
            <w:tcW w:w="1477" w:type="dxa"/>
            <w:vMerge w:val="continue"/>
            <w:noWrap w:val="0"/>
            <w:vAlign w:val="center"/>
          </w:tcPr>
          <w:p w14:paraId="334125E8">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bl>
    <w:p w14:paraId="4B71F28F">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注：投标人按所投产品品种单价报价，由采购人根据投标人的报价单价及产品质量确定各品种的最终采购数量及采购金额。本项目报价含产品配送到指定地点的运输费用和装卸费、包装费、检验费、检疫费、种子消毒费、技术资料费、税费等一切费用，采购人将不再支付报价以外的任何费用。 </w:t>
      </w:r>
    </w:p>
    <w:p w14:paraId="7C56BD22">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二、技术规格、参数与要求</w:t>
      </w:r>
    </w:p>
    <w:p w14:paraId="3F033E33">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★1、品种要求：所投的水稻种子品种应通过国家 (含湖南省区域) 农作物品种审定委员会审定或通过湖南省农作物品种审定委员会审定 (需提供国家或湖南省内种子管理部门品种审定证书知识产权证明文件) 。 </w:t>
      </w:r>
    </w:p>
    <w:p w14:paraId="3948EF60">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质量要求：种子质量达到国家规定的标准：常规稻品种种子纯度不低于99.0%，净度不低于99.0%，发芽率不低于85%，水分不高于13.0%；杂交稻品种纯度不低于97.0%，净度不低于99.0%，发芽率不低于82%，水分不高于13.0%。(纯度以投标人出具的承诺书为准，其他指标以上年度有资质的第三方检测机构出具的检测报告为准)。 </w:t>
      </w:r>
    </w:p>
    <w:p w14:paraId="67A622C3">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★3、种子包装：包装是大件不超过30kg，小包装不超过2.5kg，由于不适当的包装和运输造成的任何损失由中标人负责。 </w:t>
      </w:r>
    </w:p>
    <w:p w14:paraId="1F862428">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三、采购人要求： </w:t>
      </w:r>
    </w:p>
    <w:p w14:paraId="1DBC0DC9">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1.报价要求：实际供应过程中中标人不得以任何理由向上调整中标价格，投标 人应充分考虑在采购期内由于市场物价变动而导致的风险。投标人所投报价应体现单价和总价，其中各品种投标单价不得高于各品种的单价上限值；各包的总价亦不得高于各包的最高限价。否则，投标无效。</w:t>
      </w:r>
    </w:p>
    <w:p w14:paraId="6FF8D3BE">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2.包装和发运：由于不适当的包装和运输造成的任何损失由中标人负责。中标人须按时按质按量按指定时间和地点交货。 </w:t>
      </w:r>
    </w:p>
    <w:p w14:paraId="612AFBF3">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3.产品质量保证：所供货物必须是完整、原装、未过期的正版合格产品，并且符合国家检测标准及货物出厂标准，在规定的保质期内，供货方应对由于工艺或材料缺陷等质量问题导致作物受害承担责任。 </w:t>
      </w:r>
    </w:p>
    <w:p w14:paraId="073A8B37">
      <w:pPr>
        <w:pStyle w:val="10"/>
        <w:rPr>
          <w:rFonts w:hint="eastAsia" w:eastAsia="黑体"/>
          <w:color w:val="auto"/>
          <w:highlight w:val="none"/>
          <w:lang w:val="en-US" w:eastAsia="zh-CN"/>
        </w:rPr>
      </w:pPr>
    </w:p>
    <w:p w14:paraId="35857E4D">
      <w:pPr>
        <w:pStyle w:val="10"/>
        <w:rPr>
          <w:rFonts w:hint="eastAsia" w:eastAsia="黑体"/>
          <w:color w:val="auto"/>
          <w:highlight w:val="none"/>
          <w:lang w:val="en-US" w:eastAsia="zh-CN"/>
        </w:rPr>
      </w:pPr>
    </w:p>
    <w:p w14:paraId="119A3063">
      <w:pPr>
        <w:widowControl/>
        <w:jc w:val="center"/>
        <w:rPr>
          <w:rFonts w:hint="eastAsia" w:ascii="宋体" w:hAnsi="宋体" w:eastAsia="宋体" w:cs="宋体"/>
          <w:b/>
          <w:bCs/>
          <w:color w:val="auto"/>
          <w:spacing w:val="30"/>
          <w:kern w:val="0"/>
          <w:sz w:val="30"/>
          <w:szCs w:val="30"/>
          <w:highlight w:val="none"/>
          <w:lang w:val="en-US" w:eastAsia="zh-CN"/>
        </w:rPr>
      </w:pPr>
    </w:p>
    <w:p w14:paraId="07758882">
      <w:pPr>
        <w:widowControl/>
        <w:jc w:val="center"/>
        <w:rPr>
          <w:rFonts w:hint="eastAsia" w:ascii="宋体" w:hAnsi="宋体" w:eastAsia="宋体" w:cs="宋体"/>
          <w:b/>
          <w:bCs/>
          <w:color w:val="auto"/>
          <w:spacing w:val="30"/>
          <w:kern w:val="0"/>
          <w:sz w:val="30"/>
          <w:szCs w:val="30"/>
          <w:highlight w:val="none"/>
          <w:lang w:val="en-US" w:eastAsia="zh-CN"/>
        </w:rPr>
      </w:pPr>
    </w:p>
    <w:p w14:paraId="562C22AF">
      <w:pPr>
        <w:widowControl/>
        <w:jc w:val="center"/>
        <w:rPr>
          <w:rFonts w:hint="eastAsia" w:ascii="宋体" w:hAnsi="宋体" w:eastAsia="宋体" w:cs="宋体"/>
          <w:b/>
          <w:bCs/>
          <w:color w:val="auto"/>
          <w:spacing w:val="30"/>
          <w:kern w:val="0"/>
          <w:sz w:val="30"/>
          <w:szCs w:val="30"/>
          <w:highlight w:val="none"/>
          <w:lang w:val="en-US" w:eastAsia="zh-CN"/>
        </w:rPr>
      </w:pPr>
    </w:p>
    <w:p w14:paraId="01A077A1">
      <w:pPr>
        <w:widowControl/>
        <w:jc w:val="center"/>
        <w:rPr>
          <w:rFonts w:hint="eastAsia" w:ascii="宋体" w:hAnsi="宋体" w:eastAsia="宋体" w:cs="宋体"/>
          <w:b/>
          <w:bCs/>
          <w:color w:val="auto"/>
          <w:spacing w:val="30"/>
          <w:kern w:val="0"/>
          <w:sz w:val="30"/>
          <w:szCs w:val="30"/>
          <w:highlight w:val="none"/>
          <w:lang w:val="en-US" w:eastAsia="zh-CN"/>
        </w:rPr>
      </w:pPr>
    </w:p>
    <w:p w14:paraId="13C69218">
      <w:pPr>
        <w:widowControl/>
        <w:jc w:val="center"/>
        <w:rPr>
          <w:rFonts w:hint="eastAsia" w:ascii="宋体" w:hAnsi="宋体" w:eastAsia="宋体" w:cs="宋体"/>
          <w:b/>
          <w:bCs/>
          <w:color w:val="auto"/>
          <w:spacing w:val="30"/>
          <w:kern w:val="0"/>
          <w:sz w:val="30"/>
          <w:szCs w:val="30"/>
          <w:highlight w:val="none"/>
          <w:lang w:val="en-US" w:eastAsia="zh-CN"/>
        </w:rPr>
      </w:pPr>
    </w:p>
    <w:p w14:paraId="00D0C612">
      <w:pPr>
        <w:widowControl/>
        <w:jc w:val="center"/>
        <w:rPr>
          <w:rFonts w:hint="eastAsia" w:ascii="宋体" w:hAnsi="宋体" w:eastAsia="宋体" w:cs="宋体"/>
          <w:b/>
          <w:bCs/>
          <w:color w:val="auto"/>
          <w:spacing w:val="30"/>
          <w:kern w:val="0"/>
          <w:sz w:val="30"/>
          <w:szCs w:val="30"/>
          <w:highlight w:val="none"/>
          <w:lang w:val="en-US" w:eastAsia="zh-CN"/>
        </w:rPr>
      </w:pPr>
    </w:p>
    <w:p w14:paraId="7418C395">
      <w:pPr>
        <w:widowControl/>
        <w:jc w:val="center"/>
        <w:rPr>
          <w:rFonts w:hint="eastAsia" w:ascii="宋体" w:hAnsi="宋体" w:eastAsia="宋体" w:cs="宋体"/>
          <w:b/>
          <w:bCs/>
          <w:color w:val="auto"/>
          <w:spacing w:val="30"/>
          <w:kern w:val="0"/>
          <w:sz w:val="30"/>
          <w:szCs w:val="30"/>
          <w:highlight w:val="none"/>
          <w:lang w:val="en-US" w:eastAsia="zh-CN"/>
        </w:rPr>
      </w:pPr>
    </w:p>
    <w:p w14:paraId="13C56B03">
      <w:pPr>
        <w:widowControl/>
        <w:jc w:val="center"/>
        <w:rPr>
          <w:rFonts w:hint="eastAsia" w:ascii="宋体" w:hAnsi="宋体" w:eastAsia="宋体" w:cs="宋体"/>
          <w:b/>
          <w:bCs/>
          <w:color w:val="auto"/>
          <w:spacing w:val="30"/>
          <w:kern w:val="0"/>
          <w:sz w:val="30"/>
          <w:szCs w:val="30"/>
          <w:highlight w:val="none"/>
          <w:lang w:val="en-US" w:eastAsia="zh-CN"/>
        </w:rPr>
      </w:pPr>
    </w:p>
    <w:p w14:paraId="59188844">
      <w:pPr>
        <w:widowControl/>
        <w:jc w:val="center"/>
        <w:rPr>
          <w:rFonts w:hint="eastAsia" w:ascii="宋体" w:hAnsi="宋体" w:eastAsia="宋体" w:cs="宋体"/>
          <w:b/>
          <w:bCs/>
          <w:color w:val="auto"/>
          <w:spacing w:val="30"/>
          <w:kern w:val="0"/>
          <w:sz w:val="30"/>
          <w:szCs w:val="30"/>
          <w:highlight w:val="none"/>
          <w:lang w:val="en-US" w:eastAsia="zh-CN"/>
        </w:rPr>
      </w:pPr>
    </w:p>
    <w:p w14:paraId="5E70E75C">
      <w:pPr>
        <w:widowControl/>
        <w:jc w:val="center"/>
        <w:rPr>
          <w:rFonts w:hint="eastAsia" w:ascii="宋体" w:hAnsi="宋体" w:eastAsia="宋体" w:cs="宋体"/>
          <w:b/>
          <w:bCs/>
          <w:color w:val="auto"/>
          <w:spacing w:val="30"/>
          <w:kern w:val="0"/>
          <w:sz w:val="30"/>
          <w:szCs w:val="30"/>
          <w:highlight w:val="none"/>
          <w:lang w:val="en-US" w:eastAsia="zh-CN"/>
        </w:rPr>
      </w:pPr>
    </w:p>
    <w:p w14:paraId="5CB49053">
      <w:pPr>
        <w:widowControl/>
        <w:jc w:val="center"/>
        <w:rPr>
          <w:rFonts w:hint="eastAsia" w:ascii="宋体" w:hAnsi="宋体" w:eastAsia="宋体" w:cs="宋体"/>
          <w:b/>
          <w:bCs/>
          <w:color w:val="auto"/>
          <w:spacing w:val="30"/>
          <w:kern w:val="0"/>
          <w:sz w:val="30"/>
          <w:szCs w:val="30"/>
          <w:highlight w:val="none"/>
          <w:lang w:val="en-US" w:eastAsia="zh-CN"/>
        </w:rPr>
      </w:pPr>
    </w:p>
    <w:p w14:paraId="0CEE62C0">
      <w:pPr>
        <w:widowControl/>
        <w:jc w:val="center"/>
        <w:rPr>
          <w:rFonts w:hint="eastAsia" w:ascii="宋体" w:hAnsi="宋体" w:eastAsia="宋体" w:cs="宋体"/>
          <w:b/>
          <w:bCs/>
          <w:color w:val="auto"/>
          <w:spacing w:val="30"/>
          <w:kern w:val="0"/>
          <w:sz w:val="30"/>
          <w:szCs w:val="30"/>
          <w:highlight w:val="none"/>
          <w:lang w:val="en-US" w:eastAsia="zh-CN"/>
        </w:rPr>
      </w:pPr>
    </w:p>
    <w:p w14:paraId="6EB1D6C1">
      <w:pPr>
        <w:widowControl/>
        <w:jc w:val="center"/>
        <w:rPr>
          <w:rFonts w:hint="eastAsia" w:ascii="宋体" w:hAnsi="宋体" w:eastAsia="宋体" w:cs="宋体"/>
          <w:b/>
          <w:bCs/>
          <w:color w:val="auto"/>
          <w:spacing w:val="30"/>
          <w:kern w:val="0"/>
          <w:sz w:val="30"/>
          <w:szCs w:val="30"/>
          <w:highlight w:val="none"/>
          <w:lang w:val="en-US" w:eastAsia="zh-CN"/>
        </w:rPr>
      </w:pPr>
    </w:p>
    <w:p w14:paraId="136AC933">
      <w:pPr>
        <w:widowControl/>
        <w:jc w:val="center"/>
        <w:rPr>
          <w:rFonts w:hint="eastAsia" w:ascii="宋体" w:hAnsi="宋体" w:eastAsia="宋体" w:cs="宋体"/>
          <w:b/>
          <w:bCs/>
          <w:color w:val="auto"/>
          <w:spacing w:val="30"/>
          <w:kern w:val="0"/>
          <w:sz w:val="30"/>
          <w:szCs w:val="30"/>
          <w:highlight w:val="none"/>
          <w:lang w:val="en-US" w:eastAsia="zh-CN"/>
        </w:rPr>
      </w:pPr>
    </w:p>
    <w:p w14:paraId="5FD862E2">
      <w:pPr>
        <w:widowControl/>
        <w:jc w:val="center"/>
        <w:rPr>
          <w:rFonts w:hint="eastAsia" w:ascii="宋体" w:hAnsi="宋体" w:eastAsia="宋体" w:cs="宋体"/>
          <w:b/>
          <w:bCs/>
          <w:color w:val="auto"/>
          <w:spacing w:val="30"/>
          <w:kern w:val="0"/>
          <w:sz w:val="30"/>
          <w:szCs w:val="30"/>
          <w:highlight w:val="none"/>
          <w:lang w:val="en-US" w:eastAsia="zh-CN"/>
        </w:rPr>
      </w:pPr>
    </w:p>
    <w:p w14:paraId="43303689">
      <w:pPr>
        <w:widowControl/>
        <w:jc w:val="center"/>
        <w:rPr>
          <w:rFonts w:hint="eastAsia" w:ascii="宋体" w:hAnsi="宋体" w:eastAsia="宋体" w:cs="宋体"/>
          <w:b/>
          <w:bCs/>
          <w:color w:val="auto"/>
          <w:spacing w:val="30"/>
          <w:kern w:val="0"/>
          <w:sz w:val="30"/>
          <w:szCs w:val="30"/>
          <w:highlight w:val="none"/>
          <w:lang w:val="en-US" w:eastAsia="zh-CN"/>
        </w:rPr>
      </w:pPr>
      <w:bookmarkStart w:id="1" w:name="_GoBack"/>
      <w:bookmarkEnd w:id="1"/>
      <w:r>
        <w:rPr>
          <w:rFonts w:hint="eastAsia" w:ascii="宋体" w:hAnsi="宋体" w:eastAsia="宋体" w:cs="宋体"/>
          <w:b/>
          <w:bCs/>
          <w:color w:val="auto"/>
          <w:spacing w:val="30"/>
          <w:kern w:val="0"/>
          <w:sz w:val="30"/>
          <w:szCs w:val="30"/>
          <w:highlight w:val="none"/>
          <w:lang w:val="en-US" w:eastAsia="zh-CN"/>
        </w:rPr>
        <w:t>第二节 商务要求</w:t>
      </w:r>
    </w:p>
    <w:p w14:paraId="73A3670E">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一、主要商务要求</w:t>
      </w:r>
    </w:p>
    <w:tbl>
      <w:tblPr>
        <w:tblStyle w:val="4"/>
        <w:tblW w:w="929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3341"/>
        <w:gridCol w:w="5958"/>
      </w:tblGrid>
      <w:tr w14:paraId="3449F3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652" w:hRule="atLeast"/>
          <w:jc w:val="center"/>
        </w:trPr>
        <w:tc>
          <w:tcPr>
            <w:tcW w:w="3341" w:type="dxa"/>
            <w:noWrap w:val="0"/>
            <w:tcMar>
              <w:top w:w="0" w:type="dxa"/>
              <w:left w:w="108" w:type="dxa"/>
              <w:bottom w:w="0" w:type="dxa"/>
              <w:right w:w="108" w:type="dxa"/>
            </w:tcMar>
            <w:vAlign w:val="center"/>
          </w:tcPr>
          <w:p w14:paraId="6EB63ACA">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履行合同的时间、地点及方式</w:t>
            </w:r>
          </w:p>
        </w:tc>
        <w:tc>
          <w:tcPr>
            <w:tcW w:w="5958" w:type="dxa"/>
            <w:noWrap w:val="0"/>
            <w:tcMar>
              <w:top w:w="0" w:type="dxa"/>
              <w:left w:w="108" w:type="dxa"/>
              <w:bottom w:w="0" w:type="dxa"/>
              <w:right w:w="108" w:type="dxa"/>
            </w:tcMar>
            <w:vAlign w:val="center"/>
          </w:tcPr>
          <w:p w14:paraId="160CB4A5">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履行合同的时间:签订合同后，按使用计划分批交货，收到计划后3个工作日内交货，若中标人没有按要求在约定的交货期内交货，采购人则有权拒付货款或按每天万分之五支付违约金或终止合同。 </w:t>
            </w:r>
          </w:p>
          <w:p w14:paraId="2DDED5BF">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履行合同的地点:采购人指定地点。 </w:t>
            </w:r>
          </w:p>
          <w:p w14:paraId="0AE7378E">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履行合同的方式:送货上门至指定地点。</w:t>
            </w:r>
          </w:p>
        </w:tc>
      </w:tr>
      <w:tr w14:paraId="51E21E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71" w:hRule="atLeast"/>
          <w:jc w:val="center"/>
        </w:trPr>
        <w:tc>
          <w:tcPr>
            <w:tcW w:w="3341" w:type="dxa"/>
            <w:noWrap w:val="0"/>
            <w:tcMar>
              <w:top w:w="0" w:type="dxa"/>
              <w:left w:w="108" w:type="dxa"/>
              <w:bottom w:w="0" w:type="dxa"/>
              <w:right w:w="108" w:type="dxa"/>
            </w:tcMar>
            <w:vAlign w:val="center"/>
          </w:tcPr>
          <w:p w14:paraId="54C46F2D">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质量保证期</w:t>
            </w:r>
          </w:p>
        </w:tc>
        <w:tc>
          <w:tcPr>
            <w:tcW w:w="5958" w:type="dxa"/>
            <w:noWrap w:val="0"/>
            <w:tcMar>
              <w:top w:w="0" w:type="dxa"/>
              <w:left w:w="108" w:type="dxa"/>
              <w:bottom w:w="0" w:type="dxa"/>
              <w:right w:w="108" w:type="dxa"/>
            </w:tcMar>
            <w:vAlign w:val="center"/>
          </w:tcPr>
          <w:p w14:paraId="6933E291">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产品质量符合“三包”要求，（一个生长周期）。</w:t>
            </w:r>
          </w:p>
        </w:tc>
      </w:tr>
      <w:tr w14:paraId="114F28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56" w:hRule="atLeast"/>
          <w:jc w:val="center"/>
        </w:trPr>
        <w:tc>
          <w:tcPr>
            <w:tcW w:w="3341" w:type="dxa"/>
            <w:noWrap w:val="0"/>
            <w:tcMar>
              <w:top w:w="0" w:type="dxa"/>
              <w:left w:w="108" w:type="dxa"/>
              <w:bottom w:w="0" w:type="dxa"/>
              <w:right w:w="108" w:type="dxa"/>
            </w:tcMar>
            <w:vAlign w:val="center"/>
          </w:tcPr>
          <w:p w14:paraId="6458D9F8">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响应时间</w:t>
            </w:r>
          </w:p>
        </w:tc>
        <w:tc>
          <w:tcPr>
            <w:tcW w:w="5958" w:type="dxa"/>
            <w:noWrap w:val="0"/>
            <w:tcMar>
              <w:top w:w="0" w:type="dxa"/>
              <w:left w:w="108" w:type="dxa"/>
              <w:bottom w:w="0" w:type="dxa"/>
              <w:right w:w="108" w:type="dxa"/>
            </w:tcMar>
            <w:vAlign w:val="center"/>
          </w:tcPr>
          <w:p w14:paraId="2F26CDE8">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7*24小时响应</w:t>
            </w:r>
          </w:p>
        </w:tc>
      </w:tr>
      <w:tr w14:paraId="3652E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328" w:hRule="atLeast"/>
          <w:jc w:val="center"/>
        </w:trPr>
        <w:tc>
          <w:tcPr>
            <w:tcW w:w="3341" w:type="dxa"/>
            <w:noWrap w:val="0"/>
            <w:tcMar>
              <w:top w:w="0" w:type="dxa"/>
              <w:left w:w="108" w:type="dxa"/>
              <w:bottom w:w="0" w:type="dxa"/>
              <w:right w:w="108" w:type="dxa"/>
            </w:tcMar>
            <w:vAlign w:val="center"/>
          </w:tcPr>
          <w:p w14:paraId="7F93834F">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合同价款支付方式和条件</w:t>
            </w:r>
          </w:p>
        </w:tc>
        <w:tc>
          <w:tcPr>
            <w:tcW w:w="5958" w:type="dxa"/>
            <w:noWrap w:val="0"/>
            <w:tcMar>
              <w:top w:w="0" w:type="dxa"/>
              <w:left w:w="108" w:type="dxa"/>
              <w:bottom w:w="0" w:type="dxa"/>
              <w:right w:w="108" w:type="dxa"/>
            </w:tcMar>
            <w:vAlign w:val="center"/>
          </w:tcPr>
          <w:p w14:paraId="3F1CB692">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支付方式：国库集中支付 </w:t>
            </w:r>
          </w:p>
          <w:p w14:paraId="35141E7F">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付款条件：无质量、售后服务纠纷、以及无其他经济法律纠纷等问题，于2027年2月底一次性付清。</w:t>
            </w:r>
          </w:p>
        </w:tc>
      </w:tr>
    </w:tbl>
    <w:p w14:paraId="699EC00C">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二、售后服务要求 </w:t>
      </w:r>
    </w:p>
    <w:p w14:paraId="6F83BECD">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1、中标方必须提供售后服务人员及其联系方式给采购人和使用单位。在使用过程中如有质量或者技术问题，中标方必须在接到通知后1小时内予以响应、24小时内给予解决。</w:t>
      </w:r>
    </w:p>
    <w:p w14:paraId="363C2E73">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2、产品质量符合“三包”要求（一个生长周期）。 </w:t>
      </w:r>
    </w:p>
    <w:p w14:paraId="17A255E2">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3、如因产品质量问题或者出现其他安全事故，由中标人承担责任。 </w:t>
      </w:r>
    </w:p>
    <w:p w14:paraId="21CF9D56">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三、产品和项目验收 </w:t>
      </w:r>
    </w:p>
    <w:p w14:paraId="4C6265CF">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1、验收要求：货物验收须按照招标文件要求及投标文件承诺的有关规定执行，货物质量和包装不符合要求的，采购人有权拒绝接收，并不予付款。 </w:t>
      </w:r>
    </w:p>
    <w:p w14:paraId="128434E2">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2、所有产品均需由技术专家进行抽样检测，并达到合格标准。 </w:t>
      </w:r>
    </w:p>
    <w:p w14:paraId="6C5E0701">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3、在验收过程中，一旦发现有与投标时产品不一致或者低于招标文件规定的参数、功能、性能的产品，全部产品视为不合格产品，采购人拒收，由此产生的所有损失和费用均由中标人负责。 </w:t>
      </w:r>
    </w:p>
    <w:p w14:paraId="39485630">
      <w:pPr>
        <w:rPr>
          <w:rFonts w:hint="eastAsia" w:ascii="Times New Roman" w:hAnsi="Times New Roman" w:eastAsia="宋体" w:cs="Times New Roman"/>
          <w:color w:val="auto"/>
          <w:sz w:val="20"/>
          <w:highlight w:val="none"/>
        </w:rPr>
      </w:pPr>
      <w:r>
        <w:rPr>
          <w:rFonts w:hint="eastAsia" w:ascii="Times New Roman" w:hAnsi="Times New Roman" w:eastAsia="宋体" w:cs="Times New Roman"/>
          <w:color w:val="auto"/>
          <w:sz w:val="20"/>
          <w:highlight w:val="none"/>
        </w:rPr>
        <w:t xml:space="preserve"> </w:t>
      </w:r>
      <w:bookmarkEnd w:id="0"/>
    </w:p>
    <w:p w14:paraId="7EE24B2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E0D2B"/>
    <w:rsid w:val="667E0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next w:val="1"/>
    <w:qFormat/>
    <w:uiPriority w:val="0"/>
    <w:pPr>
      <w:keepNext/>
      <w:widowControl w:val="0"/>
      <w:spacing w:before="50" w:beforeLines="50" w:after="50" w:afterLines="50" w:line="360" w:lineRule="auto"/>
      <w:jc w:val="center"/>
      <w:outlineLvl w:val="0"/>
    </w:pPr>
    <w:rPr>
      <w:rFonts w:ascii="黑体" w:hAnsi="黑体" w:eastAsia="黑体" w:cs="黑体"/>
      <w:b/>
      <w:bCs/>
      <w:kern w:val="32"/>
      <w:sz w:val="36"/>
      <w:szCs w:val="48"/>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qFormat/>
    <w:uiPriority w:val="0"/>
    <w:pPr>
      <w:widowControl/>
      <w:ind w:firstLine="420"/>
      <w:jc w:val="left"/>
    </w:pPr>
    <w:rPr>
      <w:rFonts w:ascii="Times New Roman" w:hAnsi="Times New Roman" w:eastAsia="宋体" w:cs="Times New Roman"/>
      <w:kern w:val="0"/>
      <w:sz w:val="20"/>
      <w:szCs w:val="20"/>
      <w:lang w:val="en-US" w:eastAsia="zh-CN" w:bidi="ar-SA"/>
    </w:rPr>
  </w:style>
  <w:style w:type="table" w:styleId="5">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首行缩进 21"/>
    <w:qFormat/>
    <w:uiPriority w:val="0"/>
    <w:pPr>
      <w:widowControl w:val="0"/>
      <w:ind w:left="420" w:leftChars="200" w:firstLine="482" w:firstLineChars="200"/>
      <w:jc w:val="both"/>
    </w:pPr>
    <w:rPr>
      <w:rFonts w:ascii="Calibri" w:hAnsi="Calibri" w:eastAsia="宋体" w:cs="Times New Roman"/>
      <w:b/>
      <w:kern w:val="2"/>
      <w:sz w:val="24"/>
      <w:szCs w:val="22"/>
      <w:lang w:val="en-US" w:eastAsia="en-US" w:bidi="ar-SA"/>
    </w:rPr>
  </w:style>
  <w:style w:type="paragraph" w:customStyle="1" w:styleId="8">
    <w:name w:val="正文文本缩进1"/>
    <w:next w:val="9"/>
    <w:qFormat/>
    <w:uiPriority w:val="0"/>
    <w:pPr>
      <w:widowControl w:val="0"/>
      <w:ind w:left="359" w:leftChars="171" w:firstLine="524" w:firstLineChars="187"/>
      <w:jc w:val="both"/>
    </w:pPr>
    <w:rPr>
      <w:rFonts w:ascii="Tahoma" w:hAnsi="Tahoma" w:eastAsia="宋体" w:cs="Times New Roman"/>
      <w:kern w:val="2"/>
      <w:sz w:val="28"/>
      <w:szCs w:val="22"/>
      <w:lang w:val="en-US" w:eastAsia="en-US" w:bidi="ar-SA"/>
    </w:rPr>
  </w:style>
  <w:style w:type="paragraph" w:customStyle="1" w:styleId="9">
    <w:name w:val="font5"/>
    <w:qFormat/>
    <w:uiPriority w:val="0"/>
    <w:pPr>
      <w:widowControl/>
      <w:spacing w:before="100" w:beforeAutospacing="1" w:after="100" w:afterAutospacing="1"/>
      <w:jc w:val="left"/>
    </w:pPr>
    <w:rPr>
      <w:rFonts w:hint="eastAsia" w:ascii="宋体" w:hAnsi="宋体" w:eastAsia="宋体" w:cs="Times New Roman"/>
      <w:kern w:val="0"/>
      <w:sz w:val="18"/>
      <w:szCs w:val="18"/>
      <w:lang w:val="en-US" w:eastAsia="zh-CN" w:bidi="ar-SA"/>
    </w:rPr>
  </w:style>
  <w:style w:type="paragraph" w:customStyle="1" w:styleId="1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2026-03-05T01:55:00Z</dcterms:created>
  <dc:creator>Administrator</dc:creator>
  <cp:lastModifiedBy>Administrator</cp:lastModifiedBy>
  <dcterms:modified xsi:type="dcterms:W3CDTF">2026-03-05T01:58:23Z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07A011895C354247894039E313A14FB6_11</vt:lpwstr>
  </property>
  <property fmtid="{D5CDD505-2E9C-101B-9397-08002B2CF9AE}" pid="4" name="KSOTemplateDocerSaveRecord">
    <vt:lpwstr>eyJoZGlkIjoiMzg0ZDIyNTViOTE0ZDc1MWZmZDJmYzNiM2ZiZWQ4MWYiLCJ1c2VySWQiOiIxMTQwMzY5MDAwIn0=</vt:lpwstr>
  </property>
</Properties>
</file>