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DA892E">
      <w:pPr>
        <w:keepNext/>
        <w:widowControl w:val="0"/>
        <w:spacing w:before="240" w:after="240"/>
        <w:ind w:firstLine="0" w:firstLineChars="0"/>
        <w:jc w:val="center"/>
        <w:outlineLvl w:val="1"/>
        <w:rPr>
          <w:rFonts w:hint="eastAsia" w:ascii="宋体" w:hAnsi="宋体" w:eastAsia="宋体" w:cs="宋体"/>
          <w:b/>
          <w:bCs/>
          <w:iCs/>
          <w:color w:val="auto"/>
          <w:kern w:val="2"/>
          <w:sz w:val="30"/>
          <w:szCs w:val="30"/>
          <w:highlight w:val="none"/>
          <w:lang w:val="en-US" w:eastAsia="zh-CN" w:bidi="ar-SA"/>
        </w:rPr>
      </w:pPr>
      <w:bookmarkStart w:id="0" w:name="_Toc256000014"/>
      <w:r>
        <w:rPr>
          <w:rFonts w:hint="eastAsia" w:ascii="宋体" w:hAnsi="宋体" w:eastAsia="宋体" w:cs="宋体"/>
          <w:b/>
          <w:bCs/>
          <w:iCs/>
          <w:color w:val="auto"/>
          <w:kern w:val="2"/>
          <w:sz w:val="30"/>
          <w:szCs w:val="30"/>
          <w:highlight w:val="none"/>
          <w:lang w:val="en-US" w:eastAsia="zh-CN" w:bidi="ar-SA"/>
        </w:rPr>
        <w:t>第一节   服务要求</w:t>
      </w:r>
      <w:bookmarkEnd w:id="0"/>
    </w:p>
    <w:p w14:paraId="69E7BF71">
      <w:pPr>
        <w:keepNext w:val="0"/>
        <w:keepLines w:val="0"/>
        <w:pageBreakBefore w:val="0"/>
        <w:widowControl w:val="0"/>
        <w:numPr>
          <w:ilvl w:val="0"/>
          <w:numId w:val="0"/>
        </w:numPr>
        <w:kinsoku/>
        <w:wordWrap/>
        <w:overflowPunct/>
        <w:topLinePunct w:val="0"/>
        <w:autoSpaceDE/>
        <w:autoSpaceDN/>
        <w:bidi w:val="0"/>
        <w:adjustRightInd/>
        <w:spacing w:after="120" w:line="360" w:lineRule="auto"/>
        <w:jc w:val="both"/>
        <w:textAlignment w:val="auto"/>
        <w:rPr>
          <w:rStyle w:val="4"/>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一、</w:t>
      </w:r>
      <w:r>
        <w:rPr>
          <w:rStyle w:val="4"/>
          <w:rFonts w:hint="eastAsia" w:ascii="宋体" w:hAnsi="宋体" w:eastAsia="宋体" w:cs="宋体"/>
          <w:b/>
          <w:bCs/>
          <w:color w:val="auto"/>
          <w:kern w:val="2"/>
          <w:sz w:val="21"/>
          <w:szCs w:val="21"/>
          <w:highlight w:val="none"/>
          <w:lang w:val="en-US" w:eastAsia="zh-CN" w:bidi="ar-SA"/>
        </w:rPr>
        <w:t>采购内容及数量</w:t>
      </w:r>
    </w:p>
    <w:tbl>
      <w:tblPr>
        <w:tblStyle w:val="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294"/>
        <w:gridCol w:w="1567"/>
        <w:gridCol w:w="2013"/>
        <w:gridCol w:w="1132"/>
        <w:gridCol w:w="1782"/>
      </w:tblGrid>
      <w:tr w14:paraId="5FBA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429" w:type="pct"/>
            <w:noWrap w:val="0"/>
            <w:vAlign w:val="center"/>
          </w:tcPr>
          <w:p w14:paraId="2845AD75">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包号</w:t>
            </w:r>
          </w:p>
        </w:tc>
        <w:tc>
          <w:tcPr>
            <w:tcW w:w="759" w:type="pct"/>
            <w:noWrap w:val="0"/>
            <w:vAlign w:val="center"/>
          </w:tcPr>
          <w:p w14:paraId="4C1ACECC">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品目分类</w:t>
            </w:r>
          </w:p>
        </w:tc>
        <w:tc>
          <w:tcPr>
            <w:tcW w:w="919" w:type="pct"/>
            <w:noWrap w:val="0"/>
            <w:vAlign w:val="center"/>
          </w:tcPr>
          <w:p w14:paraId="0988B8DF">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分项项目名称（条目号/品目名称）</w:t>
            </w:r>
          </w:p>
        </w:tc>
        <w:tc>
          <w:tcPr>
            <w:tcW w:w="1181" w:type="pct"/>
            <w:noWrap w:val="0"/>
            <w:vAlign w:val="center"/>
          </w:tcPr>
          <w:p w14:paraId="2E7A9C06">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承保期限</w:t>
            </w:r>
          </w:p>
        </w:tc>
        <w:tc>
          <w:tcPr>
            <w:tcW w:w="664" w:type="pct"/>
            <w:noWrap w:val="0"/>
            <w:vAlign w:val="center"/>
          </w:tcPr>
          <w:p w14:paraId="68EE0554">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服务地点</w:t>
            </w:r>
          </w:p>
        </w:tc>
        <w:tc>
          <w:tcPr>
            <w:tcW w:w="1045" w:type="pct"/>
            <w:noWrap w:val="0"/>
            <w:vAlign w:val="center"/>
          </w:tcPr>
          <w:p w14:paraId="42E68054">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估算人数（人）</w:t>
            </w:r>
          </w:p>
        </w:tc>
      </w:tr>
      <w:tr w14:paraId="57EC5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429" w:type="pct"/>
            <w:noWrap w:val="0"/>
            <w:vAlign w:val="center"/>
          </w:tcPr>
          <w:p w14:paraId="5103A6A8">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1</w:t>
            </w:r>
          </w:p>
        </w:tc>
        <w:tc>
          <w:tcPr>
            <w:tcW w:w="759" w:type="pct"/>
            <w:noWrap w:val="0"/>
            <w:vAlign w:val="center"/>
          </w:tcPr>
          <w:p w14:paraId="4FF6A9EB">
            <w:pPr>
              <w:keepNext w:val="0"/>
              <w:keepLines w:val="0"/>
              <w:pageBreakBefore w:val="0"/>
              <w:widowControl w:val="0"/>
              <w:kinsoku/>
              <w:wordWrap/>
              <w:overflowPunct/>
              <w:topLinePunct w:val="0"/>
              <w:autoSpaceDE/>
              <w:autoSpaceDN/>
              <w:bidi w:val="0"/>
              <w:adjustRightInd/>
              <w:spacing w:after="120" w:line="360" w:lineRule="auto"/>
              <w:jc w:val="both"/>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C18040101-人寿保险服务</w:t>
            </w:r>
          </w:p>
        </w:tc>
        <w:tc>
          <w:tcPr>
            <w:tcW w:w="919" w:type="pct"/>
            <w:noWrap w:val="0"/>
            <w:vAlign w:val="center"/>
          </w:tcPr>
          <w:p w14:paraId="77BFD7C3">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kern w:val="0"/>
                <w:sz w:val="21"/>
                <w:szCs w:val="21"/>
                <w:highlight w:val="none"/>
                <w:lang w:val="en-US" w:eastAsia="zh-CN"/>
              </w:rPr>
              <w:t xml:space="preserve">人寿保险服务      </w:t>
            </w:r>
          </w:p>
        </w:tc>
        <w:tc>
          <w:tcPr>
            <w:tcW w:w="1181" w:type="pct"/>
            <w:noWrap w:val="0"/>
            <w:vAlign w:val="center"/>
          </w:tcPr>
          <w:p w14:paraId="2189DC85">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2026年1月1日零时起至2027年12月31日24时止，以参保病人出院日期为准。</w:t>
            </w:r>
          </w:p>
        </w:tc>
        <w:tc>
          <w:tcPr>
            <w:tcW w:w="664" w:type="pct"/>
            <w:noWrap w:val="0"/>
            <w:vAlign w:val="center"/>
          </w:tcPr>
          <w:p w14:paraId="2533AD19">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衡阳县</w:t>
            </w:r>
          </w:p>
        </w:tc>
        <w:tc>
          <w:tcPr>
            <w:tcW w:w="1045" w:type="pct"/>
            <w:noWrap w:val="0"/>
            <w:vAlign w:val="center"/>
          </w:tcPr>
          <w:p w14:paraId="2C395756">
            <w:pPr>
              <w:keepNext w:val="0"/>
              <w:keepLines w:val="0"/>
              <w:pageBreakBefore w:val="0"/>
              <w:widowControl w:val="0"/>
              <w:kinsoku/>
              <w:wordWrap/>
              <w:overflowPunct/>
              <w:topLinePunct w:val="0"/>
              <w:autoSpaceDE/>
              <w:autoSpaceDN/>
              <w:bidi w:val="0"/>
              <w:adjustRightInd/>
              <w:spacing w:after="120" w:line="36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参保人数预计5万余人</w:t>
            </w:r>
            <w:r>
              <w:rPr>
                <w:rFonts w:hint="eastAsia" w:ascii="宋体" w:hAnsi="宋体" w:eastAsia="宋体" w:cs="宋体"/>
                <w:color w:val="auto"/>
                <w:sz w:val="21"/>
                <w:szCs w:val="21"/>
                <w:highlight w:val="none"/>
              </w:rPr>
              <w:t>，最终以实际参保人数计算</w:t>
            </w:r>
          </w:p>
        </w:tc>
      </w:tr>
    </w:tbl>
    <w:p w14:paraId="2073AD5B">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注：1、“包”为最小合同单位（最小投标单位）。每“包”内容应细化到“品目”（如果分品目的）。</w:t>
      </w:r>
    </w:p>
    <w:p w14:paraId="6F9F6EF1">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2、投标人必须对一个完整、独立的包进行投标，不得仅对一个包中的部分品目投标，否则投标无效。</w:t>
      </w:r>
    </w:p>
    <w:p w14:paraId="1B69202C">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Fonts w:ascii="宋体" w:hAnsi="Times New Roman" w:eastAsia="宋体" w:cs="@仿宋_GB2312"/>
          <w:color w:val="auto"/>
          <w:szCs w:val="20"/>
          <w:highlight w:val="none"/>
        </w:rPr>
      </w:pPr>
      <w:r>
        <w:rPr>
          <w:rStyle w:val="4"/>
          <w:rFonts w:hint="eastAsia" w:ascii="宋体" w:hAnsi="宋体" w:eastAsia="宋体" w:cs="宋体"/>
          <w:color w:val="auto"/>
          <w:sz w:val="21"/>
          <w:szCs w:val="21"/>
          <w:highlight w:val="none"/>
        </w:rPr>
        <w:t>3、投标人应在投标文件《分项报价明细表》中按分项项目名称（包括条目号/品目名称）顺序逐项填写，且每个品目中的条目均需按招标文件规定报价。如有缺项、漏项，其投标无效。</w:t>
      </w:r>
    </w:p>
    <w:p w14:paraId="1451513B">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lang w:val="en-US" w:eastAsia="zh-CN"/>
        </w:rPr>
      </w:pPr>
      <w:r>
        <w:rPr>
          <w:rStyle w:val="4"/>
          <w:rFonts w:hint="eastAsia" w:ascii="宋体" w:hAnsi="宋体" w:eastAsia="宋体" w:cs="宋体"/>
          <w:b/>
          <w:bCs/>
          <w:color w:val="auto"/>
          <w:sz w:val="21"/>
          <w:szCs w:val="21"/>
          <w:highlight w:val="none"/>
          <w:lang w:val="en-US" w:eastAsia="zh-CN"/>
        </w:rPr>
        <w:t>二、项目背景情况</w:t>
      </w:r>
    </w:p>
    <w:p w14:paraId="33C590ED">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lang w:eastAsia="zh-CN"/>
        </w:rPr>
      </w:pPr>
      <w:r>
        <w:rPr>
          <w:rStyle w:val="4"/>
          <w:rFonts w:hint="eastAsia" w:ascii="宋体" w:hAnsi="宋体" w:eastAsia="宋体" w:cs="宋体"/>
          <w:color w:val="auto"/>
          <w:sz w:val="21"/>
          <w:szCs w:val="21"/>
          <w:highlight w:val="none"/>
          <w:lang w:eastAsia="zh-CN"/>
        </w:rPr>
        <w:t>为完善衡阳县城镇职工基本医疗保险体系，维护和保障参保人利益，经衡阳县人民政府同意，县医疗保障局决定通过政府采购方式，将城镇职工基本医疗保险中意外伤害医疗费用审核、调查、支付等</w:t>
      </w:r>
      <w:r>
        <w:rPr>
          <w:rStyle w:val="4"/>
          <w:rFonts w:hint="eastAsia" w:ascii="宋体" w:hAnsi="宋体" w:eastAsia="宋体" w:cs="宋体"/>
          <w:color w:val="auto"/>
          <w:sz w:val="21"/>
          <w:szCs w:val="21"/>
          <w:highlight w:val="none"/>
          <w:lang w:val="en-US" w:eastAsia="zh-CN"/>
        </w:rPr>
        <w:t>本地化</w:t>
      </w:r>
      <w:r>
        <w:rPr>
          <w:rStyle w:val="4"/>
          <w:rFonts w:hint="eastAsia" w:ascii="宋体" w:hAnsi="宋体" w:eastAsia="宋体" w:cs="宋体"/>
          <w:color w:val="auto"/>
          <w:sz w:val="21"/>
          <w:szCs w:val="21"/>
          <w:highlight w:val="none"/>
          <w:lang w:eastAsia="zh-CN"/>
        </w:rPr>
        <w:t>经办服务，以及异地就医费用核查工作，委托具备资质的商业保险公司承办。本项目按照《关于印发&lt;衡阳市意外伤害医疗保障管理办法(试行)&gt;的通知》（衡医保发[2025]45号）执行。</w:t>
      </w:r>
    </w:p>
    <w:p w14:paraId="201BC826">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1" w:name="heading_1"/>
      <w:r>
        <w:rPr>
          <w:rStyle w:val="4"/>
          <w:rFonts w:hint="eastAsia" w:ascii="宋体" w:hAnsi="宋体" w:eastAsia="宋体" w:cs="宋体"/>
          <w:b/>
          <w:bCs/>
          <w:color w:val="auto"/>
          <w:sz w:val="21"/>
          <w:szCs w:val="21"/>
          <w:highlight w:val="none"/>
          <w:lang w:val="en-US" w:eastAsia="zh-CN"/>
        </w:rPr>
        <w:t>三</w:t>
      </w:r>
      <w:r>
        <w:rPr>
          <w:rStyle w:val="4"/>
          <w:rFonts w:hint="eastAsia" w:ascii="宋体" w:hAnsi="宋体" w:eastAsia="宋体" w:cs="宋体"/>
          <w:b/>
          <w:bCs/>
          <w:color w:val="auto"/>
          <w:sz w:val="21"/>
          <w:szCs w:val="21"/>
          <w:highlight w:val="none"/>
        </w:rPr>
        <w:t>、承保对象</w:t>
      </w:r>
      <w:bookmarkEnd w:id="1"/>
    </w:p>
    <w:p w14:paraId="017AED30">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Cs w:val="22"/>
          <w:highlight w:val="none"/>
          <w:lang w:eastAsia="zh-CN"/>
        </w:rPr>
      </w:pPr>
      <w:r>
        <w:rPr>
          <w:rFonts w:hint="eastAsia" w:ascii="宋体" w:hAnsi="宋体" w:eastAsia="宋体" w:cs="宋体"/>
          <w:color w:val="auto"/>
          <w:kern w:val="0"/>
          <w:sz w:val="22"/>
          <w:szCs w:val="22"/>
          <w:highlight w:val="none"/>
        </w:rPr>
        <w:t>参加衡阳县</w:t>
      </w:r>
      <w:r>
        <w:rPr>
          <w:rFonts w:hint="eastAsia" w:ascii="宋体" w:hAnsi="宋体" w:eastAsia="宋体" w:cs="宋体"/>
          <w:color w:val="auto"/>
          <w:kern w:val="0"/>
          <w:sz w:val="22"/>
          <w:szCs w:val="22"/>
          <w:highlight w:val="none"/>
          <w:lang w:eastAsia="zh-CN"/>
        </w:rPr>
        <w:t>城镇职工</w:t>
      </w:r>
      <w:r>
        <w:rPr>
          <w:rFonts w:hint="eastAsia" w:ascii="宋体" w:hAnsi="宋体" w:eastAsia="宋体" w:cs="宋体"/>
          <w:color w:val="auto"/>
          <w:kern w:val="0"/>
          <w:sz w:val="22"/>
          <w:szCs w:val="22"/>
          <w:highlight w:val="none"/>
        </w:rPr>
        <w:t>基本医疗保险的全体参保人员</w:t>
      </w:r>
      <w:r>
        <w:rPr>
          <w:rFonts w:hint="eastAsia" w:ascii="宋体" w:hAnsi="宋体" w:eastAsia="宋体" w:cs="宋体"/>
          <w:color w:val="auto"/>
          <w:kern w:val="0"/>
          <w:sz w:val="22"/>
          <w:szCs w:val="22"/>
          <w:highlight w:val="none"/>
          <w:lang w:eastAsia="zh-CN"/>
        </w:rPr>
        <w:t>。</w:t>
      </w:r>
    </w:p>
    <w:p w14:paraId="37DE92EA">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2" w:name="heading_2"/>
      <w:r>
        <w:rPr>
          <w:rStyle w:val="4"/>
          <w:rFonts w:hint="eastAsia" w:ascii="宋体" w:hAnsi="宋体" w:eastAsia="宋体" w:cs="宋体"/>
          <w:b/>
          <w:bCs/>
          <w:color w:val="auto"/>
          <w:sz w:val="21"/>
          <w:szCs w:val="21"/>
          <w:highlight w:val="none"/>
          <w:lang w:val="en-US" w:eastAsia="zh-CN"/>
        </w:rPr>
        <w:t>四</w:t>
      </w:r>
      <w:r>
        <w:rPr>
          <w:rStyle w:val="4"/>
          <w:rFonts w:hint="eastAsia" w:ascii="宋体" w:hAnsi="宋体" w:eastAsia="宋体" w:cs="宋体"/>
          <w:b/>
          <w:bCs/>
          <w:color w:val="auto"/>
          <w:sz w:val="21"/>
          <w:szCs w:val="21"/>
          <w:highlight w:val="none"/>
        </w:rPr>
        <w:t>、承保责任范围及待遇保障标准</w:t>
      </w:r>
      <w:bookmarkEnd w:id="2"/>
    </w:p>
    <w:p w14:paraId="1E734B9A">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3" w:name="heading_3"/>
      <w:r>
        <w:rPr>
          <w:rStyle w:val="4"/>
          <w:rFonts w:hint="eastAsia" w:ascii="宋体" w:hAnsi="宋体" w:eastAsia="宋体" w:cs="宋体"/>
          <w:b/>
          <w:bCs/>
          <w:color w:val="auto"/>
          <w:sz w:val="21"/>
          <w:szCs w:val="21"/>
          <w:highlight w:val="none"/>
        </w:rPr>
        <w:t>（一）承保责任范围</w:t>
      </w:r>
      <w:bookmarkEnd w:id="3"/>
    </w:p>
    <w:p w14:paraId="433F2021">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bookmarkStart w:id="4" w:name="heading_4"/>
      <w:r>
        <w:rPr>
          <w:rStyle w:val="4"/>
          <w:rFonts w:hint="eastAsia" w:ascii="宋体" w:hAnsi="宋体" w:eastAsia="宋体" w:cs="宋体"/>
          <w:color w:val="auto"/>
          <w:sz w:val="21"/>
          <w:szCs w:val="21"/>
          <w:highlight w:val="none"/>
        </w:rPr>
        <w:t>（1）本</w:t>
      </w:r>
      <w:r>
        <w:rPr>
          <w:rStyle w:val="4"/>
          <w:rFonts w:hint="eastAsia" w:ascii="宋体" w:hAnsi="宋体" w:eastAsia="宋体" w:cs="宋体"/>
          <w:color w:val="auto"/>
          <w:sz w:val="21"/>
          <w:szCs w:val="21"/>
          <w:highlight w:val="none"/>
          <w:lang w:val="en-US" w:eastAsia="zh-CN"/>
        </w:rPr>
        <w:t>项目</w:t>
      </w:r>
      <w:r>
        <w:rPr>
          <w:rStyle w:val="4"/>
          <w:rFonts w:hint="eastAsia" w:ascii="宋体" w:hAnsi="宋体" w:eastAsia="宋体" w:cs="宋体"/>
          <w:color w:val="auto"/>
          <w:sz w:val="21"/>
          <w:szCs w:val="21"/>
          <w:highlight w:val="none"/>
        </w:rPr>
        <w:t>所指意外伤害是指参保人员因非疾病的、突发的、不可预见的意外事故造成的身体伤害；</w:t>
      </w:r>
    </w:p>
    <w:p w14:paraId="252726E3">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（2）符合基本医疗保险政策规定的无他方责任的意外伤害；</w:t>
      </w:r>
    </w:p>
    <w:p w14:paraId="335984E9">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（3）参保人员意外伤害责任由参保人员本人和第三人共同承担的，超过第三人责任部分的医疗费用。</w:t>
      </w:r>
    </w:p>
    <w:p w14:paraId="1D432625">
      <w:pPr>
        <w:keepNext w:val="0"/>
        <w:keepLines w:val="0"/>
        <w:pageBreakBefore w:val="0"/>
        <w:kinsoku/>
        <w:wordWrap/>
        <w:overflowPunct/>
        <w:topLinePunct w:val="0"/>
        <w:autoSpaceDE/>
        <w:autoSpaceDN/>
        <w:bidi w:val="0"/>
        <w:adjustRightInd/>
        <w:snapToGrid w:val="0"/>
        <w:spacing w:line="360" w:lineRule="auto"/>
        <w:ind w:firstLine="422" w:firstLineChars="200"/>
        <w:jc w:val="left"/>
        <w:textAlignment w:val="auto"/>
        <w:rPr>
          <w:rStyle w:val="4"/>
          <w:rFonts w:hint="eastAsia" w:ascii="宋体" w:hAnsi="宋体" w:eastAsia="宋体" w:cs="宋体"/>
          <w:b/>
          <w:bCs/>
          <w:color w:val="auto"/>
          <w:sz w:val="21"/>
          <w:szCs w:val="21"/>
          <w:highlight w:val="none"/>
        </w:rPr>
      </w:pPr>
      <w:r>
        <w:rPr>
          <w:rStyle w:val="4"/>
          <w:rFonts w:hint="eastAsia" w:ascii="宋体" w:hAnsi="宋体" w:eastAsia="宋体" w:cs="宋体"/>
          <w:b/>
          <w:bCs/>
          <w:color w:val="auto"/>
          <w:sz w:val="21"/>
          <w:szCs w:val="21"/>
          <w:highlight w:val="none"/>
        </w:rPr>
        <w:t>（二）待遇保障标准</w:t>
      </w:r>
      <w:bookmarkEnd w:id="4"/>
    </w:p>
    <w:p w14:paraId="6D670E51">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bookmarkStart w:id="5" w:name="heading_5"/>
      <w:r>
        <w:rPr>
          <w:rStyle w:val="4"/>
          <w:rFonts w:hint="eastAsia" w:ascii="宋体" w:hAnsi="宋体" w:eastAsia="宋体" w:cs="宋体"/>
          <w:color w:val="auto"/>
          <w:sz w:val="21"/>
          <w:szCs w:val="21"/>
          <w:highlight w:val="none"/>
        </w:rPr>
        <w:t>（1）参保人员在定点医疗机构发生的符合政策范围内的门诊或住院意外伤害医疗费用，不单独设置报销待遇，统一按照</w:t>
      </w:r>
      <w:r>
        <w:rPr>
          <w:rStyle w:val="4"/>
          <w:rFonts w:hint="eastAsia" w:ascii="宋体" w:hAnsi="宋体" w:eastAsia="宋体" w:cs="宋体"/>
          <w:color w:val="auto"/>
          <w:sz w:val="21"/>
          <w:szCs w:val="21"/>
          <w:highlight w:val="none"/>
          <w:lang w:val="en-US" w:eastAsia="zh-CN"/>
        </w:rPr>
        <w:t>衡阳市</w:t>
      </w:r>
      <w:r>
        <w:rPr>
          <w:rStyle w:val="4"/>
          <w:rFonts w:hint="eastAsia" w:ascii="宋体" w:hAnsi="宋体" w:eastAsia="宋体" w:cs="宋体"/>
          <w:color w:val="auto"/>
          <w:sz w:val="21"/>
          <w:szCs w:val="21"/>
          <w:highlight w:val="none"/>
        </w:rPr>
        <w:t>基本医疗保险政策进行报销；</w:t>
      </w:r>
    </w:p>
    <w:p w14:paraId="11A10CB1">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（2）无他方责任的意外伤害，参照基本医疗保险门诊及住院报销规定报销；</w:t>
      </w:r>
    </w:p>
    <w:p w14:paraId="2B0BBA87">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（3）有第三方责任的意外伤害，按参保人员本人承担的责任比例支付，计算公式为：住院报销金额=住院费用按政策规定结算的报销金额×参保人员本人承担的责任比例；</w:t>
      </w:r>
    </w:p>
    <w:p w14:paraId="34C9E63D">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（4）不纳入基本医疗保险基金支付范围的情形包括：</w:t>
      </w:r>
    </w:p>
    <w:p w14:paraId="3FFD3AE4">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1）</w:t>
      </w:r>
      <w:r>
        <w:rPr>
          <w:rStyle w:val="4"/>
          <w:rFonts w:hint="eastAsia" w:ascii="宋体" w:hAnsi="宋体" w:eastAsia="宋体" w:cs="宋体"/>
          <w:color w:val="auto"/>
          <w:sz w:val="21"/>
          <w:szCs w:val="21"/>
          <w:highlight w:val="none"/>
        </w:rPr>
        <w:t>打架斗殴、寻衅滋事、家庭暴力伤害、违反禁止燃放烟花爆竹规定等违法违规行为所致的；</w:t>
      </w:r>
    </w:p>
    <w:p w14:paraId="456926DD">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2）</w:t>
      </w:r>
      <w:r>
        <w:rPr>
          <w:rStyle w:val="4"/>
          <w:rFonts w:hint="eastAsia" w:ascii="宋体" w:hAnsi="宋体" w:eastAsia="宋体" w:cs="宋体"/>
          <w:color w:val="auto"/>
          <w:sz w:val="21"/>
          <w:szCs w:val="21"/>
          <w:highlight w:val="none"/>
        </w:rPr>
        <w:t>自杀、自伤自残（精神病患者除外），毒品、管制药物（遵医嘱用药除外）所致的；</w:t>
      </w:r>
    </w:p>
    <w:p w14:paraId="7BF4859D">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3）</w:t>
      </w:r>
      <w:r>
        <w:rPr>
          <w:rStyle w:val="4"/>
          <w:rFonts w:hint="eastAsia" w:ascii="宋体" w:hAnsi="宋体" w:eastAsia="宋体" w:cs="宋体"/>
          <w:color w:val="auto"/>
          <w:sz w:val="21"/>
          <w:szCs w:val="21"/>
          <w:highlight w:val="none"/>
        </w:rPr>
        <w:t>有隐瞒、欺诈行为的；</w:t>
      </w:r>
    </w:p>
    <w:p w14:paraId="011B9144">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4）</w:t>
      </w:r>
      <w:r>
        <w:rPr>
          <w:rStyle w:val="4"/>
          <w:rFonts w:hint="eastAsia" w:ascii="宋体" w:hAnsi="宋体" w:eastAsia="宋体" w:cs="宋体"/>
          <w:color w:val="auto"/>
          <w:sz w:val="21"/>
          <w:szCs w:val="21"/>
          <w:highlight w:val="none"/>
        </w:rPr>
        <w:t>应当从工伤保险基金支付的；</w:t>
      </w:r>
    </w:p>
    <w:p w14:paraId="195AEA7F">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5）</w:t>
      </w:r>
      <w:r>
        <w:rPr>
          <w:rStyle w:val="4"/>
          <w:rFonts w:hint="eastAsia" w:ascii="宋体" w:hAnsi="宋体" w:eastAsia="宋体" w:cs="宋体"/>
          <w:color w:val="auto"/>
          <w:sz w:val="21"/>
          <w:szCs w:val="21"/>
          <w:highlight w:val="none"/>
        </w:rPr>
        <w:t>应当由第三人负担的；</w:t>
      </w:r>
    </w:p>
    <w:p w14:paraId="68C83735">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6）</w:t>
      </w:r>
      <w:r>
        <w:rPr>
          <w:rStyle w:val="4"/>
          <w:rFonts w:hint="eastAsia" w:ascii="宋体" w:hAnsi="宋体" w:eastAsia="宋体" w:cs="宋体"/>
          <w:color w:val="auto"/>
          <w:sz w:val="21"/>
          <w:szCs w:val="21"/>
          <w:highlight w:val="none"/>
        </w:rPr>
        <w:t>因意外伤害造成的残疾或死亡补偿金；</w:t>
      </w:r>
    </w:p>
    <w:p w14:paraId="68D3FAEB">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7）</w:t>
      </w:r>
      <w:r>
        <w:rPr>
          <w:rStyle w:val="4"/>
          <w:rFonts w:hint="eastAsia" w:ascii="宋体" w:hAnsi="宋体" w:eastAsia="宋体" w:cs="宋体"/>
          <w:color w:val="auto"/>
          <w:sz w:val="21"/>
          <w:szCs w:val="21"/>
          <w:highlight w:val="none"/>
        </w:rPr>
        <w:t>在境外就医的；</w:t>
      </w:r>
    </w:p>
    <w:p w14:paraId="60B78B7E">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8）</w:t>
      </w:r>
      <w:r>
        <w:rPr>
          <w:rStyle w:val="4"/>
          <w:rFonts w:hint="eastAsia" w:ascii="宋体" w:hAnsi="宋体" w:eastAsia="宋体" w:cs="宋体"/>
          <w:color w:val="auto"/>
          <w:sz w:val="21"/>
          <w:szCs w:val="21"/>
          <w:highlight w:val="none"/>
        </w:rPr>
        <w:t>国家、省规定不予支付的其他情形。</w:t>
      </w:r>
    </w:p>
    <w:p w14:paraId="434DB1EB">
      <w:pPr>
        <w:keepNext w:val="0"/>
        <w:keepLines w:val="0"/>
        <w:pageBreakBefore w:val="0"/>
        <w:kinsoku/>
        <w:wordWrap/>
        <w:overflowPunct/>
        <w:topLinePunct w:val="0"/>
        <w:autoSpaceDE/>
        <w:autoSpaceDN/>
        <w:bidi w:val="0"/>
        <w:adjustRightInd/>
        <w:snapToGrid w:val="0"/>
        <w:spacing w:line="360" w:lineRule="auto"/>
        <w:ind w:firstLine="422" w:firstLineChars="200"/>
        <w:jc w:val="left"/>
        <w:textAlignment w:val="auto"/>
        <w:rPr>
          <w:rStyle w:val="4"/>
          <w:rFonts w:hint="eastAsia" w:ascii="宋体" w:hAnsi="宋体" w:eastAsia="宋体" w:cs="宋体"/>
          <w:b/>
          <w:bCs/>
          <w:color w:val="auto"/>
          <w:sz w:val="21"/>
          <w:szCs w:val="21"/>
          <w:highlight w:val="none"/>
        </w:rPr>
      </w:pPr>
      <w:r>
        <w:rPr>
          <w:rStyle w:val="4"/>
          <w:rFonts w:hint="eastAsia" w:ascii="宋体" w:hAnsi="宋体" w:eastAsia="宋体" w:cs="宋体"/>
          <w:b/>
          <w:bCs/>
          <w:color w:val="auto"/>
          <w:sz w:val="21"/>
          <w:szCs w:val="21"/>
          <w:highlight w:val="none"/>
        </w:rPr>
        <w:t>（三）承保期限</w:t>
      </w:r>
      <w:bookmarkEnd w:id="5"/>
    </w:p>
    <w:p w14:paraId="17ABD4A5">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Cs w:val="22"/>
          <w:highlight w:val="none"/>
        </w:rPr>
      </w:pPr>
      <w:r>
        <w:rPr>
          <w:rFonts w:hint="eastAsia" w:ascii="宋体" w:hAnsi="宋体" w:eastAsia="宋体" w:cs="宋体"/>
          <w:color w:val="auto"/>
          <w:kern w:val="0"/>
          <w:sz w:val="22"/>
          <w:szCs w:val="22"/>
          <w:highlight w:val="none"/>
        </w:rPr>
        <w:t>2026年1月1日零时起至2027年12月31日24时止，以参保病人出院日期为准。</w:t>
      </w:r>
    </w:p>
    <w:p w14:paraId="096FF499">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lang w:eastAsia="zh-CN"/>
        </w:rPr>
      </w:pPr>
      <w:bookmarkStart w:id="6" w:name="heading_6"/>
      <w:r>
        <w:rPr>
          <w:rStyle w:val="4"/>
          <w:rFonts w:hint="eastAsia" w:ascii="宋体" w:hAnsi="宋体" w:eastAsia="宋体" w:cs="宋体"/>
          <w:b/>
          <w:bCs/>
          <w:color w:val="auto"/>
          <w:sz w:val="21"/>
          <w:szCs w:val="21"/>
          <w:highlight w:val="none"/>
          <w:lang w:val="en-US" w:eastAsia="zh-CN"/>
        </w:rPr>
        <w:t>五</w:t>
      </w:r>
      <w:r>
        <w:rPr>
          <w:rStyle w:val="4"/>
          <w:rFonts w:hint="eastAsia" w:ascii="宋体" w:hAnsi="宋体" w:eastAsia="宋体" w:cs="宋体"/>
          <w:b/>
          <w:bCs/>
          <w:color w:val="auto"/>
          <w:sz w:val="21"/>
          <w:szCs w:val="21"/>
          <w:highlight w:val="none"/>
        </w:rPr>
        <w:t>、保费</w:t>
      </w:r>
      <w:bookmarkEnd w:id="6"/>
      <w:r>
        <w:rPr>
          <w:rStyle w:val="4"/>
          <w:rFonts w:hint="eastAsia" w:ascii="宋体" w:hAnsi="宋体" w:eastAsia="宋体" w:cs="宋体"/>
          <w:b/>
          <w:bCs/>
          <w:color w:val="auto"/>
          <w:sz w:val="21"/>
          <w:szCs w:val="21"/>
          <w:highlight w:val="none"/>
          <w:lang w:eastAsia="zh-CN"/>
        </w:rPr>
        <w:t>（</w:t>
      </w:r>
      <w:r>
        <w:rPr>
          <w:rStyle w:val="4"/>
          <w:rFonts w:hint="eastAsia" w:ascii="宋体" w:hAnsi="宋体" w:eastAsia="宋体" w:cs="宋体"/>
          <w:b/>
          <w:bCs/>
          <w:color w:val="auto"/>
          <w:sz w:val="21"/>
          <w:szCs w:val="21"/>
          <w:highlight w:val="none"/>
          <w:lang w:val="en-US" w:eastAsia="zh-CN"/>
        </w:rPr>
        <w:t>上限值</w:t>
      </w:r>
      <w:r>
        <w:rPr>
          <w:rStyle w:val="4"/>
          <w:rFonts w:hint="eastAsia" w:ascii="宋体" w:hAnsi="宋体" w:eastAsia="宋体" w:cs="宋体"/>
          <w:b/>
          <w:bCs/>
          <w:color w:val="auto"/>
          <w:sz w:val="21"/>
          <w:szCs w:val="21"/>
          <w:highlight w:val="none"/>
          <w:lang w:eastAsia="zh-CN"/>
        </w:rPr>
        <w:t>）</w:t>
      </w:r>
    </w:p>
    <w:p w14:paraId="7E51EB87">
      <w:pPr>
        <w:keepNext w:val="0"/>
        <w:keepLines w:val="0"/>
        <w:pageBreakBefore w:val="0"/>
        <w:kinsoku/>
        <w:wordWrap/>
        <w:overflowPunct/>
        <w:topLinePunct w:val="0"/>
        <w:autoSpaceDE/>
        <w:autoSpaceDN/>
        <w:bidi w:val="0"/>
        <w:adjustRightInd/>
        <w:spacing w:before="120" w:after="120" w:line="360" w:lineRule="auto"/>
        <w:ind w:left="0" w:firstLine="221" w:firstLineChars="100"/>
        <w:jc w:val="left"/>
        <w:textAlignment w:val="auto"/>
        <w:rPr>
          <w:rFonts w:hint="eastAsia" w:ascii="宋体" w:hAnsi="宋体" w:eastAsia="宋体" w:cs="宋体"/>
          <w:b/>
          <w:bCs/>
          <w:color w:val="auto"/>
          <w:kern w:val="0"/>
          <w:szCs w:val="22"/>
          <w:highlight w:val="none"/>
        </w:rPr>
      </w:pPr>
      <w:r>
        <w:rPr>
          <w:rFonts w:hint="eastAsia" w:ascii="宋体" w:hAnsi="宋体" w:eastAsia="宋体" w:cs="宋体"/>
          <w:b/>
          <w:bCs/>
          <w:color w:val="auto"/>
          <w:kern w:val="0"/>
          <w:sz w:val="22"/>
          <w:szCs w:val="22"/>
          <w:highlight w:val="none"/>
          <w:lang w:eastAsia="zh-CN"/>
        </w:rPr>
        <w:t>衡阳县城镇职工意外伤害医保基金商业保险服务</w:t>
      </w:r>
      <w:r>
        <w:rPr>
          <w:rFonts w:hint="eastAsia" w:ascii="宋体" w:hAnsi="宋体" w:eastAsia="宋体" w:cs="宋体"/>
          <w:b/>
          <w:bCs/>
          <w:color w:val="auto"/>
          <w:kern w:val="0"/>
          <w:sz w:val="22"/>
          <w:szCs w:val="22"/>
          <w:highlight w:val="none"/>
        </w:rPr>
        <w:t>价格上限为</w:t>
      </w:r>
      <w:r>
        <w:rPr>
          <w:rFonts w:hint="eastAsia" w:ascii="宋体" w:hAnsi="宋体" w:eastAsia="宋体" w:cs="宋体"/>
          <w:b/>
          <w:bCs/>
          <w:color w:val="auto"/>
          <w:kern w:val="0"/>
          <w:sz w:val="22"/>
          <w:szCs w:val="22"/>
          <w:highlight w:val="none"/>
          <w:lang w:val="en-US" w:eastAsia="zh-CN"/>
        </w:rPr>
        <w:t>96</w:t>
      </w:r>
      <w:r>
        <w:rPr>
          <w:rFonts w:hint="eastAsia" w:ascii="宋体" w:hAnsi="宋体" w:eastAsia="宋体" w:cs="宋体"/>
          <w:b/>
          <w:bCs/>
          <w:color w:val="auto"/>
          <w:kern w:val="0"/>
          <w:sz w:val="22"/>
          <w:szCs w:val="22"/>
          <w:highlight w:val="none"/>
        </w:rPr>
        <w:t>元/人/年(具体价格以中标价格为准)，参保人数预计</w:t>
      </w:r>
      <w:r>
        <w:rPr>
          <w:rFonts w:hint="eastAsia" w:ascii="宋体" w:hAnsi="宋体" w:eastAsia="宋体" w:cs="宋体"/>
          <w:b/>
          <w:bCs/>
          <w:color w:val="auto"/>
          <w:kern w:val="0"/>
          <w:sz w:val="22"/>
          <w:szCs w:val="22"/>
          <w:highlight w:val="none"/>
          <w:lang w:val="en-US" w:eastAsia="zh-CN"/>
        </w:rPr>
        <w:t>5</w:t>
      </w:r>
      <w:r>
        <w:rPr>
          <w:rFonts w:hint="eastAsia" w:ascii="宋体" w:hAnsi="宋体" w:eastAsia="宋体" w:cs="宋体"/>
          <w:b/>
          <w:bCs/>
          <w:color w:val="auto"/>
          <w:kern w:val="0"/>
          <w:sz w:val="22"/>
          <w:szCs w:val="22"/>
          <w:highlight w:val="none"/>
        </w:rPr>
        <w:t>万余人，保费约960万元（480万元/年）。</w:t>
      </w:r>
    </w:p>
    <w:p w14:paraId="6B9EC37A">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7" w:name="heading_7"/>
      <w:r>
        <w:rPr>
          <w:rStyle w:val="4"/>
          <w:rFonts w:hint="eastAsia" w:ascii="宋体" w:hAnsi="宋体" w:eastAsia="宋体" w:cs="宋体"/>
          <w:b/>
          <w:bCs/>
          <w:color w:val="auto"/>
          <w:sz w:val="21"/>
          <w:szCs w:val="21"/>
          <w:highlight w:val="none"/>
          <w:lang w:val="en-US" w:eastAsia="zh-CN"/>
        </w:rPr>
        <w:t>六</w:t>
      </w:r>
      <w:r>
        <w:rPr>
          <w:rStyle w:val="4"/>
          <w:rFonts w:hint="eastAsia" w:ascii="宋体" w:hAnsi="宋体" w:eastAsia="宋体" w:cs="宋体"/>
          <w:b/>
          <w:bCs/>
          <w:color w:val="auto"/>
          <w:sz w:val="21"/>
          <w:szCs w:val="21"/>
          <w:highlight w:val="none"/>
        </w:rPr>
        <w:t>、投保方式</w:t>
      </w:r>
      <w:bookmarkEnd w:id="7"/>
    </w:p>
    <w:p w14:paraId="23526049">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Cs w:val="22"/>
          <w:highlight w:val="none"/>
        </w:rPr>
      </w:pPr>
      <w:r>
        <w:rPr>
          <w:rFonts w:hint="eastAsia" w:ascii="宋体" w:hAnsi="宋体" w:eastAsia="宋体" w:cs="宋体"/>
          <w:color w:val="auto"/>
          <w:kern w:val="0"/>
          <w:sz w:val="22"/>
          <w:szCs w:val="22"/>
          <w:highlight w:val="none"/>
          <w:lang w:eastAsia="zh-CN"/>
        </w:rPr>
        <w:t>衡阳县城镇职工意外伤害医保基金商业保险服务</w:t>
      </w:r>
      <w:r>
        <w:rPr>
          <w:rFonts w:hint="eastAsia" w:ascii="宋体" w:hAnsi="宋体" w:eastAsia="宋体" w:cs="宋体"/>
          <w:color w:val="auto"/>
          <w:kern w:val="0"/>
          <w:sz w:val="22"/>
          <w:szCs w:val="22"/>
          <w:highlight w:val="none"/>
        </w:rPr>
        <w:t>分</w:t>
      </w: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个包进行公开招标，由商业保险公司采取总额打包、自负盈亏方式办理</w:t>
      </w:r>
      <w:r>
        <w:rPr>
          <w:rFonts w:hint="eastAsia" w:ascii="宋体" w:hAnsi="宋体" w:eastAsia="宋体" w:cs="宋体"/>
          <w:color w:val="auto"/>
          <w:kern w:val="0"/>
          <w:sz w:val="22"/>
          <w:szCs w:val="22"/>
          <w:highlight w:val="none"/>
          <w:lang w:eastAsia="zh-CN"/>
        </w:rPr>
        <w:t>城镇职工</w:t>
      </w:r>
      <w:r>
        <w:rPr>
          <w:rFonts w:hint="eastAsia" w:ascii="宋体" w:hAnsi="宋体" w:eastAsia="宋体" w:cs="宋体"/>
          <w:color w:val="auto"/>
          <w:kern w:val="0"/>
          <w:sz w:val="22"/>
          <w:szCs w:val="22"/>
          <w:highlight w:val="none"/>
        </w:rPr>
        <w:t>医保意外伤害业务。</w:t>
      </w:r>
    </w:p>
    <w:p w14:paraId="082E13FE">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8" w:name="heading_9"/>
      <w:r>
        <w:rPr>
          <w:rStyle w:val="4"/>
          <w:rFonts w:hint="eastAsia" w:ascii="宋体" w:hAnsi="宋体" w:eastAsia="宋体" w:cs="宋体"/>
          <w:b/>
          <w:bCs/>
          <w:color w:val="auto"/>
          <w:sz w:val="21"/>
          <w:szCs w:val="21"/>
          <w:highlight w:val="none"/>
          <w:lang w:val="en-US" w:eastAsia="zh-CN"/>
        </w:rPr>
        <w:t>七</w:t>
      </w:r>
      <w:r>
        <w:rPr>
          <w:rStyle w:val="4"/>
          <w:rFonts w:hint="eastAsia" w:ascii="宋体" w:hAnsi="宋体" w:eastAsia="宋体" w:cs="宋体"/>
          <w:b/>
          <w:bCs/>
          <w:color w:val="auto"/>
          <w:sz w:val="21"/>
          <w:szCs w:val="21"/>
          <w:highlight w:val="none"/>
        </w:rPr>
        <w:t>、承保责任</w:t>
      </w:r>
      <w:bookmarkEnd w:id="8"/>
    </w:p>
    <w:p w14:paraId="50A959B8">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bookmarkStart w:id="9" w:name="heading_10"/>
      <w:r>
        <w:rPr>
          <w:rFonts w:hint="eastAsia" w:ascii="宋体" w:hAnsi="宋体" w:eastAsia="宋体" w:cs="宋体"/>
          <w:color w:val="auto"/>
          <w:kern w:val="0"/>
          <w:sz w:val="22"/>
          <w:szCs w:val="22"/>
          <w:highlight w:val="none"/>
        </w:rPr>
        <w:t>（1）商业保险公司须建立独立的财务核算体系，自负盈亏，对医保意外伤害保险业务进行单独核算，确保基金使用规范、透明；</w:t>
      </w:r>
    </w:p>
    <w:p w14:paraId="00B452EB">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（2）承办商业保险机构负责基本医保意外伤害业务的经办服务工作，包括但不限于：</w:t>
      </w:r>
    </w:p>
    <w:p w14:paraId="26C98349">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受理登记、业务咨询</w:t>
      </w:r>
    </w:p>
    <w:p w14:paraId="54291268">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调查核实、资金支付</w:t>
      </w:r>
    </w:p>
    <w:p w14:paraId="2F770C89">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意外伤害事实核查</w:t>
      </w:r>
    </w:p>
    <w:p w14:paraId="00722C9A">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4）</w:t>
      </w:r>
      <w:r>
        <w:rPr>
          <w:rFonts w:hint="eastAsia" w:ascii="宋体" w:hAnsi="宋体" w:eastAsia="宋体" w:cs="宋体"/>
          <w:color w:val="auto"/>
          <w:kern w:val="0"/>
          <w:sz w:val="22"/>
          <w:szCs w:val="22"/>
          <w:highlight w:val="none"/>
        </w:rPr>
        <w:t>与医疗机构的业务对接</w:t>
      </w:r>
    </w:p>
    <w:p w14:paraId="0D61FC42">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（3）商业保险公司应按照合同约定，及时、准确地完成意外伤害医疗费用的审核、调查和赔付工作，确保参保人员权益得到保障；</w:t>
      </w:r>
    </w:p>
    <w:p w14:paraId="741234C0">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（4）商业保险公司须严格配合医保部门管理，确保资金安全，建立完善的内部风险控制机制。</w:t>
      </w:r>
    </w:p>
    <w:p w14:paraId="61D6D7D7">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r>
        <w:rPr>
          <w:rStyle w:val="4"/>
          <w:rFonts w:hint="eastAsia" w:ascii="宋体" w:hAnsi="宋体" w:eastAsia="宋体" w:cs="宋体"/>
          <w:b/>
          <w:bCs/>
          <w:color w:val="auto"/>
          <w:sz w:val="21"/>
          <w:szCs w:val="21"/>
          <w:highlight w:val="none"/>
          <w:lang w:val="en-US" w:eastAsia="zh-CN"/>
        </w:rPr>
        <w:t>八</w:t>
      </w:r>
      <w:r>
        <w:rPr>
          <w:rStyle w:val="4"/>
          <w:rFonts w:hint="eastAsia" w:ascii="宋体" w:hAnsi="宋体" w:eastAsia="宋体" w:cs="宋体"/>
          <w:b/>
          <w:bCs/>
          <w:color w:val="auto"/>
          <w:sz w:val="21"/>
          <w:szCs w:val="21"/>
          <w:highlight w:val="none"/>
        </w:rPr>
        <w:t>、协商</w:t>
      </w:r>
      <w:r>
        <w:rPr>
          <w:rStyle w:val="4"/>
          <w:rFonts w:hint="eastAsia" w:ascii="宋体" w:hAnsi="宋体" w:eastAsia="宋体" w:cs="宋体"/>
          <w:b/>
          <w:bCs/>
          <w:color w:val="auto"/>
          <w:sz w:val="21"/>
          <w:szCs w:val="21"/>
          <w:highlight w:val="none"/>
          <w:lang w:val="en-US" w:eastAsia="zh-CN"/>
        </w:rPr>
        <w:t>及考核</w:t>
      </w:r>
      <w:r>
        <w:rPr>
          <w:rStyle w:val="4"/>
          <w:rFonts w:hint="eastAsia" w:ascii="宋体" w:hAnsi="宋体" w:eastAsia="宋体" w:cs="宋体"/>
          <w:b/>
          <w:bCs/>
          <w:color w:val="auto"/>
          <w:sz w:val="21"/>
          <w:szCs w:val="21"/>
          <w:highlight w:val="none"/>
        </w:rPr>
        <w:t>机制</w:t>
      </w:r>
      <w:bookmarkEnd w:id="9"/>
    </w:p>
    <w:p w14:paraId="6F90C494">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strike w:val="0"/>
          <w:dstrike w:val="0"/>
          <w:color w:val="auto"/>
          <w:kern w:val="0"/>
          <w:sz w:val="22"/>
          <w:szCs w:val="22"/>
          <w:highlight w:val="none"/>
          <w:lang w:val="en-US" w:eastAsia="zh-CN"/>
        </w:rPr>
      </w:pPr>
      <w:r>
        <w:rPr>
          <w:rFonts w:hint="eastAsia" w:ascii="宋体" w:hAnsi="宋体" w:eastAsia="宋体" w:cs="宋体"/>
          <w:strike w:val="0"/>
          <w:dstrike w:val="0"/>
          <w:color w:val="auto"/>
          <w:kern w:val="0"/>
          <w:sz w:val="22"/>
          <w:szCs w:val="22"/>
          <w:highlight w:val="none"/>
          <w:lang w:val="en-US" w:eastAsia="zh-CN"/>
        </w:rPr>
        <w:t>按照《关于印发&lt;衡阳市意外伤害医疗保障管理办法(试行)&gt;的通知》（衡医保发[2025]45号）执行。</w:t>
      </w:r>
    </w:p>
    <w:p w14:paraId="3F44F708">
      <w:pPr>
        <w:keepNext w:val="0"/>
        <w:keepLines w:val="0"/>
        <w:pageBreakBefore w:val="0"/>
        <w:kinsoku/>
        <w:wordWrap/>
        <w:overflowPunct/>
        <w:topLinePunct w:val="0"/>
        <w:autoSpaceDE/>
        <w:autoSpaceDN/>
        <w:bidi w:val="0"/>
        <w:adjustRightInd/>
        <w:spacing w:before="120" w:after="120" w:line="360" w:lineRule="auto"/>
        <w:ind w:left="0" w:firstLine="220" w:firstLineChars="100"/>
        <w:jc w:val="center"/>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strike w:val="0"/>
          <w:dstrike w:val="0"/>
          <w:color w:val="auto"/>
          <w:kern w:val="0"/>
          <w:sz w:val="22"/>
          <w:szCs w:val="22"/>
          <w:highlight w:val="none"/>
          <w:lang w:val="en-US" w:eastAsia="zh-CN"/>
        </w:rPr>
        <w:br w:type="page"/>
      </w:r>
      <w:r>
        <w:rPr>
          <w:rFonts w:hint="eastAsia" w:ascii="宋体" w:hAnsi="宋体" w:eastAsia="宋体" w:cs="宋体"/>
          <w:b/>
          <w:bCs/>
          <w:color w:val="auto"/>
          <w:sz w:val="24"/>
          <w:szCs w:val="24"/>
          <w:highlight w:val="none"/>
          <w:lang w:val="en-US" w:eastAsia="zh-CN"/>
        </w:rPr>
        <w:t>第二节 商务要求</w:t>
      </w:r>
    </w:p>
    <w:tbl>
      <w:tblPr>
        <w:tblStyle w:val="5"/>
        <w:tblW w:w="92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92"/>
        <w:gridCol w:w="6392"/>
      </w:tblGrid>
      <w:tr w14:paraId="4BA12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exact"/>
          <w:jc w:val="center"/>
        </w:trPr>
        <w:tc>
          <w:tcPr>
            <w:tcW w:w="2892" w:type="dxa"/>
            <w:tcBorders>
              <w:top w:val="single" w:color="000000" w:sz="2" w:space="0"/>
              <w:bottom w:val="single" w:color="000000" w:sz="2" w:space="0"/>
            </w:tcBorders>
            <w:noWrap w:val="0"/>
            <w:vAlign w:val="center"/>
          </w:tcPr>
          <w:p w14:paraId="77B717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履行合同的时间、地点及方式</w:t>
            </w:r>
          </w:p>
        </w:tc>
        <w:tc>
          <w:tcPr>
            <w:tcW w:w="6392" w:type="dxa"/>
            <w:tcBorders>
              <w:top w:val="single" w:color="000000" w:sz="2" w:space="0"/>
              <w:bottom w:val="single" w:color="000000" w:sz="2" w:space="0"/>
            </w:tcBorders>
            <w:noWrap w:val="0"/>
            <w:vAlign w:val="center"/>
          </w:tcPr>
          <w:p w14:paraId="0E684F4F">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履行合同的时间：两年。</w:t>
            </w:r>
          </w:p>
          <w:p w14:paraId="15BE574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履行合同的地点：衡阳县。</w:t>
            </w:r>
          </w:p>
          <w:p w14:paraId="322F5735">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履行合同的方式：现场履约。</w:t>
            </w:r>
          </w:p>
        </w:tc>
      </w:tr>
      <w:tr w14:paraId="34B02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5" w:hRule="exact"/>
          <w:jc w:val="center"/>
        </w:trPr>
        <w:tc>
          <w:tcPr>
            <w:tcW w:w="2892" w:type="dxa"/>
            <w:tcBorders>
              <w:top w:val="single" w:color="000000" w:sz="2" w:space="0"/>
              <w:bottom w:val="single" w:color="000000" w:sz="2" w:space="0"/>
            </w:tcBorders>
            <w:noWrap w:val="0"/>
            <w:vAlign w:val="center"/>
          </w:tcPr>
          <w:p w14:paraId="220566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服务期限</w:t>
            </w:r>
          </w:p>
        </w:tc>
        <w:tc>
          <w:tcPr>
            <w:tcW w:w="6392" w:type="dxa"/>
            <w:tcBorders>
              <w:top w:val="single" w:color="000000" w:sz="2" w:space="0"/>
              <w:bottom w:val="single" w:color="000000" w:sz="2" w:space="0"/>
            </w:tcBorders>
            <w:noWrap w:val="0"/>
            <w:vAlign w:val="center"/>
          </w:tcPr>
          <w:p w14:paraId="489563BB">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两年，即202</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年1月1日零时起至202</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lang w:eastAsia="zh-CN"/>
              </w:rPr>
              <w:t>年12月31日</w:t>
            </w:r>
            <w:r>
              <w:rPr>
                <w:rFonts w:hint="eastAsia" w:ascii="宋体" w:hAnsi="宋体" w:eastAsia="宋体" w:cs="宋体"/>
                <w:color w:val="auto"/>
                <w:sz w:val="24"/>
                <w:szCs w:val="24"/>
                <w:highlight w:val="none"/>
                <w:lang w:val="en-US" w:eastAsia="zh-CN"/>
              </w:rPr>
              <w:t>24时</w:t>
            </w:r>
            <w:r>
              <w:rPr>
                <w:rFonts w:hint="eastAsia" w:ascii="宋体" w:hAnsi="宋体" w:eastAsia="宋体" w:cs="宋体"/>
                <w:color w:val="auto"/>
                <w:sz w:val="24"/>
                <w:szCs w:val="24"/>
                <w:highlight w:val="none"/>
                <w:lang w:eastAsia="zh-CN"/>
              </w:rPr>
              <w:t>止。经办服务协议一年一签，</w:t>
            </w:r>
            <w:r>
              <w:rPr>
                <w:rFonts w:hint="eastAsia" w:ascii="宋体" w:hAnsi="宋体" w:eastAsia="宋体" w:cs="宋体"/>
                <w:color w:val="auto"/>
                <w:sz w:val="24"/>
                <w:szCs w:val="24"/>
                <w:highlight w:val="none"/>
                <w:lang w:val="en-US" w:eastAsia="zh-CN"/>
              </w:rPr>
              <w:t>年度考核一年一次，考核不合格的，采购人有权终止协议。</w:t>
            </w:r>
            <w:r>
              <w:rPr>
                <w:rFonts w:hint="eastAsia" w:ascii="宋体" w:hAnsi="宋体" w:eastAsia="宋体" w:cs="宋体"/>
                <w:color w:val="auto"/>
                <w:sz w:val="24"/>
                <w:szCs w:val="24"/>
                <w:highlight w:val="none"/>
                <w:lang w:eastAsia="zh-CN"/>
              </w:rPr>
              <w:t>协议期内，省市</w:t>
            </w:r>
            <w:r>
              <w:rPr>
                <w:rFonts w:hint="eastAsia" w:ascii="宋体" w:hAnsi="宋体" w:eastAsia="宋体" w:cs="宋体"/>
                <w:color w:val="auto"/>
                <w:sz w:val="24"/>
                <w:szCs w:val="24"/>
                <w:highlight w:val="none"/>
                <w:lang w:val="en-US" w:eastAsia="zh-CN"/>
              </w:rPr>
              <w:t>如</w:t>
            </w:r>
            <w:r>
              <w:rPr>
                <w:rFonts w:hint="eastAsia" w:ascii="宋体" w:hAnsi="宋体" w:eastAsia="宋体" w:cs="宋体"/>
                <w:color w:val="auto"/>
                <w:sz w:val="24"/>
                <w:szCs w:val="24"/>
                <w:highlight w:val="none"/>
                <w:lang w:eastAsia="zh-CN"/>
              </w:rPr>
              <w:t>出台新政策，新政策与经办协议不抵触</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lang w:eastAsia="zh-CN"/>
              </w:rPr>
              <w:t>，可以继续执行经办协议；如新政策与经办协议有抵触，则无条件终止经办协议，</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lang w:eastAsia="zh-CN"/>
              </w:rPr>
              <w:t>不承担任何</w:t>
            </w:r>
            <w:r>
              <w:rPr>
                <w:rFonts w:hint="eastAsia" w:ascii="宋体" w:hAnsi="宋体" w:eastAsia="宋体" w:cs="宋体"/>
                <w:color w:val="auto"/>
                <w:sz w:val="24"/>
                <w:szCs w:val="24"/>
                <w:highlight w:val="none"/>
                <w:lang w:val="en-US" w:eastAsia="zh-CN"/>
              </w:rPr>
              <w:t>经济、</w:t>
            </w:r>
            <w:r>
              <w:rPr>
                <w:rFonts w:hint="eastAsia" w:ascii="宋体" w:hAnsi="宋体" w:eastAsia="宋体" w:cs="宋体"/>
                <w:color w:val="auto"/>
                <w:sz w:val="24"/>
                <w:szCs w:val="24"/>
                <w:highlight w:val="none"/>
                <w:lang w:eastAsia="zh-CN"/>
              </w:rPr>
              <w:t>法</w:t>
            </w:r>
            <w:r>
              <w:rPr>
                <w:rFonts w:hint="eastAsia" w:ascii="宋体" w:hAnsi="宋体" w:eastAsia="宋体" w:cs="宋体"/>
                <w:color w:val="auto"/>
                <w:sz w:val="24"/>
                <w:szCs w:val="24"/>
                <w:highlight w:val="none"/>
                <w:lang w:val="en-US" w:eastAsia="zh-CN"/>
              </w:rPr>
              <w:t>律等</w:t>
            </w:r>
            <w:r>
              <w:rPr>
                <w:rFonts w:hint="eastAsia" w:ascii="宋体" w:hAnsi="宋体" w:eastAsia="宋体" w:cs="宋体"/>
                <w:color w:val="auto"/>
                <w:sz w:val="24"/>
                <w:szCs w:val="24"/>
                <w:highlight w:val="none"/>
                <w:lang w:eastAsia="zh-CN"/>
              </w:rPr>
              <w:t>责任。</w:t>
            </w:r>
          </w:p>
        </w:tc>
      </w:tr>
      <w:tr w14:paraId="7E29D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exact"/>
          <w:jc w:val="center"/>
        </w:trPr>
        <w:tc>
          <w:tcPr>
            <w:tcW w:w="2892" w:type="dxa"/>
            <w:tcBorders>
              <w:top w:val="single" w:color="000000" w:sz="2" w:space="0"/>
              <w:bottom w:val="single" w:color="000000" w:sz="2" w:space="0"/>
            </w:tcBorders>
            <w:noWrap w:val="0"/>
            <w:vAlign w:val="center"/>
          </w:tcPr>
          <w:p w14:paraId="29180D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响应时间</w:t>
            </w:r>
          </w:p>
        </w:tc>
        <w:tc>
          <w:tcPr>
            <w:tcW w:w="6392" w:type="dxa"/>
            <w:tcBorders>
              <w:top w:val="single" w:color="000000" w:sz="2" w:space="0"/>
              <w:bottom w:val="single" w:color="000000" w:sz="2" w:space="0"/>
            </w:tcBorders>
            <w:noWrap w:val="0"/>
            <w:vAlign w:val="center"/>
          </w:tcPr>
          <w:p w14:paraId="319C7AC8">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7*24 小时</w:t>
            </w:r>
          </w:p>
        </w:tc>
      </w:tr>
      <w:tr w14:paraId="4D0D5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9" w:hRule="exact"/>
          <w:jc w:val="center"/>
        </w:trPr>
        <w:tc>
          <w:tcPr>
            <w:tcW w:w="2892" w:type="dxa"/>
            <w:tcBorders>
              <w:top w:val="single" w:color="000000" w:sz="2" w:space="0"/>
              <w:bottom w:val="single" w:color="000000" w:sz="2" w:space="0"/>
            </w:tcBorders>
            <w:noWrap w:val="0"/>
            <w:vAlign w:val="center"/>
          </w:tcPr>
          <w:p w14:paraId="7DFA18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合同价款支付方式和条件</w:t>
            </w:r>
          </w:p>
        </w:tc>
        <w:tc>
          <w:tcPr>
            <w:tcW w:w="6392" w:type="dxa"/>
            <w:tcBorders>
              <w:top w:val="single" w:color="000000" w:sz="2" w:space="0"/>
              <w:bottom w:val="single" w:color="000000" w:sz="2" w:space="0"/>
            </w:tcBorders>
            <w:noWrap w:val="0"/>
            <w:vAlign w:val="center"/>
          </w:tcPr>
          <w:p w14:paraId="219A79A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采购人按医保系统实际参保人数据实结算，按季拨付保费。在拨付第二季度、第三季度保费时中标人应提供上一季度结算付款凭据（含垫付制医院及在非垫付制医院出院的患者住院费用补偿清单）,采购人凭付款凭据拨付当季度保费（如中标人未提供上季度结算付款凭证的，采购人暂不予拨付）；最后一个季度暂按当季度保费的50％预拨，年终考核达80分以上的(含80分)，再拨付25%，剩余款项待补偿截止时间结束时，采购人一次付清。</w:t>
            </w:r>
          </w:p>
        </w:tc>
      </w:tr>
      <w:tr w14:paraId="2A01C5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exact"/>
          <w:jc w:val="center"/>
        </w:trPr>
        <w:tc>
          <w:tcPr>
            <w:tcW w:w="2892" w:type="dxa"/>
            <w:tcBorders>
              <w:top w:val="single" w:color="000000" w:sz="2" w:space="0"/>
              <w:bottom w:val="single" w:color="000000" w:sz="2" w:space="0"/>
            </w:tcBorders>
            <w:noWrap w:val="0"/>
            <w:vAlign w:val="center"/>
          </w:tcPr>
          <w:p w14:paraId="764EF6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Times New Roman" w:eastAsia="宋体" w:cs="@仿宋_GB2312"/>
                <w:color w:val="auto"/>
                <w:szCs w:val="20"/>
                <w:highlight w:val="none"/>
                <w:lang w:val="en-US" w:eastAsia="zh-CN"/>
              </w:rPr>
            </w:pPr>
            <w:r>
              <w:rPr>
                <w:rFonts w:hint="eastAsia" w:ascii="宋体" w:hAnsi="Times New Roman" w:eastAsia="宋体" w:cs="@仿宋_GB2312"/>
                <w:color w:val="auto"/>
                <w:szCs w:val="20"/>
                <w:highlight w:val="none"/>
                <w:lang w:val="en-US" w:eastAsia="zh-CN"/>
              </w:rPr>
              <w:t>其他</w:t>
            </w:r>
          </w:p>
        </w:tc>
        <w:tc>
          <w:tcPr>
            <w:tcW w:w="6392" w:type="dxa"/>
            <w:tcBorders>
              <w:top w:val="single" w:color="000000" w:sz="2" w:space="0"/>
              <w:bottom w:val="single" w:color="000000" w:sz="2" w:space="0"/>
            </w:tcBorders>
            <w:noWrap w:val="0"/>
            <w:vAlign w:val="center"/>
          </w:tcPr>
          <w:p w14:paraId="5124683B">
            <w:pPr>
              <w:keepNext w:val="0"/>
              <w:keepLines w:val="0"/>
              <w:pageBreakBefore w:val="0"/>
              <w:numPr>
                <w:ilvl w:val="0"/>
                <w:numId w:val="0"/>
              </w:numPr>
              <w:kinsoku/>
              <w:wordWrap/>
              <w:overflowPunct/>
              <w:topLinePunct w:val="0"/>
              <w:autoSpaceDE/>
              <w:autoSpaceDN/>
              <w:bidi w:val="0"/>
              <w:adjustRightInd/>
              <w:spacing w:before="120" w:after="120" w:line="360" w:lineRule="auto"/>
              <w:ind w:left="0" w:leftChars="0" w:firstLine="220" w:firstLineChars="10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2"/>
                <w:szCs w:val="22"/>
                <w:highlight w:val="none"/>
              </w:rPr>
              <w:t>未尽事宜在甲乙双方签订的协议中予以约定。</w:t>
            </w:r>
          </w:p>
        </w:tc>
      </w:tr>
      <w:tr w14:paraId="25918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exact"/>
          <w:jc w:val="center"/>
        </w:trPr>
        <w:tc>
          <w:tcPr>
            <w:tcW w:w="2892" w:type="dxa"/>
            <w:tcBorders>
              <w:top w:val="single" w:color="000000" w:sz="2" w:space="0"/>
              <w:bottom w:val="single" w:color="000000" w:sz="2" w:space="0"/>
            </w:tcBorders>
            <w:noWrap w:val="0"/>
            <w:vAlign w:val="center"/>
          </w:tcPr>
          <w:p w14:paraId="6889ED98">
            <w:pPr>
              <w:widowControl/>
              <w:spacing w:before="210" w:after="210" w:line="360" w:lineRule="auto"/>
              <w:jc w:val="center"/>
              <w:rPr>
                <w:rFonts w:hint="eastAsia" w:ascii="Calibri" w:hAnsi="Calibri" w:eastAsia="宋体" w:cs="Times New Roman"/>
                <w:color w:val="auto"/>
                <w:kern w:val="2"/>
                <w:sz w:val="21"/>
                <w:szCs w:val="22"/>
                <w:highlight w:val="none"/>
                <w:lang w:val="en-US" w:eastAsia="zh-CN" w:bidi="ar-SA"/>
              </w:rPr>
            </w:pPr>
            <w:r>
              <w:rPr>
                <w:rFonts w:hint="eastAsia" w:ascii="宋体" w:hAnsi="宋体" w:eastAsia="宋体" w:cs="宋体"/>
                <w:color w:val="auto"/>
                <w:spacing w:val="30"/>
                <w:kern w:val="0"/>
                <w:sz w:val="24"/>
                <w:szCs w:val="24"/>
                <w:highlight w:val="none"/>
                <w:lang w:val="en-US" w:eastAsia="zh-CN" w:bidi="ar-SA"/>
              </w:rPr>
              <w:t>解决争议的方式</w:t>
            </w:r>
          </w:p>
        </w:tc>
        <w:tc>
          <w:tcPr>
            <w:tcW w:w="6392" w:type="dxa"/>
            <w:tcBorders>
              <w:top w:val="single" w:color="000000" w:sz="2" w:space="0"/>
              <w:bottom w:val="single" w:color="000000" w:sz="2" w:space="0"/>
            </w:tcBorders>
            <w:noWrap w:val="0"/>
            <w:vAlign w:val="center"/>
          </w:tcPr>
          <w:p w14:paraId="622A4496">
            <w:pPr>
              <w:widowControl/>
              <w:spacing w:before="210" w:after="210" w:line="360" w:lineRule="auto"/>
              <w:jc w:val="center"/>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bCs/>
                <w:color w:val="auto"/>
                <w:kern w:val="0"/>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 xml:space="preserve">仲裁  </w:t>
            </w:r>
            <w:r>
              <w:rPr>
                <w:rFonts w:hint="eastAsia" w:ascii="宋体" w:hAnsi="宋体" w:eastAsia="宋体" w:cs="宋体"/>
                <w:bCs/>
                <w:color w:val="auto"/>
                <w:kern w:val="0"/>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诉讼</w:t>
            </w:r>
          </w:p>
        </w:tc>
      </w:tr>
    </w:tbl>
    <w:p w14:paraId="73D8D3E2">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72A2C"/>
    <w:rsid w:val="60E72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qFormat/>
    <w:uiPriority w:val="0"/>
  </w:style>
  <w:style w:type="table" w:customStyle="1" w:styleId="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2026-02-26T08:45:00Z</dcterms:created>
  <dc:creator>阳镇宇</dc:creator>
  <cp:lastModifiedBy>阳镇宇</cp:lastModifiedBy>
  <dcterms:modified xsi:type="dcterms:W3CDTF">2026-02-26T08:46:09Z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05DBF9D1B76A49DD9D0870AADFCDF113_11</vt:lpwstr>
  </property>
  <property fmtid="{D5CDD505-2E9C-101B-9397-08002B2CF9AE}" pid="4" name="KSOTemplateDocerSaveRecord">
    <vt:lpwstr>eyJoZGlkIjoiZDhkOTM3ZjQwMGQ2OThlZmY5ODg3N2JjM2QwODc4NTMiLCJ1c2VySWQiOiIzNDQzMzUyMTkifQ==</vt:lpwstr>
  </property>
</Properties>
</file>