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ordWrap w:val="0"/>
        <w:spacing w:line="360" w:lineRule="auto"/>
        <w:rPr>
          <w:rFonts w:hint="eastAsia"/>
          <w:sz w:val="32"/>
          <w:szCs w:val="22"/>
        </w:rPr>
      </w:pPr>
      <w:bookmarkStart w:id="0" w:name="_Toc256000013"/>
      <w:bookmarkStart w:id="1" w:name="_Toc182296899"/>
      <w:r>
        <w:rPr>
          <w:rFonts w:hint="eastAsia"/>
          <w:sz w:val="32"/>
          <w:szCs w:val="22"/>
          <w:highlight w:val="white"/>
        </w:rPr>
        <w:t>第四章 采购需求</w:t>
      </w:r>
      <w:bookmarkEnd w:id="0"/>
      <w:bookmarkEnd w:id="1"/>
    </w:p>
    <w:p>
      <w:pPr>
        <w:wordWrap w:val="0"/>
        <w:rPr>
          <w:rFonts w:hint="eastAsia"/>
          <w:highlight w:val="red"/>
        </w:rPr>
      </w:pPr>
      <w:bookmarkStart w:id="2" w:name="EB5944931691994122aef918325831be86"/>
    </w:p>
    <w:p>
      <w:pPr>
        <w:pStyle w:val="5"/>
        <w:numPr>
          <w:ilvl w:val="0"/>
          <w:numId w:val="0"/>
        </w:numPr>
        <w:jc w:val="center"/>
        <w:rPr>
          <w:rStyle w:val="4"/>
          <w:rFonts w:hint="eastAsia" w:ascii="宋体" w:hAnsi="宋体" w:eastAsia="宋体" w:cs="宋体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Style w:val="4"/>
          <w:rFonts w:hint="eastAsia" w:ascii="宋体" w:hAnsi="宋体" w:eastAsia="宋体" w:cs="宋体"/>
          <w:color w:val="auto"/>
          <w:kern w:val="2"/>
          <w:sz w:val="32"/>
          <w:szCs w:val="32"/>
          <w:highlight w:val="none"/>
          <w:lang w:val="en-US" w:eastAsia="zh-CN" w:bidi="ar-SA"/>
        </w:rPr>
        <w:t>一、技术要求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lang w:val="en-US" w:eastAsia="zh-CN" w:bidi="ar-SA"/>
        </w:rPr>
        <w:t>一、</w:t>
      </w: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项目基本情况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1、项目名称：</w:t>
      </w: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</w:rPr>
        <w:t>衡阳县中小学（幼儿园）食堂金刚</w:t>
      </w: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网</w:t>
      </w: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</w:rPr>
        <w:t>折叠门</w:t>
      </w: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</w:rPr>
        <w:t>金刚</w:t>
      </w: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网</w:t>
      </w: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</w:rPr>
        <w:t>纱窗采购项目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2、采购预算：979404.4元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二、采购要求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1、货物清单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275"/>
        <w:gridCol w:w="4935"/>
        <w:gridCol w:w="810"/>
        <w:gridCol w:w="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493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规格/型号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金刚网拉闸门与折叠门</w:t>
            </w:r>
          </w:p>
        </w:tc>
        <w:tc>
          <w:tcPr>
            <w:tcW w:w="493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1.采用厚度不少于2.6㎜铝合金门框、门套、导轨，材质标准应符合国家标准GB/T3190-2020标准；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2.要求门框变形度及铝合金化学成分含量符合相应国家标准；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3.金刚纱网孔径11目，厚度大于或等于0.8㎜；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4.门框均采用不锈钢链接件，门锁、插销等均符合国家标准，确保结构可靠，安全稳定；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5.可使用拉闸式收缩门或折叠门，折叠门折叠后门洞可全开；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6.安装后门底部与地面缝隙高度小于1㎝，侧部与顶部无缝隙，保证门框与地面平行，正常开启；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7.装配金刚纱网孔径11目，厚度大于或等于0.8㎜，且防锈的金属纱网；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8.使用拉闸式收缩门均为对开门，使用折叠门：门洞少于2m的为折叠门对开门，门洞大于2m为4折叠对开门（每边2折叠） 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9.采用拉闸式收缩门地面导轨应使用厚度不少于2.0mm不锈钢导轨。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10.使用折叠门门框铝材质宽不少于75mm，厚不少于33mm，门框内孔外部安装25cm×25方格型铝合金纱网保护支架，内安装压条。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1823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金刚网纱窗</w:t>
            </w:r>
          </w:p>
        </w:tc>
        <w:tc>
          <w:tcPr>
            <w:tcW w:w="493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1.采用厚度不少于1.5㎜铝合金窗框，材质应符合国家标准GB/T3190-2020标准；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2.要求窗框变形度及铝合金化学成分含量符合相应国家标准；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3.采用不锈钢链接件；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4.金刚纱网孔径11目，厚度大于或等于0.8㎜，且防锈的金属纱网。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2279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㎡</w:t>
            </w:r>
          </w:p>
        </w:tc>
      </w:tr>
    </w:tbl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2、安装要求：测量要精准，安装要牢固≤0.5毫米，要起到防鼠、蚊虫、防飞禽的作用，与原门窗要适配，不影响原门窗的开启或关闭。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3、环保要求：执行《民用建筑工程室内环境污染控制标准》GB50325。 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4、配送要求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4.1由中标人按招标人要求配送到指定地点，运输费由中标投标人承担。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4.2中标人应及时组织配送团队做好配送服务工作，因为组织管理不力造成损失、责任及风险等，均由投标人自行承担，招标人不承担任何补偿和责任。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三、服务及其他要求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1.中标人需要到各学校进行现场测量、安装。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.中标人应为运输和安装人员购买相关安全责任险，在运输和安装过程中出现人身伤害事故由中标投标人负责，招标人不承担任何责任。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.当招标人对中标人供应的产品质量提出异议时，应由招标人委托有资质的检测公司，对产品实施检验，检验费应由中标人负责。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、供应商在投标前，如需踏勘现场，有关费用自理，踏勘期间发生的意外自负。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、对于上述项目要求</w:t>
      </w: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及商务要求</w:t>
      </w:r>
      <w:r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，供应商</w:t>
      </w: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须</w:t>
      </w:r>
      <w:r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在响应文件中进行回应，做出承诺及说明。</w:t>
      </w:r>
    </w:p>
    <w:p>
      <w:pPr>
        <w:pStyle w:val="6"/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vertAlign w:val="baseline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附学校明细表：</w:t>
      </w:r>
    </w:p>
    <w:tbl>
      <w:tblPr>
        <w:tblStyle w:val="7"/>
        <w:tblW w:w="90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3161"/>
        <w:gridCol w:w="4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b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7379" w:type="dxa"/>
            <w:gridSpan w:val="2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7379" w:type="dxa"/>
            <w:gridSpan w:val="2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7379" w:type="dxa"/>
            <w:gridSpan w:val="2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第四中学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7379" w:type="dxa"/>
            <w:gridSpan w:val="2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7379" w:type="dxa"/>
            <w:gridSpan w:val="2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衡阳县弘扬中学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7379" w:type="dxa"/>
            <w:gridSpan w:val="2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衡阳县实验学校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7379" w:type="dxa"/>
            <w:gridSpan w:val="2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蒸阳学校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7379" w:type="dxa"/>
            <w:gridSpan w:val="2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特殊教育学校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西渡联校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清平中学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西渡联校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英陂完小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西渡联校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阳古小学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西渡联校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英陂中学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西渡联校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秋塘完小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西渡联校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咸水小学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西渡联校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咸水学校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西渡联校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陡岭小学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西渡联校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西渡中学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西渡联校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杉桥联校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杉桥中学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杉桥联校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石元完全小学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杉桥联校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杉桥中心小学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演陂联校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新塘完全小学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演陂联校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方工完全小学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演陂联校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六塘完全小学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演陂联校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中科实验学校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演陂联校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中心幼儿园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演陂联校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演陂中学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演陂联校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演陂联校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方工中学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樟木联校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中心幼儿园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樟木联校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里仁完小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31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樟木联校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樟木中学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32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樟木联校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33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井头联校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34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岣嵝联校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岣嵝中学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35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岘山联校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岘山中学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36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岘山联校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木口中学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37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岘山联校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檀山中学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38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岘山联校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檀山完全小学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39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岘山联校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岘山中心小学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40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关市联校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关市中心小学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41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关市联校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双溪中学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42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关市联校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关市中学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43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关市联校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汇水中学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44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关市联校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盘石完小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45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关市联校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双溪完小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46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界牌联校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界牌中心小学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47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界牌联校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银瓷完全小学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48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界牌联校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唐福完小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49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界牌联校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白象小学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50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界牌联校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界牌中心幼儿园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51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金兰联校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金兰中心幼儿园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52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金兰联校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石坳学校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53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金兰联校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贺市完小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54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金兰联校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山水学校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55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金溪联校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隆兴完小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56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金溪联校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金溪中心小学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57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集兵联校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集兵中学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58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集兵联校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集兵中心小学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59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三湖联校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三湖中学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60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三湖联校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三湖中心小学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61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三湖联校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鼓峰完小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62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三湖联校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甘泉完小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63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三湖联校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甘泉小学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64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三湖联校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六一完小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65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台长联校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九市完全小学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66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台长联校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福溪完全小学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67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曲兰联校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桐梓中学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68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曲兰联校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曲兰中心幼儿园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69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洪市联校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洪市中学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70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洪市联校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高碧中学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71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洪市联校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夏明翰中学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72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洪市联校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洪市中心小学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73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樟板联校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樟树中心小学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74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樟板联校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板市中学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75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樟板联校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板市小学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76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石市联校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醒狮学校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77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石市联校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金屏学校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78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石市联校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石市中学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79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石市联校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石市中心小学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80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石市联校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甲满学校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81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渣江联校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文德完小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82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渣江联校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松市完小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83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渣江联校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渣江中心小学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84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渣江联校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盐田中学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85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渣江联校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渣江中学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86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溪江联校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富田完小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87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溪江联校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溪江中心小学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88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大安联校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水寺学校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89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大安联校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上乔小学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90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大安联校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大安中学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91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大安联校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大安中心小学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92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库宗桥中心小学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93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玩市完全小学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94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95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嘉隆完全小学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96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新华完全小学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97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大町小学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98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99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石口中学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pStyle w:val="6"/>
              <w:snapToGrid w:val="0"/>
              <w:ind w:left="0" w:leftChars="0" w:right="0" w:rightChars="0" w:firstLine="0" w:firstLineChars="0"/>
              <w:jc w:val="center"/>
              <w:rPr>
                <w:rStyle w:val="4"/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100</w:t>
            </w:r>
          </w:p>
        </w:tc>
        <w:tc>
          <w:tcPr>
            <w:tcW w:w="316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库宗桥联校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古井中学</w:t>
            </w:r>
          </w:p>
        </w:tc>
      </w:tr>
    </w:tbl>
    <w:p>
      <w:pPr>
        <w:pStyle w:val="6"/>
        <w:rPr>
          <w:rStyle w:val="4"/>
          <w:rFonts w:hint="default" w:eastAsia="宋体" w:cs="Times New Roman"/>
          <w:color w:val="auto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5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5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5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5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5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5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5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5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5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rPr>
          <w:rStyle w:val="4"/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  <w:bookmarkStart w:id="3" w:name="_GoBack"/>
      <w:bookmarkEnd w:id="3"/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Style w:val="4"/>
          <w:rFonts w:hint="default" w:ascii="宋体" w:hAnsi="宋体" w:eastAsia="宋体" w:cs="宋体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Style w:val="4"/>
          <w:rFonts w:hint="eastAsia" w:ascii="宋体" w:hAnsi="宋体" w:eastAsia="宋体" w:cs="宋体"/>
          <w:color w:val="auto"/>
          <w:kern w:val="2"/>
          <w:sz w:val="32"/>
          <w:szCs w:val="32"/>
          <w:highlight w:val="none"/>
          <w:lang w:val="en-US" w:eastAsia="zh-CN" w:bidi="ar-SA"/>
        </w:rPr>
        <w:t>二、商务要求</w:t>
      </w:r>
    </w:p>
    <w:tbl>
      <w:tblPr>
        <w:tblStyle w:val="3"/>
        <w:tblW w:w="8502" w:type="dxa"/>
        <w:tblInd w:w="1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56"/>
        <w:gridCol w:w="4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1" w:hRule="atLeast"/>
        </w:trPr>
        <w:tc>
          <w:tcPr>
            <w:tcW w:w="425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pacing w:val="3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pacing w:val="30"/>
                <w:kern w:val="0"/>
                <w:sz w:val="21"/>
                <w:szCs w:val="21"/>
                <w:highlight w:val="none"/>
                <w:lang w:val="en-US" w:eastAsia="zh-CN" w:bidi="ar-SA"/>
              </w:rPr>
              <w:t>履行合同的时间、地点及方式</w:t>
            </w:r>
          </w:p>
        </w:tc>
        <w:tc>
          <w:tcPr>
            <w:tcW w:w="424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交货时间：自合同签订之日起15天内完成施工并验收合格交付投入使用。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交货地点：采购人指定地点（衡阳县境内100所中小学校及幼儿园）。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pacing w:val="3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交货方式：现场交货。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3" w:hRule="atLeast"/>
        </w:trPr>
        <w:tc>
          <w:tcPr>
            <w:tcW w:w="425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="240"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pacing w:val="30"/>
                <w:kern w:val="0"/>
                <w:sz w:val="21"/>
                <w:szCs w:val="21"/>
                <w:highlight w:val="none"/>
                <w:lang w:val="en-US" w:eastAsia="zh-CN" w:bidi="ar-SA"/>
              </w:rPr>
              <w:t>质量保证期</w:t>
            </w:r>
          </w:p>
        </w:tc>
        <w:tc>
          <w:tcPr>
            <w:tcW w:w="424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="240"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</w:trPr>
        <w:tc>
          <w:tcPr>
            <w:tcW w:w="425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after="210" w:line="360" w:lineRule="auto"/>
              <w:jc w:val="center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pacing w:val="3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pacing w:val="30"/>
                <w:kern w:val="0"/>
                <w:sz w:val="21"/>
                <w:szCs w:val="21"/>
                <w:highlight w:val="none"/>
                <w:lang w:val="en-US" w:eastAsia="zh-CN" w:bidi="ar-SA"/>
              </w:rPr>
              <w:t>响应时间</w:t>
            </w:r>
          </w:p>
        </w:tc>
        <w:tc>
          <w:tcPr>
            <w:tcW w:w="424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4"/>
                <w:rFonts w:hint="default" w:ascii="宋体" w:hAnsi="宋体" w:eastAsia="宋体" w:cs="宋体"/>
                <w:color w:val="auto"/>
                <w:spacing w:val="30"/>
                <w:kern w:val="0"/>
                <w:szCs w:val="21"/>
                <w:highlight w:val="none"/>
                <w:lang w:val="en-US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7*24小时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0" w:hRule="atLeast"/>
        </w:trPr>
        <w:tc>
          <w:tcPr>
            <w:tcW w:w="425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after="210" w:line="360" w:lineRule="auto"/>
              <w:jc w:val="center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pacing w:val="3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pacing w:val="30"/>
                <w:kern w:val="0"/>
                <w:sz w:val="21"/>
                <w:szCs w:val="21"/>
                <w:highlight w:val="none"/>
                <w:lang w:val="en-US" w:eastAsia="zh-CN" w:bidi="ar-SA"/>
              </w:rPr>
              <w:t>合同价款支付方式和条件</w:t>
            </w:r>
          </w:p>
        </w:tc>
        <w:tc>
          <w:tcPr>
            <w:tcW w:w="424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pacing w:val="30"/>
                <w:kern w:val="0"/>
                <w:szCs w:val="21"/>
                <w:highlight w:val="none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货到安装调试完成并验收合格后支付合同金额的95%，剩余5%在质量保证期满后无息付清。（具体事项以合同签订为准）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</w:trPr>
        <w:tc>
          <w:tcPr>
            <w:tcW w:w="425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after="210" w:line="360" w:lineRule="auto"/>
              <w:jc w:val="center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pacing w:val="3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spacing w:val="30"/>
                <w:kern w:val="0"/>
                <w:sz w:val="21"/>
                <w:szCs w:val="21"/>
                <w:highlight w:val="none"/>
                <w:lang w:val="en-US" w:eastAsia="zh-CN" w:bidi="ar-SA"/>
              </w:rPr>
              <w:t>解决争议的方式</w:t>
            </w:r>
          </w:p>
        </w:tc>
        <w:tc>
          <w:tcPr>
            <w:tcW w:w="424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after="210" w:line="360" w:lineRule="auto"/>
              <w:jc w:val="left"/>
              <w:textAlignment w:val="auto"/>
              <w:rPr>
                <w:rStyle w:val="4"/>
                <w:rFonts w:hint="eastAsia" w:ascii="宋体" w:hAnsi="宋体" w:eastAsia="宋体" w:cs="宋体"/>
                <w:color w:val="auto"/>
                <w:spacing w:val="3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☑</w:t>
            </w:r>
            <w:r>
              <w:rPr>
                <w:rStyle w:val="4"/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仲裁  </w:t>
            </w:r>
            <w:r>
              <w:rPr>
                <w:rStyle w:val="4"/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□</w:t>
            </w:r>
            <w:r>
              <w:rPr>
                <w:rStyle w:val="4"/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诉讼</w:t>
            </w:r>
          </w:p>
        </w:tc>
      </w:tr>
    </w:tbl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Style w:val="4"/>
          <w:rFonts w:hint="default" w:ascii="宋体" w:hAnsi="宋体" w:eastAsia="宋体" w:cs="宋体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wordWrap w:val="0"/>
        <w:rPr>
          <w:rFonts w:hint="eastAsia"/>
          <w:color w:val="000080"/>
          <w:highlight w:val="white"/>
        </w:rPr>
      </w:pPr>
      <w:r>
        <w:rPr>
          <w:rFonts w:hint="eastAsia"/>
          <w:color w:val="000080"/>
          <w:highlight w:val="white"/>
        </w:rPr>
        <w:t xml:space="preserve"> </w:t>
      </w:r>
      <w:bookmarkEnd w:id="2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jNThiMWMwMjRlZTEwNTBjNWMwYmNmOTI4NmFiMDIifQ=="/>
  </w:docVars>
  <w:rsids>
    <w:rsidRoot w:val="035A59E1"/>
    <w:rsid w:val="035A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_17"/>
    <w:next w:val="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文本_1"/>
    <w:next w:val="5"/>
    <w:unhideWhenUsed/>
    <w:qFormat/>
    <w:uiPriority w:val="1"/>
    <w:pPr>
      <w:widowControl w:val="0"/>
      <w:jc w:val="both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table" w:customStyle="1" w:styleId="7">
    <w:name w:val="网格型_0"/>
    <w:qFormat/>
    <w:uiPriority w:val="5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2026-02-26T02:09:00Z</dcterms:created>
  <dc:creator>admin</dc:creator>
  <cp:lastModifiedBy>admin</cp:lastModifiedBy>
  <dcterms:modified xsi:type="dcterms:W3CDTF">2026-02-26T02:09:58Z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DD0C41ABA4B2477191E30CD948259C30_11</vt:lpwstr>
  </property>
</Properties>
</file>