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1EF1A">
      <w:pPr>
        <w:pStyle w:val="2"/>
        <w:spacing w:before="120" w:after="120"/>
        <w:rPr>
          <w:rFonts w:hint="eastAsia"/>
          <w:color w:val="auto"/>
          <w:highlight w:val="none"/>
        </w:rPr>
      </w:pPr>
      <w:r>
        <w:rPr>
          <w:rFonts w:hint="eastAsia"/>
          <w:color w:val="auto"/>
          <w:highlight w:val="none"/>
        </w:rPr>
        <w:t>采购内容与</w:t>
      </w:r>
      <w:r>
        <w:rPr>
          <w:color w:val="auto"/>
          <w:highlight w:val="none"/>
        </w:rPr>
        <w:t>要求</w:t>
      </w:r>
    </w:p>
    <w:p w14:paraId="5AE4649F">
      <w:pPr>
        <w:widowControl/>
        <w:jc w:val="center"/>
        <w:rPr>
          <w:rFonts w:ascii="Times New Roman" w:hAnsi="Times New Roman" w:eastAsia="Times New Roman" w:cs="Times New Roman"/>
          <w:b/>
          <w:bCs/>
          <w:color w:val="auto"/>
          <w:kern w:val="0"/>
          <w:sz w:val="30"/>
          <w:szCs w:val="30"/>
          <w:highlight w:val="none"/>
        </w:rPr>
      </w:pPr>
      <w:bookmarkStart w:id="0" w:name="EB469f22d861c64ce29b6fd03a79836fb8"/>
      <w:r>
        <w:rPr>
          <w:rFonts w:ascii="宋体" w:hAnsi="宋体" w:eastAsia="宋体" w:cs="宋体"/>
          <w:b/>
          <w:bCs/>
          <w:color w:val="auto"/>
          <w:spacing w:val="30"/>
          <w:kern w:val="0"/>
          <w:sz w:val="30"/>
          <w:szCs w:val="30"/>
          <w:highlight w:val="none"/>
        </w:rPr>
        <w:t>第一节 技术要求</w:t>
      </w:r>
    </w:p>
    <w:p w14:paraId="324886DE">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Times New Roman" w:hAnsi="Times New Roman" w:eastAsia="黑体" w:cs="Times New Roman"/>
          <w:color w:val="auto"/>
          <w:highlight w:val="none"/>
          <w:lang w:val="en-US" w:eastAsia="zh-CN"/>
        </w:rPr>
      </w:pPr>
      <w:r>
        <w:rPr>
          <w:rFonts w:hint="eastAsia" w:ascii="宋体" w:hAnsi="宋体" w:eastAsia="宋体" w:cs="宋体"/>
          <w:bCs/>
          <w:color w:val="auto"/>
          <w:kern w:val="2"/>
          <w:sz w:val="24"/>
          <w:szCs w:val="24"/>
          <w:highlight w:val="none"/>
          <w:lang w:val="en-US" w:eastAsia="zh-CN" w:bidi="ar-SA"/>
        </w:rPr>
        <w:t>一、采购内容及数量</w:t>
      </w:r>
    </w:p>
    <w:tbl>
      <w:tblPr>
        <w:tblStyle w:val="5"/>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494"/>
        <w:gridCol w:w="1966"/>
        <w:gridCol w:w="1283"/>
        <w:gridCol w:w="1339"/>
        <w:gridCol w:w="1425"/>
        <w:gridCol w:w="1477"/>
      </w:tblGrid>
      <w:tr w14:paraId="1A67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56" w:type="dxa"/>
            <w:noWrap w:val="0"/>
            <w:vAlign w:val="center"/>
          </w:tcPr>
          <w:p w14:paraId="687FB66E">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default"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包号</w:t>
            </w:r>
          </w:p>
        </w:tc>
        <w:tc>
          <w:tcPr>
            <w:tcW w:w="1494" w:type="dxa"/>
            <w:noWrap w:val="0"/>
            <w:vAlign w:val="center"/>
          </w:tcPr>
          <w:p w14:paraId="4A8ECA1C">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 xml:space="preserve">产品名称 </w:t>
            </w:r>
          </w:p>
        </w:tc>
        <w:tc>
          <w:tcPr>
            <w:tcW w:w="1966" w:type="dxa"/>
            <w:noWrap w:val="0"/>
            <w:vAlign w:val="center"/>
          </w:tcPr>
          <w:p w14:paraId="1EDBE7D0">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品种型号</w:t>
            </w:r>
          </w:p>
        </w:tc>
        <w:tc>
          <w:tcPr>
            <w:tcW w:w="1283" w:type="dxa"/>
            <w:noWrap w:val="0"/>
            <w:vAlign w:val="center"/>
          </w:tcPr>
          <w:p w14:paraId="296DACAE">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数量</w:t>
            </w:r>
          </w:p>
          <w:p w14:paraId="554B9384">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（kg）</w:t>
            </w:r>
          </w:p>
        </w:tc>
        <w:tc>
          <w:tcPr>
            <w:tcW w:w="1339" w:type="dxa"/>
            <w:noWrap w:val="0"/>
            <w:vAlign w:val="center"/>
          </w:tcPr>
          <w:p w14:paraId="3E5DDE73">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单价上限值（元/kg）</w:t>
            </w:r>
          </w:p>
        </w:tc>
        <w:tc>
          <w:tcPr>
            <w:tcW w:w="1425" w:type="dxa"/>
            <w:noWrap w:val="0"/>
            <w:vAlign w:val="center"/>
          </w:tcPr>
          <w:p w14:paraId="28316113">
            <w:pPr>
              <w:pStyle w:val="7"/>
              <w:keepLines w:val="0"/>
              <w:pageBreakBefore w:val="0"/>
              <w:widowControl w:val="0"/>
              <w:kinsoku/>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预算金额（元）</w:t>
            </w:r>
          </w:p>
        </w:tc>
        <w:tc>
          <w:tcPr>
            <w:tcW w:w="1477" w:type="dxa"/>
            <w:noWrap w:val="0"/>
            <w:vAlign w:val="center"/>
          </w:tcPr>
          <w:p w14:paraId="7B384D15">
            <w:pPr>
              <w:pStyle w:val="7"/>
              <w:spacing w:line="240" w:lineRule="auto"/>
              <w:ind w:left="0" w:leftChars="0" w:firstLine="0" w:firstLineChars="0"/>
              <w:jc w:val="center"/>
              <w:rPr>
                <w:rFonts w:hint="eastAsia" w:ascii="宋体" w:hAnsi="宋体" w:eastAsia="宋体" w:cs="宋体"/>
                <w:b/>
                <w:bCs w:val="0"/>
                <w:color w:val="auto"/>
                <w:sz w:val="21"/>
                <w:szCs w:val="21"/>
                <w:highlight w:val="none"/>
                <w:vertAlign w:val="baseline"/>
                <w:lang w:val="en-US" w:eastAsia="zh-CN"/>
              </w:rPr>
            </w:pPr>
            <w:r>
              <w:rPr>
                <w:rFonts w:hint="eastAsia" w:ascii="宋体" w:hAnsi="宋体" w:eastAsia="宋体" w:cs="宋体"/>
                <w:b/>
                <w:bCs w:val="0"/>
                <w:color w:val="auto"/>
                <w:sz w:val="21"/>
                <w:szCs w:val="21"/>
                <w:highlight w:val="none"/>
                <w:vertAlign w:val="baseline"/>
                <w:lang w:val="en-US" w:eastAsia="zh-CN"/>
              </w:rPr>
              <w:t>最高限价（元）</w:t>
            </w:r>
          </w:p>
        </w:tc>
      </w:tr>
      <w:tr w14:paraId="5F3F6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56" w:type="dxa"/>
            <w:vMerge w:val="restart"/>
            <w:noWrap w:val="0"/>
            <w:vAlign w:val="center"/>
          </w:tcPr>
          <w:p w14:paraId="55B3B986">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包1</w:t>
            </w:r>
          </w:p>
        </w:tc>
        <w:tc>
          <w:tcPr>
            <w:tcW w:w="1494" w:type="dxa"/>
            <w:vMerge w:val="restart"/>
            <w:noWrap w:val="0"/>
            <w:vAlign w:val="center"/>
          </w:tcPr>
          <w:p w14:paraId="629F459A">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籼型常规水稻</w:t>
            </w:r>
          </w:p>
        </w:tc>
        <w:tc>
          <w:tcPr>
            <w:tcW w:w="1966" w:type="dxa"/>
            <w:noWrap w:val="0"/>
            <w:vAlign w:val="center"/>
          </w:tcPr>
          <w:p w14:paraId="02613A9E">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中早39</w:t>
            </w:r>
          </w:p>
          <w:p w14:paraId="32C1B21D">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（包衣）</w:t>
            </w:r>
          </w:p>
        </w:tc>
        <w:tc>
          <w:tcPr>
            <w:tcW w:w="1283" w:type="dxa"/>
            <w:noWrap w:val="0"/>
            <w:vAlign w:val="center"/>
          </w:tcPr>
          <w:p w14:paraId="1057DD9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412482</w:t>
            </w:r>
          </w:p>
        </w:tc>
        <w:tc>
          <w:tcPr>
            <w:tcW w:w="1339" w:type="dxa"/>
            <w:noWrap w:val="0"/>
            <w:vAlign w:val="center"/>
          </w:tcPr>
          <w:p w14:paraId="70247F1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9.00 </w:t>
            </w:r>
          </w:p>
        </w:tc>
        <w:tc>
          <w:tcPr>
            <w:tcW w:w="1425" w:type="dxa"/>
            <w:noWrap w:val="0"/>
            <w:vAlign w:val="center"/>
          </w:tcPr>
          <w:p w14:paraId="7AF2C3C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3712338.0 </w:t>
            </w:r>
          </w:p>
        </w:tc>
        <w:tc>
          <w:tcPr>
            <w:tcW w:w="1477" w:type="dxa"/>
            <w:vMerge w:val="restart"/>
            <w:noWrap w:val="0"/>
            <w:vAlign w:val="center"/>
          </w:tcPr>
          <w:p w14:paraId="66508FBF">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7195929.0 </w:t>
            </w:r>
          </w:p>
        </w:tc>
      </w:tr>
      <w:tr w14:paraId="6982A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56" w:type="dxa"/>
            <w:vMerge w:val="continue"/>
            <w:noWrap w:val="0"/>
            <w:vAlign w:val="center"/>
          </w:tcPr>
          <w:p w14:paraId="4725574D">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vMerge w:val="continue"/>
            <w:noWrap w:val="0"/>
            <w:vAlign w:val="center"/>
          </w:tcPr>
          <w:p w14:paraId="10A1FE6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966" w:type="dxa"/>
            <w:noWrap w:val="0"/>
            <w:vAlign w:val="center"/>
          </w:tcPr>
          <w:p w14:paraId="4F3F26E6">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中安2号</w:t>
            </w:r>
            <w:r>
              <w:rPr>
                <w:rFonts w:hint="eastAsia" w:ascii="宋体" w:hAnsi="宋体" w:eastAsia="宋体" w:cs="宋体"/>
                <w:b w:val="0"/>
                <w:bCs/>
                <w:iCs w:val="0"/>
                <w:color w:val="auto"/>
                <w:spacing w:val="0"/>
                <w:sz w:val="21"/>
                <w:szCs w:val="21"/>
                <w:highlight w:val="none"/>
                <w:vertAlign w:val="baseline"/>
                <w:lang w:val="en-US" w:eastAsia="zh-CN"/>
              </w:rPr>
              <w:br w:type="textWrapping"/>
            </w:r>
            <w:r>
              <w:rPr>
                <w:rFonts w:hint="eastAsia" w:ascii="宋体" w:hAnsi="宋体" w:eastAsia="宋体" w:cs="宋体"/>
                <w:b w:val="0"/>
                <w:bCs/>
                <w:iCs w:val="0"/>
                <w:color w:val="auto"/>
                <w:spacing w:val="0"/>
                <w:sz w:val="21"/>
                <w:szCs w:val="21"/>
                <w:highlight w:val="none"/>
                <w:vertAlign w:val="baseline"/>
                <w:lang w:val="en-US" w:eastAsia="zh-CN"/>
              </w:rPr>
              <w:t>（镉低吸累品种）</w:t>
            </w:r>
          </w:p>
        </w:tc>
        <w:tc>
          <w:tcPr>
            <w:tcW w:w="1283" w:type="dxa"/>
            <w:noWrap w:val="0"/>
            <w:vAlign w:val="center"/>
          </w:tcPr>
          <w:p w14:paraId="62C0761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94415</w:t>
            </w:r>
          </w:p>
        </w:tc>
        <w:tc>
          <w:tcPr>
            <w:tcW w:w="1339" w:type="dxa"/>
            <w:noWrap w:val="0"/>
            <w:vAlign w:val="center"/>
          </w:tcPr>
          <w:p w14:paraId="096ED9A8">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15.00 </w:t>
            </w:r>
          </w:p>
        </w:tc>
        <w:tc>
          <w:tcPr>
            <w:tcW w:w="1425" w:type="dxa"/>
            <w:noWrap w:val="0"/>
            <w:vAlign w:val="center"/>
          </w:tcPr>
          <w:p w14:paraId="3B8E5C8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1416225.0 </w:t>
            </w:r>
          </w:p>
        </w:tc>
        <w:tc>
          <w:tcPr>
            <w:tcW w:w="1477" w:type="dxa"/>
            <w:vMerge w:val="continue"/>
            <w:noWrap w:val="0"/>
            <w:vAlign w:val="center"/>
          </w:tcPr>
          <w:p w14:paraId="73B4BF88">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6F0A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6" w:type="dxa"/>
            <w:vMerge w:val="continue"/>
            <w:noWrap w:val="0"/>
            <w:vAlign w:val="center"/>
          </w:tcPr>
          <w:p w14:paraId="092D1CB5">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vMerge w:val="continue"/>
            <w:noWrap w:val="0"/>
            <w:vAlign w:val="center"/>
          </w:tcPr>
          <w:p w14:paraId="6362995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966" w:type="dxa"/>
            <w:noWrap w:val="0"/>
            <w:vAlign w:val="center"/>
          </w:tcPr>
          <w:p w14:paraId="0464D812">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隆安早11号</w:t>
            </w:r>
            <w:r>
              <w:rPr>
                <w:rFonts w:hint="eastAsia" w:ascii="宋体" w:hAnsi="宋体" w:eastAsia="宋体" w:cs="宋体"/>
                <w:b w:val="0"/>
                <w:bCs/>
                <w:iCs w:val="0"/>
                <w:color w:val="auto"/>
                <w:spacing w:val="0"/>
                <w:sz w:val="21"/>
                <w:szCs w:val="21"/>
                <w:highlight w:val="none"/>
                <w:vertAlign w:val="baseline"/>
                <w:lang w:val="en-US" w:eastAsia="zh-CN"/>
              </w:rPr>
              <w:br w:type="textWrapping"/>
            </w:r>
            <w:r>
              <w:rPr>
                <w:rFonts w:hint="eastAsia" w:ascii="宋体" w:hAnsi="宋体" w:eastAsia="宋体" w:cs="宋体"/>
                <w:b w:val="0"/>
                <w:bCs/>
                <w:iCs w:val="0"/>
                <w:color w:val="auto"/>
                <w:spacing w:val="0"/>
                <w:sz w:val="21"/>
                <w:szCs w:val="21"/>
                <w:highlight w:val="none"/>
                <w:vertAlign w:val="baseline"/>
                <w:lang w:val="en-US" w:eastAsia="zh-CN"/>
              </w:rPr>
              <w:t>（镉低吸累品种）</w:t>
            </w:r>
          </w:p>
        </w:tc>
        <w:tc>
          <w:tcPr>
            <w:tcW w:w="1283" w:type="dxa"/>
            <w:noWrap w:val="0"/>
            <w:vAlign w:val="center"/>
          </w:tcPr>
          <w:p w14:paraId="7E827B8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3200</w:t>
            </w:r>
          </w:p>
        </w:tc>
        <w:tc>
          <w:tcPr>
            <w:tcW w:w="1339" w:type="dxa"/>
            <w:noWrap w:val="0"/>
            <w:vAlign w:val="center"/>
          </w:tcPr>
          <w:p w14:paraId="6A1B6FB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12.00 </w:t>
            </w:r>
          </w:p>
        </w:tc>
        <w:tc>
          <w:tcPr>
            <w:tcW w:w="1425" w:type="dxa"/>
            <w:noWrap w:val="0"/>
            <w:vAlign w:val="center"/>
          </w:tcPr>
          <w:p w14:paraId="318EA409">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38400.0 </w:t>
            </w:r>
          </w:p>
        </w:tc>
        <w:tc>
          <w:tcPr>
            <w:tcW w:w="1477" w:type="dxa"/>
            <w:vMerge w:val="continue"/>
            <w:noWrap w:val="0"/>
            <w:vAlign w:val="center"/>
          </w:tcPr>
          <w:p w14:paraId="3010BCE2">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27111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56" w:type="dxa"/>
            <w:vMerge w:val="continue"/>
            <w:noWrap w:val="0"/>
            <w:vAlign w:val="center"/>
          </w:tcPr>
          <w:p w14:paraId="5052F35E">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vMerge w:val="continue"/>
            <w:noWrap w:val="0"/>
            <w:vAlign w:val="center"/>
          </w:tcPr>
          <w:p w14:paraId="2AD73C8F">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966" w:type="dxa"/>
            <w:noWrap w:val="0"/>
            <w:vAlign w:val="center"/>
          </w:tcPr>
          <w:p w14:paraId="6F462B10">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中组53</w:t>
            </w:r>
          </w:p>
        </w:tc>
        <w:tc>
          <w:tcPr>
            <w:tcW w:w="1283" w:type="dxa"/>
            <w:noWrap w:val="0"/>
            <w:vAlign w:val="center"/>
          </w:tcPr>
          <w:p w14:paraId="1F276C10">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19990</w:t>
            </w:r>
          </w:p>
        </w:tc>
        <w:tc>
          <w:tcPr>
            <w:tcW w:w="1339" w:type="dxa"/>
            <w:noWrap w:val="0"/>
            <w:vAlign w:val="center"/>
          </w:tcPr>
          <w:p w14:paraId="200EC498">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9.00 </w:t>
            </w:r>
          </w:p>
        </w:tc>
        <w:tc>
          <w:tcPr>
            <w:tcW w:w="1425" w:type="dxa"/>
            <w:noWrap w:val="0"/>
            <w:vAlign w:val="center"/>
          </w:tcPr>
          <w:p w14:paraId="1A59454A">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179910.0 </w:t>
            </w:r>
          </w:p>
        </w:tc>
        <w:tc>
          <w:tcPr>
            <w:tcW w:w="1477" w:type="dxa"/>
            <w:vMerge w:val="continue"/>
            <w:noWrap w:val="0"/>
            <w:vAlign w:val="center"/>
          </w:tcPr>
          <w:p w14:paraId="35FF350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3BA49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756" w:type="dxa"/>
            <w:vMerge w:val="continue"/>
            <w:noWrap w:val="0"/>
            <w:vAlign w:val="center"/>
          </w:tcPr>
          <w:p w14:paraId="6349DB4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noWrap w:val="0"/>
            <w:vAlign w:val="center"/>
          </w:tcPr>
          <w:p w14:paraId="27EA1A0E">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籼型两系杂交水稻</w:t>
            </w:r>
          </w:p>
        </w:tc>
        <w:tc>
          <w:tcPr>
            <w:tcW w:w="1966" w:type="dxa"/>
            <w:noWrap w:val="0"/>
            <w:vAlign w:val="center"/>
          </w:tcPr>
          <w:p w14:paraId="041A62E2">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瑞两优1053</w:t>
            </w:r>
          </w:p>
          <w:p w14:paraId="29AF6090">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（莉优鱼翅）</w:t>
            </w:r>
          </w:p>
        </w:tc>
        <w:tc>
          <w:tcPr>
            <w:tcW w:w="1283" w:type="dxa"/>
            <w:noWrap w:val="0"/>
            <w:vAlign w:val="center"/>
          </w:tcPr>
          <w:p w14:paraId="7D3A1D35">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38522</w:t>
            </w:r>
          </w:p>
        </w:tc>
        <w:tc>
          <w:tcPr>
            <w:tcW w:w="1339" w:type="dxa"/>
            <w:noWrap w:val="0"/>
            <w:vAlign w:val="center"/>
          </w:tcPr>
          <w:p w14:paraId="02E754DF">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48.00 </w:t>
            </w:r>
          </w:p>
        </w:tc>
        <w:tc>
          <w:tcPr>
            <w:tcW w:w="1425" w:type="dxa"/>
            <w:noWrap w:val="0"/>
            <w:vAlign w:val="center"/>
          </w:tcPr>
          <w:p w14:paraId="7F02BA1A">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1849056.0 </w:t>
            </w:r>
          </w:p>
        </w:tc>
        <w:tc>
          <w:tcPr>
            <w:tcW w:w="1477" w:type="dxa"/>
            <w:vMerge w:val="continue"/>
            <w:noWrap w:val="0"/>
            <w:vAlign w:val="center"/>
          </w:tcPr>
          <w:p w14:paraId="2E343DC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3519E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restart"/>
            <w:noWrap w:val="0"/>
            <w:vAlign w:val="center"/>
          </w:tcPr>
          <w:p w14:paraId="7E2B05F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包2</w:t>
            </w:r>
          </w:p>
        </w:tc>
        <w:tc>
          <w:tcPr>
            <w:tcW w:w="1494" w:type="dxa"/>
            <w:noWrap w:val="0"/>
            <w:vAlign w:val="center"/>
          </w:tcPr>
          <w:p w14:paraId="6BCBF71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18FD503E">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泰优553</w:t>
            </w:r>
          </w:p>
        </w:tc>
        <w:tc>
          <w:tcPr>
            <w:tcW w:w="1283" w:type="dxa"/>
            <w:noWrap w:val="0"/>
            <w:vAlign w:val="center"/>
          </w:tcPr>
          <w:p w14:paraId="17FDE5D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137928</w:t>
            </w:r>
          </w:p>
        </w:tc>
        <w:tc>
          <w:tcPr>
            <w:tcW w:w="1339" w:type="dxa"/>
            <w:noWrap w:val="0"/>
            <w:vAlign w:val="center"/>
          </w:tcPr>
          <w:p w14:paraId="6CDC2D92">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51.51</w:t>
            </w:r>
          </w:p>
        </w:tc>
        <w:tc>
          <w:tcPr>
            <w:tcW w:w="1425" w:type="dxa"/>
            <w:noWrap w:val="0"/>
            <w:vAlign w:val="center"/>
          </w:tcPr>
          <w:p w14:paraId="671F86E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7104671.3 </w:t>
            </w:r>
          </w:p>
        </w:tc>
        <w:tc>
          <w:tcPr>
            <w:tcW w:w="1477" w:type="dxa"/>
            <w:vMerge w:val="restart"/>
            <w:noWrap w:val="0"/>
            <w:vAlign w:val="center"/>
          </w:tcPr>
          <w:p w14:paraId="6954A4C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9803593.2 </w:t>
            </w:r>
          </w:p>
        </w:tc>
      </w:tr>
      <w:tr w14:paraId="707F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continue"/>
            <w:noWrap w:val="0"/>
            <w:vAlign w:val="center"/>
          </w:tcPr>
          <w:p w14:paraId="7ED7AE20">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noWrap w:val="0"/>
            <w:vAlign w:val="center"/>
          </w:tcPr>
          <w:p w14:paraId="5F3D0C0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581F24A0">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桃优香占</w:t>
            </w:r>
          </w:p>
        </w:tc>
        <w:tc>
          <w:tcPr>
            <w:tcW w:w="1283" w:type="dxa"/>
            <w:noWrap w:val="0"/>
            <w:vAlign w:val="center"/>
          </w:tcPr>
          <w:p w14:paraId="273828F3">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31370</w:t>
            </w:r>
          </w:p>
        </w:tc>
        <w:tc>
          <w:tcPr>
            <w:tcW w:w="1339" w:type="dxa"/>
            <w:noWrap w:val="0"/>
            <w:vAlign w:val="center"/>
          </w:tcPr>
          <w:p w14:paraId="5583C326">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47.3</w:t>
            </w:r>
          </w:p>
        </w:tc>
        <w:tc>
          <w:tcPr>
            <w:tcW w:w="1425" w:type="dxa"/>
            <w:noWrap w:val="0"/>
            <w:vAlign w:val="center"/>
          </w:tcPr>
          <w:p w14:paraId="2D189AE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1483801.0 </w:t>
            </w:r>
          </w:p>
        </w:tc>
        <w:tc>
          <w:tcPr>
            <w:tcW w:w="1477" w:type="dxa"/>
            <w:vMerge w:val="continue"/>
            <w:noWrap w:val="0"/>
            <w:vAlign w:val="center"/>
          </w:tcPr>
          <w:p w14:paraId="21C7F571">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r w14:paraId="3A4E7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56" w:type="dxa"/>
            <w:vMerge w:val="continue"/>
            <w:noWrap w:val="0"/>
            <w:vAlign w:val="center"/>
          </w:tcPr>
          <w:p w14:paraId="43C55C09">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c>
          <w:tcPr>
            <w:tcW w:w="1494" w:type="dxa"/>
            <w:noWrap w:val="0"/>
            <w:vAlign w:val="center"/>
          </w:tcPr>
          <w:p w14:paraId="6D947CA7">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籼型三系杂交水稻</w:t>
            </w:r>
          </w:p>
        </w:tc>
        <w:tc>
          <w:tcPr>
            <w:tcW w:w="1966" w:type="dxa"/>
            <w:noWrap w:val="0"/>
            <w:vAlign w:val="center"/>
          </w:tcPr>
          <w:p w14:paraId="7026BC5B">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香禾优明月丝苗</w:t>
            </w:r>
          </w:p>
        </w:tc>
        <w:tc>
          <w:tcPr>
            <w:tcW w:w="1283" w:type="dxa"/>
            <w:noWrap w:val="0"/>
            <w:vAlign w:val="center"/>
          </w:tcPr>
          <w:p w14:paraId="1A1FC98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23590</w:t>
            </w:r>
          </w:p>
        </w:tc>
        <w:tc>
          <w:tcPr>
            <w:tcW w:w="1339" w:type="dxa"/>
            <w:noWrap w:val="0"/>
            <w:vAlign w:val="center"/>
          </w:tcPr>
          <w:p w14:paraId="47CE1477">
            <w:pPr>
              <w:keepNext w:val="0"/>
              <w:keepLines w:val="0"/>
              <w:widowControl/>
              <w:suppressLineNumbers w:val="0"/>
              <w:jc w:val="center"/>
              <w:textAlignment w:val="center"/>
              <w:rPr>
                <w:rFonts w:hint="default"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i w:val="0"/>
                <w:iCs w:val="0"/>
                <w:color w:val="auto"/>
                <w:kern w:val="0"/>
                <w:sz w:val="21"/>
                <w:szCs w:val="21"/>
                <w:highlight w:val="none"/>
                <w:u w:val="none"/>
                <w:lang w:val="en-US" w:eastAsia="zh-CN" w:bidi="ar"/>
              </w:rPr>
              <w:t>51.51</w:t>
            </w:r>
          </w:p>
        </w:tc>
        <w:tc>
          <w:tcPr>
            <w:tcW w:w="1425" w:type="dxa"/>
            <w:noWrap w:val="0"/>
            <w:vAlign w:val="center"/>
          </w:tcPr>
          <w:p w14:paraId="65CED654">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r>
              <w:rPr>
                <w:rFonts w:hint="eastAsia" w:ascii="宋体" w:hAnsi="宋体" w:eastAsia="宋体" w:cs="宋体"/>
                <w:b w:val="0"/>
                <w:bCs/>
                <w:iCs w:val="0"/>
                <w:color w:val="auto"/>
                <w:spacing w:val="0"/>
                <w:sz w:val="21"/>
                <w:szCs w:val="21"/>
                <w:highlight w:val="none"/>
                <w:vertAlign w:val="baseline"/>
                <w:lang w:val="en-US" w:eastAsia="zh-CN"/>
              </w:rPr>
              <w:t xml:space="preserve">1215120.9 </w:t>
            </w:r>
          </w:p>
        </w:tc>
        <w:tc>
          <w:tcPr>
            <w:tcW w:w="1477" w:type="dxa"/>
            <w:vMerge w:val="continue"/>
            <w:noWrap w:val="0"/>
            <w:vAlign w:val="center"/>
          </w:tcPr>
          <w:p w14:paraId="7115D49C">
            <w:pPr>
              <w:keepNext/>
              <w:keepLines w:val="0"/>
              <w:pageBreakBefore w:val="0"/>
              <w:widowControl w:val="0"/>
              <w:kinsoku/>
              <w:wordWrap w:val="0"/>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b w:val="0"/>
                <w:bCs/>
                <w:iCs w:val="0"/>
                <w:color w:val="auto"/>
                <w:spacing w:val="0"/>
                <w:sz w:val="21"/>
                <w:szCs w:val="21"/>
                <w:highlight w:val="none"/>
                <w:vertAlign w:val="baseline"/>
                <w:lang w:val="en-US" w:eastAsia="zh-CN"/>
              </w:rPr>
            </w:pPr>
          </w:p>
        </w:tc>
      </w:tr>
    </w:tbl>
    <w:p w14:paraId="672FE5B1">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注：本项目总预算金额为16999522.2元，投标人按所投产品品种单价报价，由采购人根据投标人的报价单价及产品质量确定各品种的最终采购数量及采购金额。本项目报价含产品配送到指定地点的运输费用和装卸费、包装费、检验费、检疫费、种子消毒费、技术资料费、税费等一切费用，采购人将不再支付报价以外的任何费用。 </w:t>
      </w:r>
    </w:p>
    <w:p w14:paraId="32F509D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二、技术规格、参数与要求</w:t>
      </w:r>
    </w:p>
    <w:p w14:paraId="00C552B5">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★1、品种要求：所投的水稻种子品种应通过国家 (含湖南省区域) 农作物品种审定委员会审定或通过湖南省农作物品种审定委员会审定 (需提供国家或湖南省内种子管理部门品种审定证书知识产权证明文件) 。 </w:t>
      </w:r>
    </w:p>
    <w:p w14:paraId="45E2FD6E">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质量要求：种子质量达到国家规定的标准：常规稻品种种子纯度不低于99.0%，净度不低于99.0%，发芽率不低于85%，水分不高于13.0%；杂交稻品种纯度不低于97.0%，净度不低于99.0%，发芽率不低于82%，水分不高于13.0%。(纯度以投标人出具的承诺书为准，其他指标以上年度有资质的第三方检测机构出具的检测报告为准)。 </w:t>
      </w:r>
    </w:p>
    <w:p w14:paraId="1F7DAE9F">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★3、种子包装：包装是大件不超过30kg，小包装不超过2.5kg，由于不适当的包装和运输造成的任何损失由中标人负责。 </w:t>
      </w:r>
    </w:p>
    <w:p w14:paraId="360C6B6C">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三、采购人要求： </w:t>
      </w:r>
    </w:p>
    <w:p w14:paraId="5D9BFB36">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1.报价要求：实际供应过程中中标人不得以任何理由向上调整中标价格，投标 人应充分考虑在采购期内由于市场物价变动而导致的风险。投标人所投报价应体现单价和总价，其中各品种投标单价不得高于各品种的单价上限值；各包的总价亦不得高于各包的最高限价。否则，投标无效。</w:t>
      </w:r>
    </w:p>
    <w:p w14:paraId="5C5BDB30">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2.包装和发运：由于不适当的包装和运输造成的任何损失由中标人负责。中标人须按时按质按量按指定时间和地点交货。 </w:t>
      </w:r>
    </w:p>
    <w:p w14:paraId="09F3BF28">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3.产品质量保证：所供货物必须是完整、原装、未过期的正版合格产品，并且符合国家检测标准及货物出厂标准，在规定的保质期内，供货方应对由于工艺或材料缺陷等质量问题导致作物受害承担责任。 </w:t>
      </w:r>
    </w:p>
    <w:p w14:paraId="26B292D0">
      <w:pPr>
        <w:pStyle w:val="10"/>
        <w:rPr>
          <w:rFonts w:hint="eastAsia" w:eastAsia="黑体"/>
          <w:color w:val="auto"/>
          <w:highlight w:val="none"/>
          <w:lang w:val="en-US" w:eastAsia="zh-CN"/>
        </w:rPr>
      </w:pPr>
    </w:p>
    <w:p w14:paraId="53393927">
      <w:pPr>
        <w:pStyle w:val="10"/>
        <w:rPr>
          <w:rFonts w:hint="eastAsia" w:eastAsia="黑体"/>
          <w:color w:val="auto"/>
          <w:highlight w:val="none"/>
          <w:lang w:val="en-US" w:eastAsia="zh-CN"/>
        </w:rPr>
      </w:pPr>
    </w:p>
    <w:p w14:paraId="554300A4">
      <w:pPr>
        <w:pStyle w:val="10"/>
        <w:rPr>
          <w:rFonts w:hint="eastAsia" w:eastAsia="黑体"/>
          <w:color w:val="auto"/>
          <w:highlight w:val="none"/>
          <w:lang w:val="en-US" w:eastAsia="zh-CN"/>
        </w:rPr>
      </w:pPr>
    </w:p>
    <w:p w14:paraId="0A757D5C">
      <w:pPr>
        <w:pStyle w:val="10"/>
        <w:rPr>
          <w:rFonts w:hint="eastAsia" w:eastAsia="黑体"/>
          <w:color w:val="auto"/>
          <w:highlight w:val="none"/>
          <w:lang w:val="en-US" w:eastAsia="zh-CN"/>
        </w:rPr>
      </w:pPr>
    </w:p>
    <w:p w14:paraId="4F91DBAB">
      <w:pPr>
        <w:pStyle w:val="10"/>
        <w:rPr>
          <w:rFonts w:hint="eastAsia" w:eastAsia="黑体"/>
          <w:color w:val="auto"/>
          <w:highlight w:val="none"/>
          <w:lang w:val="en-US" w:eastAsia="zh-CN"/>
        </w:rPr>
      </w:pPr>
    </w:p>
    <w:p w14:paraId="6571E653">
      <w:pPr>
        <w:pStyle w:val="10"/>
        <w:rPr>
          <w:rFonts w:hint="eastAsia" w:eastAsia="黑体"/>
          <w:color w:val="auto"/>
          <w:highlight w:val="none"/>
          <w:lang w:val="en-US" w:eastAsia="zh-CN"/>
        </w:rPr>
      </w:pPr>
    </w:p>
    <w:p w14:paraId="069DF5A3">
      <w:pPr>
        <w:pStyle w:val="10"/>
        <w:rPr>
          <w:rFonts w:hint="eastAsia" w:eastAsia="黑体"/>
          <w:color w:val="auto"/>
          <w:highlight w:val="none"/>
          <w:lang w:val="en-US" w:eastAsia="zh-CN"/>
        </w:rPr>
      </w:pPr>
    </w:p>
    <w:p w14:paraId="47EEC565">
      <w:pPr>
        <w:pStyle w:val="10"/>
        <w:rPr>
          <w:rFonts w:hint="eastAsia" w:eastAsia="黑体"/>
          <w:color w:val="auto"/>
          <w:highlight w:val="none"/>
          <w:lang w:val="en-US" w:eastAsia="zh-CN"/>
        </w:rPr>
      </w:pPr>
    </w:p>
    <w:p w14:paraId="2C4E93AE">
      <w:pPr>
        <w:pStyle w:val="10"/>
        <w:rPr>
          <w:rFonts w:hint="eastAsia" w:eastAsia="黑体"/>
          <w:color w:val="auto"/>
          <w:highlight w:val="none"/>
          <w:lang w:val="en-US" w:eastAsia="zh-CN"/>
        </w:rPr>
      </w:pPr>
    </w:p>
    <w:p w14:paraId="01762FC8">
      <w:pPr>
        <w:pStyle w:val="10"/>
        <w:rPr>
          <w:rFonts w:hint="eastAsia" w:eastAsia="黑体"/>
          <w:color w:val="auto"/>
          <w:highlight w:val="none"/>
          <w:lang w:val="en-US" w:eastAsia="zh-CN"/>
        </w:rPr>
      </w:pPr>
    </w:p>
    <w:p w14:paraId="75DEED7C">
      <w:pPr>
        <w:pStyle w:val="10"/>
        <w:rPr>
          <w:rFonts w:hint="eastAsia" w:eastAsia="黑体"/>
          <w:color w:val="auto"/>
          <w:highlight w:val="none"/>
          <w:lang w:val="en-US" w:eastAsia="zh-CN"/>
        </w:rPr>
      </w:pPr>
    </w:p>
    <w:p w14:paraId="7D8F9A87">
      <w:pPr>
        <w:pStyle w:val="10"/>
        <w:rPr>
          <w:rFonts w:hint="eastAsia" w:eastAsia="黑体"/>
          <w:color w:val="auto"/>
          <w:highlight w:val="none"/>
          <w:lang w:val="en-US" w:eastAsia="zh-CN"/>
        </w:rPr>
      </w:pPr>
    </w:p>
    <w:p w14:paraId="24C69BA4">
      <w:pPr>
        <w:pStyle w:val="10"/>
        <w:rPr>
          <w:rFonts w:hint="eastAsia" w:eastAsia="黑体"/>
          <w:color w:val="auto"/>
          <w:highlight w:val="none"/>
          <w:lang w:val="en-US" w:eastAsia="zh-CN"/>
        </w:rPr>
      </w:pPr>
    </w:p>
    <w:p w14:paraId="332658DA">
      <w:pPr>
        <w:pStyle w:val="10"/>
        <w:rPr>
          <w:rFonts w:hint="eastAsia" w:eastAsia="黑体"/>
          <w:color w:val="auto"/>
          <w:highlight w:val="none"/>
          <w:lang w:val="en-US" w:eastAsia="zh-CN"/>
        </w:rPr>
      </w:pPr>
    </w:p>
    <w:p w14:paraId="28D9F839">
      <w:pPr>
        <w:pStyle w:val="10"/>
        <w:rPr>
          <w:rFonts w:hint="eastAsia" w:eastAsia="黑体"/>
          <w:color w:val="auto"/>
          <w:highlight w:val="none"/>
          <w:lang w:val="en-US" w:eastAsia="zh-CN"/>
        </w:rPr>
      </w:pPr>
    </w:p>
    <w:p w14:paraId="05645CEA">
      <w:pPr>
        <w:pStyle w:val="10"/>
        <w:rPr>
          <w:rFonts w:hint="eastAsia" w:eastAsia="黑体"/>
          <w:color w:val="auto"/>
          <w:highlight w:val="none"/>
          <w:lang w:val="en-US" w:eastAsia="zh-CN"/>
        </w:rPr>
      </w:pPr>
    </w:p>
    <w:p w14:paraId="0936ECBF">
      <w:pPr>
        <w:pStyle w:val="10"/>
        <w:rPr>
          <w:rFonts w:hint="eastAsia" w:eastAsia="黑体"/>
          <w:color w:val="auto"/>
          <w:highlight w:val="none"/>
          <w:lang w:val="en-US" w:eastAsia="zh-CN"/>
        </w:rPr>
      </w:pPr>
    </w:p>
    <w:p w14:paraId="5CB0F539">
      <w:pPr>
        <w:pStyle w:val="10"/>
        <w:rPr>
          <w:rFonts w:hint="eastAsia" w:eastAsia="黑体"/>
          <w:color w:val="auto"/>
          <w:highlight w:val="none"/>
          <w:lang w:val="en-US" w:eastAsia="zh-CN"/>
        </w:rPr>
      </w:pPr>
    </w:p>
    <w:p w14:paraId="70934D40">
      <w:pPr>
        <w:pStyle w:val="10"/>
        <w:rPr>
          <w:rFonts w:hint="eastAsia" w:eastAsia="黑体"/>
          <w:color w:val="auto"/>
          <w:highlight w:val="none"/>
          <w:lang w:val="en-US" w:eastAsia="zh-CN"/>
        </w:rPr>
      </w:pPr>
    </w:p>
    <w:p w14:paraId="121EC082">
      <w:pPr>
        <w:pStyle w:val="10"/>
        <w:rPr>
          <w:rFonts w:hint="eastAsia" w:eastAsia="黑体"/>
          <w:color w:val="auto"/>
          <w:highlight w:val="none"/>
          <w:lang w:val="en-US" w:eastAsia="zh-CN"/>
        </w:rPr>
      </w:pPr>
      <w:bookmarkStart w:id="1" w:name="_GoBack"/>
      <w:bookmarkEnd w:id="1"/>
    </w:p>
    <w:p w14:paraId="618CC4E2">
      <w:pPr>
        <w:pStyle w:val="10"/>
        <w:rPr>
          <w:rFonts w:hint="eastAsia" w:eastAsia="黑体"/>
          <w:color w:val="auto"/>
          <w:highlight w:val="none"/>
          <w:lang w:val="en-US" w:eastAsia="zh-CN"/>
        </w:rPr>
      </w:pPr>
    </w:p>
    <w:p w14:paraId="0C86C759">
      <w:pPr>
        <w:pStyle w:val="10"/>
        <w:rPr>
          <w:rFonts w:hint="eastAsia" w:eastAsia="黑体"/>
          <w:color w:val="auto"/>
          <w:highlight w:val="none"/>
          <w:lang w:val="en-US" w:eastAsia="zh-CN"/>
        </w:rPr>
      </w:pPr>
    </w:p>
    <w:p w14:paraId="50FF34F7">
      <w:pPr>
        <w:widowControl/>
        <w:jc w:val="center"/>
        <w:rPr>
          <w:rFonts w:hint="eastAsia" w:ascii="宋体" w:hAnsi="宋体" w:eastAsia="宋体" w:cs="宋体"/>
          <w:b/>
          <w:bCs/>
          <w:color w:val="auto"/>
          <w:spacing w:val="30"/>
          <w:kern w:val="0"/>
          <w:sz w:val="30"/>
          <w:szCs w:val="30"/>
          <w:highlight w:val="none"/>
          <w:lang w:val="en-US" w:eastAsia="zh-CN"/>
        </w:rPr>
      </w:pPr>
      <w:r>
        <w:rPr>
          <w:rFonts w:hint="eastAsia" w:ascii="宋体" w:hAnsi="宋体" w:eastAsia="宋体" w:cs="宋体"/>
          <w:b/>
          <w:bCs/>
          <w:color w:val="auto"/>
          <w:spacing w:val="30"/>
          <w:kern w:val="0"/>
          <w:sz w:val="30"/>
          <w:szCs w:val="30"/>
          <w:highlight w:val="none"/>
          <w:lang w:val="en-US" w:eastAsia="zh-CN"/>
        </w:rPr>
        <w:t>第二节 商务要求</w:t>
      </w:r>
    </w:p>
    <w:p w14:paraId="75A9B9B9">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一、主要商务要求</w:t>
      </w:r>
    </w:p>
    <w:tbl>
      <w:tblPr>
        <w:tblStyle w:val="4"/>
        <w:tblW w:w="92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3341"/>
        <w:gridCol w:w="5958"/>
      </w:tblGrid>
      <w:tr w14:paraId="532B26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652" w:hRule="atLeast"/>
          <w:jc w:val="center"/>
        </w:trPr>
        <w:tc>
          <w:tcPr>
            <w:tcW w:w="3341" w:type="dxa"/>
            <w:noWrap w:val="0"/>
            <w:tcMar>
              <w:top w:w="0" w:type="dxa"/>
              <w:left w:w="108" w:type="dxa"/>
              <w:bottom w:w="0" w:type="dxa"/>
              <w:right w:w="108" w:type="dxa"/>
            </w:tcMar>
            <w:vAlign w:val="center"/>
          </w:tcPr>
          <w:p w14:paraId="3E7B9CD8">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履行合同的时间、地点及方式</w:t>
            </w:r>
          </w:p>
        </w:tc>
        <w:tc>
          <w:tcPr>
            <w:tcW w:w="5958" w:type="dxa"/>
            <w:noWrap w:val="0"/>
            <w:tcMar>
              <w:top w:w="0" w:type="dxa"/>
              <w:left w:w="108" w:type="dxa"/>
              <w:bottom w:w="0" w:type="dxa"/>
              <w:right w:w="108" w:type="dxa"/>
            </w:tcMar>
            <w:vAlign w:val="center"/>
          </w:tcPr>
          <w:p w14:paraId="07E77DCA">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履行合同的时间:签订合同后，按使用计划分批交货，收到计划后3个工作日内交货，若中标人没有按要求在约定的交货期内交货，采购人则有权拒付货款或按每天万分之五支付违约金或终止合同。 </w:t>
            </w:r>
          </w:p>
          <w:p w14:paraId="43901E6B">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履行合同的地点:采购人指定地点。 </w:t>
            </w:r>
          </w:p>
          <w:p w14:paraId="0F6C5BA4">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履行合同的方式:送货上门至指定地点。</w:t>
            </w:r>
          </w:p>
        </w:tc>
      </w:tr>
      <w:tr w14:paraId="26F748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371" w:hRule="atLeast"/>
          <w:jc w:val="center"/>
        </w:trPr>
        <w:tc>
          <w:tcPr>
            <w:tcW w:w="3341" w:type="dxa"/>
            <w:noWrap w:val="0"/>
            <w:tcMar>
              <w:top w:w="0" w:type="dxa"/>
              <w:left w:w="108" w:type="dxa"/>
              <w:bottom w:w="0" w:type="dxa"/>
              <w:right w:w="108" w:type="dxa"/>
            </w:tcMar>
            <w:vAlign w:val="center"/>
          </w:tcPr>
          <w:p w14:paraId="2E43AB15">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质量保证期</w:t>
            </w:r>
          </w:p>
        </w:tc>
        <w:tc>
          <w:tcPr>
            <w:tcW w:w="5958" w:type="dxa"/>
            <w:noWrap w:val="0"/>
            <w:tcMar>
              <w:top w:w="0" w:type="dxa"/>
              <w:left w:w="108" w:type="dxa"/>
              <w:bottom w:w="0" w:type="dxa"/>
              <w:right w:w="108" w:type="dxa"/>
            </w:tcMar>
            <w:vAlign w:val="center"/>
          </w:tcPr>
          <w:p w14:paraId="1BBB9793">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产品质量符合“三包”要求，（一个生长周期）。</w:t>
            </w:r>
          </w:p>
        </w:tc>
      </w:tr>
      <w:tr w14:paraId="4F8768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6" w:hRule="atLeast"/>
          <w:jc w:val="center"/>
        </w:trPr>
        <w:tc>
          <w:tcPr>
            <w:tcW w:w="3341" w:type="dxa"/>
            <w:noWrap w:val="0"/>
            <w:tcMar>
              <w:top w:w="0" w:type="dxa"/>
              <w:left w:w="108" w:type="dxa"/>
              <w:bottom w:w="0" w:type="dxa"/>
              <w:right w:w="108" w:type="dxa"/>
            </w:tcMar>
            <w:vAlign w:val="center"/>
          </w:tcPr>
          <w:p w14:paraId="219A1203">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响应时间</w:t>
            </w:r>
          </w:p>
        </w:tc>
        <w:tc>
          <w:tcPr>
            <w:tcW w:w="5958" w:type="dxa"/>
            <w:noWrap w:val="0"/>
            <w:tcMar>
              <w:top w:w="0" w:type="dxa"/>
              <w:left w:w="108" w:type="dxa"/>
              <w:bottom w:w="0" w:type="dxa"/>
              <w:right w:w="108" w:type="dxa"/>
            </w:tcMar>
            <w:vAlign w:val="center"/>
          </w:tcPr>
          <w:p w14:paraId="5BF70259">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7*24小时响应</w:t>
            </w:r>
          </w:p>
        </w:tc>
      </w:tr>
      <w:tr w14:paraId="6BEBA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1328" w:hRule="atLeast"/>
          <w:jc w:val="center"/>
        </w:trPr>
        <w:tc>
          <w:tcPr>
            <w:tcW w:w="3341" w:type="dxa"/>
            <w:noWrap w:val="0"/>
            <w:tcMar>
              <w:top w:w="0" w:type="dxa"/>
              <w:left w:w="108" w:type="dxa"/>
              <w:bottom w:w="0" w:type="dxa"/>
              <w:right w:w="108" w:type="dxa"/>
            </w:tcMar>
            <w:vAlign w:val="center"/>
          </w:tcPr>
          <w:p w14:paraId="490129F0">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合同价款支付方式和条件</w:t>
            </w:r>
          </w:p>
        </w:tc>
        <w:tc>
          <w:tcPr>
            <w:tcW w:w="5958" w:type="dxa"/>
            <w:noWrap w:val="0"/>
            <w:tcMar>
              <w:top w:w="0" w:type="dxa"/>
              <w:left w:w="108" w:type="dxa"/>
              <w:bottom w:w="0" w:type="dxa"/>
              <w:right w:w="108" w:type="dxa"/>
            </w:tcMar>
            <w:vAlign w:val="center"/>
          </w:tcPr>
          <w:p w14:paraId="75C7AE92">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支付方式：国库集中支付 </w:t>
            </w:r>
          </w:p>
          <w:p w14:paraId="54C1490A">
            <w:pPr>
              <w:keepNext w:val="0"/>
              <w:keepLines w:val="0"/>
              <w:pageBreakBefore w:val="0"/>
              <w:kinsoku/>
              <w:wordWrap/>
              <w:overflowPunct/>
              <w:topLinePunct w:val="0"/>
              <w:autoSpaceDE/>
              <w:autoSpaceDN/>
              <w:bidi w:val="0"/>
              <w:adjustRightInd/>
              <w:snapToGrid/>
              <w:spacing w:line="440" w:lineRule="exact"/>
              <w:jc w:val="both"/>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付款条件：无质量、售后服务纠纷、以及无其他经济法律纠纷等问题，于2027年2月底一次性付清。</w:t>
            </w:r>
          </w:p>
        </w:tc>
      </w:tr>
    </w:tbl>
    <w:p w14:paraId="2BB8561C">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二、售后服务要求 </w:t>
      </w:r>
    </w:p>
    <w:p w14:paraId="6024899B">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1、中标方必须提供售后服务人员及其联系方式给采购人和使用单位。在使用过程中如有质量或者技术问题，中标方必须在接到通知后1小时内予以响应、24小时内给予解决。</w:t>
      </w:r>
    </w:p>
    <w:p w14:paraId="18793D71">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2、产品质量符合“三包”要求（一个生长周期）。 </w:t>
      </w:r>
    </w:p>
    <w:p w14:paraId="37D70BCF">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3、如因产品质量问题或者出现其他安全事故，由中标人承担责任。 </w:t>
      </w:r>
    </w:p>
    <w:p w14:paraId="2434A59B">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三、产品和项目验收 </w:t>
      </w:r>
    </w:p>
    <w:p w14:paraId="024E2517">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1、验收要求：货物验收须按照招标文件要求及投标文件承诺的有关规定执行，货物质量和包装不符合要求的，采购人有权拒绝接收，并不予付款。 </w:t>
      </w:r>
    </w:p>
    <w:p w14:paraId="206775A3">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2、所有产品均需由技术专家进行抽样检测，并达到合格标准。 </w:t>
      </w:r>
    </w:p>
    <w:p w14:paraId="7D22C9DA">
      <w:pPr>
        <w:pStyle w:val="3"/>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 xml:space="preserve">3、在验收过程中，一旦发现有与投标时产品不一致或者低于招标文件规定的参数、功能、性能的产品，全部产品视为不合格产品，采购人拒收，由此产生的所有损失和费用均由中标人负责。 </w:t>
      </w:r>
    </w:p>
    <w:p w14:paraId="4CFDBE32">
      <w:pPr>
        <w:rPr>
          <w:rFonts w:hint="eastAsia" w:ascii="Times New Roman" w:hAnsi="Times New Roman" w:eastAsia="宋体" w:cs="Times New Roman"/>
          <w:color w:val="auto"/>
          <w:sz w:val="20"/>
          <w:highlight w:val="none"/>
        </w:rPr>
      </w:pPr>
      <w:r>
        <w:rPr>
          <w:rFonts w:hint="eastAsia" w:ascii="Times New Roman" w:hAnsi="Times New Roman" w:eastAsia="宋体" w:cs="Times New Roman"/>
          <w:color w:val="auto"/>
          <w:sz w:val="20"/>
          <w:highlight w:val="none"/>
        </w:rPr>
        <w:t xml:space="preserve"> </w:t>
      </w:r>
      <w:bookmarkEnd w:id="0"/>
    </w:p>
    <w:p w14:paraId="650FFA1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706BA3"/>
    <w:rsid w:val="2FFA3A98"/>
    <w:rsid w:val="353E4427"/>
    <w:rsid w:val="39AD1B7B"/>
    <w:rsid w:val="7ECC0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next w:val="1"/>
    <w:qFormat/>
    <w:uiPriority w:val="0"/>
    <w:pPr>
      <w:keepNext/>
      <w:widowControl w:val="0"/>
      <w:spacing w:before="50" w:beforeLines="50" w:after="50" w:afterLines="50" w:line="360" w:lineRule="auto"/>
      <w:jc w:val="center"/>
      <w:outlineLvl w:val="0"/>
    </w:pPr>
    <w:rPr>
      <w:rFonts w:ascii="黑体" w:hAnsi="黑体" w:eastAsia="黑体" w:cs="黑体"/>
      <w:b/>
      <w:bCs/>
      <w:kern w:val="32"/>
      <w:sz w:val="36"/>
      <w:szCs w:val="48"/>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Indent"/>
    <w:qFormat/>
    <w:uiPriority w:val="0"/>
    <w:pPr>
      <w:widowControl/>
      <w:ind w:firstLine="420"/>
      <w:jc w:val="left"/>
    </w:pPr>
    <w:rPr>
      <w:rFonts w:ascii="Times New Roman" w:hAnsi="Times New Roman" w:eastAsia="宋体" w:cs="Times New Roman"/>
      <w:kern w:val="0"/>
      <w:sz w:val="20"/>
      <w:szCs w:val="20"/>
      <w:lang w:val="en-US" w:eastAsia="zh-CN" w:bidi="ar-SA"/>
    </w:rPr>
  </w:style>
  <w:style w:type="table" w:styleId="5">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首行缩进 21"/>
    <w:qFormat/>
    <w:uiPriority w:val="0"/>
    <w:pPr>
      <w:widowControl w:val="0"/>
      <w:ind w:left="420" w:leftChars="200" w:firstLine="482" w:firstLineChars="200"/>
      <w:jc w:val="both"/>
    </w:pPr>
    <w:rPr>
      <w:rFonts w:ascii="Calibri" w:hAnsi="Calibri" w:eastAsia="宋体" w:cs="Times New Roman"/>
      <w:b/>
      <w:kern w:val="2"/>
      <w:sz w:val="24"/>
      <w:szCs w:val="22"/>
      <w:lang w:val="en-US" w:eastAsia="en-US" w:bidi="ar-SA"/>
    </w:rPr>
  </w:style>
  <w:style w:type="paragraph" w:customStyle="1" w:styleId="8">
    <w:name w:val="正文文本缩进1"/>
    <w:next w:val="9"/>
    <w:qFormat/>
    <w:uiPriority w:val="0"/>
    <w:pPr>
      <w:widowControl w:val="0"/>
      <w:ind w:left="359" w:leftChars="171" w:firstLine="524" w:firstLineChars="187"/>
      <w:jc w:val="both"/>
    </w:pPr>
    <w:rPr>
      <w:rFonts w:ascii="Tahoma" w:hAnsi="Tahoma" w:eastAsia="宋体" w:cs="Times New Roman"/>
      <w:kern w:val="2"/>
      <w:sz w:val="28"/>
      <w:szCs w:val="22"/>
      <w:lang w:val="en-US" w:eastAsia="en-US" w:bidi="ar-SA"/>
    </w:rPr>
  </w:style>
  <w:style w:type="paragraph" w:customStyle="1" w:styleId="9">
    <w:name w:val="font5"/>
    <w:qFormat/>
    <w:uiPriority w:val="0"/>
    <w:pPr>
      <w:widowControl/>
      <w:spacing w:before="100" w:beforeAutospacing="1" w:after="100" w:afterAutospacing="1"/>
      <w:jc w:val="left"/>
    </w:pPr>
    <w:rPr>
      <w:rFonts w:hint="eastAsia" w:ascii="宋体" w:hAnsi="宋体" w:eastAsia="宋体" w:cs="Times New Roman"/>
      <w:kern w:val="0"/>
      <w:sz w:val="18"/>
      <w:szCs w:val="18"/>
      <w:lang w:val="en-US" w:eastAsia="zh-CN" w:bidi="ar-SA"/>
    </w:rPr>
  </w:style>
  <w:style w:type="paragraph" w:customStyle="1" w:styleId="10">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2026-02-09T09:08:01Z</dcterms:created>
  <dc:creator>Administrator</dc:creator>
  <cp:lastModifiedBy>Administrator</cp:lastModifiedBy>
  <dcterms:modified xsi:type="dcterms:W3CDTF">2026-02-09T09:08:11Z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eyJoZGlkIjoiMjlmYjhmMDYzOGQ5NTk5ODJjMzhkOWU3Mjk0NjUzNDIiLCJ1c2VySWQiOiIxMTQwMzY5MDAwIn0=</vt:lpwstr>
  </property>
  <property fmtid="{D5CDD505-2E9C-101B-9397-08002B2CF9AE}" pid="4" name="ICV">
    <vt:lpwstr>0CD9CA1D43EE433E93B179963204CF54_12</vt:lpwstr>
  </property>
</Properties>
</file>