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36C9BD">
      <w:pPr>
        <w:keepNext/>
        <w:keepLines/>
        <w:widowControl w:val="0"/>
        <w:spacing w:before="120" w:after="120" w:line="576" w:lineRule="auto"/>
        <w:jc w:val="center"/>
        <w:outlineLvl w:val="0"/>
        <w:rPr>
          <w:rFonts w:ascii="Calibri" w:hAnsi="Calibri" w:eastAsia="宋体" w:cs="Times New Roman"/>
          <w:b/>
          <w:bCs/>
          <w:kern w:val="44"/>
          <w:sz w:val="44"/>
          <w:szCs w:val="44"/>
          <w:lang w:val="en-US" w:eastAsia="zh-CN" w:bidi="ar-SA"/>
        </w:rPr>
      </w:pPr>
      <w:bookmarkStart w:id="0" w:name="_Toc256000013"/>
      <w:bookmarkStart w:id="1" w:name="_Toc178338855"/>
      <w:r>
        <w:rPr>
          <w:rFonts w:hint="eastAsia" w:ascii="Calibri" w:hAnsi="Calibri" w:eastAsia="宋体" w:cs="Times New Roman"/>
          <w:b/>
          <w:bCs/>
          <w:kern w:val="44"/>
          <w:sz w:val="44"/>
          <w:szCs w:val="44"/>
          <w:highlight w:val="white"/>
          <w:lang w:val="en-US" w:eastAsia="zh-CN" w:bidi="ar-SA"/>
        </w:rPr>
        <w:t>第五章  采购内容与要求</w:t>
      </w:r>
      <w:bookmarkEnd w:id="0"/>
      <w:bookmarkEnd w:id="1"/>
    </w:p>
    <w:p w14:paraId="30C3E7F3">
      <w:pPr>
        <w:rPr>
          <w:rFonts w:eastAsia="宋体" w:cs="Times New Roman"/>
          <w:highlight w:val="red"/>
        </w:rPr>
      </w:pPr>
      <w:bookmarkStart w:id="2" w:name="EB2abee0c6e69a40ebb288e666823f7368"/>
    </w:p>
    <w:p w14:paraId="024BFAF7">
      <w:pPr>
        <w:adjustRightInd w:val="0"/>
        <w:snapToGrid w:val="0"/>
        <w:rPr>
          <w:rFonts w:ascii="宋体" w:hAnsi="宋体" w:eastAsia="宋体" w:cs="宋体"/>
          <w:b/>
          <w:sz w:val="24"/>
          <w:szCs w:val="21"/>
        </w:rPr>
      </w:pPr>
      <w:bookmarkStart w:id="3" w:name="_Toc256000015"/>
      <w:bookmarkStart w:id="4" w:name="EB90aa937564e642cd807793a91dd25f34"/>
      <w:r>
        <w:rPr>
          <w:rFonts w:hint="eastAsia" w:ascii="宋体" w:hAnsi="宋体" w:eastAsia="宋体" w:cs="宋体"/>
          <w:b/>
          <w:szCs w:val="21"/>
        </w:rPr>
        <w:t xml:space="preserve">一、采购项目名称及服务期限 </w:t>
      </w:r>
    </w:p>
    <w:p w14:paraId="4D6DAECC">
      <w:pPr>
        <w:kinsoku w:val="0"/>
        <w:overflowPunct w:val="0"/>
        <w:spacing w:line="480" w:lineRule="exact"/>
        <w:ind w:firstLine="480" w:firstLineChars="200"/>
        <w:rPr>
          <w:rFonts w:hint="eastAsia" w:ascii="宋体" w:hAnsi="宋体" w:eastAsia="宋体" w:cs="Calibri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Calibri"/>
          <w:bCs/>
          <w:sz w:val="24"/>
          <w:szCs w:val="24"/>
        </w:rPr>
        <w:t>项目名称:</w:t>
      </w:r>
      <w:r>
        <w:rPr>
          <w:rFonts w:hint="eastAsia" w:ascii="宋体" w:hAnsi="宋体" w:eastAsia="宋体" w:cs="Times New Roman"/>
          <w:color w:val="000000"/>
          <w:sz w:val="24"/>
          <w:szCs w:val="22"/>
          <w:lang w:val="en-US" w:eastAsia="zh-CN"/>
        </w:rPr>
        <w:t>洪市镇集镇环卫清扫保洁服务（2026-2028）</w:t>
      </w:r>
    </w:p>
    <w:p w14:paraId="63E6C9C4">
      <w:pPr>
        <w:widowControl/>
        <w:spacing w:line="460" w:lineRule="exact"/>
        <w:ind w:firstLine="480" w:firstLineChars="200"/>
        <w:rPr>
          <w:rFonts w:hint="default" w:ascii="宋体" w:hAnsi="宋体" w:eastAsia="宋体" w:cs="Calibri"/>
          <w:bCs/>
          <w:color w:val="000000"/>
          <w:sz w:val="24"/>
          <w:szCs w:val="24"/>
          <w:lang w:val="en-US"/>
        </w:rPr>
      </w:pPr>
      <w:r>
        <w:rPr>
          <w:rFonts w:ascii="宋体" w:hAnsi="宋体" w:eastAsia="宋体" w:cs="@仿宋_GB2312"/>
          <w:color w:val="000000"/>
          <w:sz w:val="24"/>
          <w:szCs w:val="22"/>
        </w:rPr>
        <w:t>采购预算价：</w:t>
      </w:r>
      <w:r>
        <w:rPr>
          <w:rFonts w:hint="eastAsia" w:ascii="宋体" w:hAnsi="宋体" w:eastAsia="宋体" w:cs="@仿宋_GB2312"/>
          <w:color w:val="000000"/>
          <w:sz w:val="24"/>
          <w:szCs w:val="22"/>
          <w:lang w:val="en-US" w:eastAsia="zh-CN"/>
        </w:rPr>
        <w:t>4176000</w:t>
      </w:r>
      <w:r>
        <w:rPr>
          <w:rFonts w:hint="eastAsia" w:ascii="宋体" w:hAnsi="宋体" w:eastAsia="宋体" w:cs="@仿宋_GB2312"/>
          <w:color w:val="000000"/>
          <w:sz w:val="24"/>
          <w:szCs w:val="22"/>
          <w:lang w:eastAsia="zh-CN"/>
        </w:rPr>
        <w:t>元</w:t>
      </w:r>
      <w:r>
        <w:rPr>
          <w:rFonts w:hint="eastAsia" w:ascii="宋体" w:hAnsi="宋体" w:eastAsia="宋体" w:cs="@仿宋_GB2312"/>
          <w:color w:val="000000"/>
          <w:sz w:val="24"/>
          <w:szCs w:val="22"/>
          <w:lang w:val="en-US" w:eastAsia="zh-CN"/>
        </w:rPr>
        <w:t xml:space="preserve">             </w:t>
      </w:r>
      <w:r>
        <w:rPr>
          <w:rFonts w:hint="eastAsia" w:ascii="宋体" w:hAnsi="宋体" w:eastAsia="宋体" w:cs="Calibri"/>
          <w:bCs/>
          <w:color w:val="000000"/>
          <w:sz w:val="24"/>
          <w:szCs w:val="24"/>
        </w:rPr>
        <w:t>服务期限:</w:t>
      </w:r>
      <w:r>
        <w:rPr>
          <w:rFonts w:hint="eastAsia" w:ascii="宋体" w:hAnsi="宋体" w:eastAsia="宋体" w:cs="Calibri"/>
          <w:bCs/>
          <w:color w:val="000000"/>
          <w:sz w:val="24"/>
          <w:szCs w:val="24"/>
          <w:lang w:val="en-US" w:eastAsia="zh-CN"/>
        </w:rPr>
        <w:t>3年</w:t>
      </w:r>
    </w:p>
    <w:p w14:paraId="6031E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bookmarkStart w:id="5" w:name="_Toc380995852"/>
      <w:bookmarkStart w:id="6" w:name="_Toc227423934"/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二、工作范围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：</w:t>
      </w:r>
    </w:p>
    <w:p w14:paraId="7989EC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洪双南路从洪市加油站至洪双北路余田村坊新组上坡处。洪江路至洪市亭(法院，烟站)。光辉大道至瓦屋大桥(污水处理厂)。仰东路至米厂。东、西街。洪市大道及水沟。所有市场内的公共厕所。集镇范围内所有市场小区和临街小巷。</w:t>
      </w:r>
    </w:p>
    <w:p w14:paraId="77BE4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三、工作内容：</w:t>
      </w:r>
    </w:p>
    <w:p w14:paraId="6D71F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负责洪市镇城镇管辖范围所有街道院落的垃圾池垃圾清运工作。</w:t>
      </w:r>
    </w:p>
    <w:p w14:paraId="4257CB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垃圾清运做到无积存垃圾，日产日清。</w:t>
      </w:r>
    </w:p>
    <w:p w14:paraId="494CE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院落垃圾桶无垃圾满溢现象，箱(桶)外无暴露垃圾。垃圾箱(桶)外表整洁无污垢。</w:t>
      </w:r>
    </w:p>
    <w:p w14:paraId="5F3B66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乙方按要求的标准完成垃圾清运工作，对各垃圾收集点做到日产日清，确保垃圾不成堆、不蔓延。</w:t>
      </w:r>
    </w:p>
    <w:p w14:paraId="52C27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负责已建成城镇区域范围的洒水和清洗作业，基本做到地面干净无污垢。</w:t>
      </w:r>
    </w:p>
    <w:p w14:paraId="5D3076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街道保洁做到路面无垃圾、无杂物、无积泥沙石。</w:t>
      </w:r>
    </w:p>
    <w:p w14:paraId="360CD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晴天无积水。</w:t>
      </w:r>
    </w:p>
    <w:p w14:paraId="12F88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雨水井沟眼畅通干净。绿化带及树圈清洁无垃圾、杂物，人行道板及各类井盖等处缝隙无垃圾、杂物。</w:t>
      </w:r>
    </w:p>
    <w:p w14:paraId="723A6321">
      <w:pPr>
        <w:adjustRightInd w:val="0"/>
        <w:snapToGrid w:val="0"/>
        <w:spacing w:line="400" w:lineRule="exact"/>
        <w:rPr>
          <w:rFonts w:hint="eastAsia" w:ascii="宋体" w:hAnsi="宋体" w:eastAsia="宋体" w:cs="宋体"/>
          <w:b/>
          <w:bCs w:val="0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000000"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 w:val="0"/>
          <w:color w:val="000000"/>
          <w:sz w:val="24"/>
          <w:szCs w:val="24"/>
        </w:rPr>
        <w:t>人员要求、设备要求：</w:t>
      </w:r>
    </w:p>
    <w:p w14:paraId="42658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★ 1、</w:t>
      </w:r>
      <w:r>
        <w:rPr>
          <w:rFonts w:hint="eastAsia" w:ascii="宋体" w:hAnsi="宋体" w:eastAsia="宋体" w:cs="宋体"/>
          <w:bCs/>
          <w:sz w:val="24"/>
          <w:szCs w:val="24"/>
        </w:rPr>
        <w:t>人员配置为完成采购需求所需人员，包括主管工作人员、保洁工作人员，司机等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其中承诺清洁工人不低于30人（不含管理人员和司机），并与所聘人员签订劳务合同，中标后签订合同时提供相关证明材料</w:t>
      </w:r>
      <w:r>
        <w:rPr>
          <w:rFonts w:hint="eastAsia" w:ascii="宋体" w:hAnsi="宋体" w:eastAsia="宋体" w:cs="宋体"/>
          <w:bCs/>
          <w:sz w:val="24"/>
          <w:szCs w:val="24"/>
        </w:rPr>
        <w:t>。</w:t>
      </w:r>
    </w:p>
    <w:p w14:paraId="433DE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Cs/>
          <w:sz w:val="24"/>
          <w:szCs w:val="24"/>
        </w:rPr>
        <w:t>人员要求：身体健康，有劳动能力，文明清扫，礼貌待人，女性年龄不超过55周岁,男性年龄不超过60周岁。驾驶员要求本人有合法有效的驾驶证，垃圾压缩站工作人员需要具备一定的机械知识，擅于学习，以便进行操作和维护。</w:t>
      </w:r>
    </w:p>
    <w:p w14:paraId="418A68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3、采购人不提供任何清运设备和车辆，投标供应商提供自有、符合相关规定、手续齐全的环卫垃圾车、洒水车等完成采购需求的设备和交通工具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Cs/>
          <w:sz w:val="24"/>
          <w:szCs w:val="24"/>
        </w:rPr>
        <w:t>至少两台环卫垃圾清运车及环卫洒水车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投标时提供相关承诺，中标后签订合同时提供相关证明材料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Cs/>
          <w:sz w:val="24"/>
          <w:szCs w:val="24"/>
        </w:rPr>
        <w:t>，维护和运营由供应商负责。</w:t>
      </w:r>
    </w:p>
    <w:p w14:paraId="4CE08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质量标准</w:t>
      </w:r>
    </w:p>
    <w:p w14:paraId="228EE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质量卫生达到“五无六净”。</w:t>
      </w:r>
    </w:p>
    <w:p w14:paraId="5EE93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“五无”：即无砖头瓦块泥沙等零星堆积物、无果皮纸屑塑膜、无污泥积水、无漂浮垃圾、无袋装垃圾。</w:t>
      </w:r>
    </w:p>
    <w:p w14:paraId="6C0E4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“六净”：即路面净、泄水眼及阶沿石净、花坛绿化带树穴净、垃圾桶净、果皮箱净、墙面净。</w:t>
      </w:r>
    </w:p>
    <w:p w14:paraId="077C3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其中道路每500平方米果皮不超过15处，纸屑塑膜不超过15处，烟蒂、痰迹单项目不超过20处，污水不超过5处，其他有损市容项目不超过8处；或以上累计项目不超过30处。</w:t>
      </w:r>
    </w:p>
    <w:p w14:paraId="07871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六、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考核办法</w:t>
      </w:r>
    </w:p>
    <w:p w14:paraId="37F72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1、考核方式：实行日常考核和集中检查相结合，以月度考评的方式进行。</w:t>
      </w:r>
    </w:p>
    <w:p w14:paraId="08ECC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2、具体办法</w:t>
      </w:r>
    </w:p>
    <w:p w14:paraId="6001E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（1）日常考核以镇城管办的日常检查为主，设定满分为100分，采取倒扣分制进行考核计分。</w:t>
      </w:r>
    </w:p>
    <w:p w14:paraId="5A5E3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（2）日常检查包括上级部门、镇政府的例行检查、定期和不定期检查；上级部门和领导指出的问题；群众举报、投诉和新闻媒体批评曝光的问题。</w:t>
      </w:r>
    </w:p>
    <w:p w14:paraId="41934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3）日常检查中，对例行检查、定期检查、不定期检查和群众举报、投诉的一般问题，按本办法考核细则所列项目对违规行为实施考核扣分；对上级部门和领导指出的问题、重大活动或检查评比中出现的问题好扣分项、新闻媒体批评曝光的问题、群众举报投诉的重大问题，按本办法考核细则所列项目的2倍实施考核扣分，对重复出现的问题进行翻倍扣分。</w:t>
      </w:r>
    </w:p>
    <w:p w14:paraId="1CB1C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（4）集中检查中，每发现1处问题扣月包干经费200元，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被县督查组曝光卫生死角的，每次</w:t>
      </w:r>
      <w:r>
        <w:rPr>
          <w:rFonts w:hint="eastAsia" w:ascii="宋体" w:hAnsi="宋体" w:eastAsia="宋体" w:cs="宋体"/>
          <w:bCs/>
          <w:sz w:val="24"/>
          <w:szCs w:val="24"/>
        </w:rPr>
        <w:t>罚500元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有2次被县级部门或</w:t>
      </w:r>
      <w:r>
        <w:rPr>
          <w:rFonts w:hint="eastAsia" w:ascii="宋体" w:hAnsi="宋体" w:eastAsia="宋体" w:cs="宋体"/>
          <w:bCs/>
          <w:sz w:val="24"/>
          <w:szCs w:val="24"/>
        </w:rPr>
        <w:t>媒体曝光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另处罚2000元</w:t>
      </w:r>
      <w:r>
        <w:rPr>
          <w:rFonts w:hint="eastAsia" w:ascii="宋体" w:hAnsi="宋体" w:eastAsia="宋体" w:cs="宋体"/>
          <w:bCs/>
          <w:sz w:val="24"/>
          <w:szCs w:val="24"/>
        </w:rPr>
        <w:t>。</w:t>
      </w:r>
    </w:p>
    <w:p w14:paraId="1A225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（5）检查发现的问题必须做好登记、拍照，作为评定分数的依据；同一个问题不重复扣分。</w:t>
      </w:r>
    </w:p>
    <w:p w14:paraId="32165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（6）被考核人认为考核有误，可以向考核领导小组进行申辩，经复核重新认定，同一个处罚复核只进行一次。</w:t>
      </w:r>
    </w:p>
    <w:p w14:paraId="54C0F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七、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奖惩措施</w:t>
      </w:r>
    </w:p>
    <w:p w14:paraId="62B3C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1、考核计分方式</w:t>
      </w:r>
    </w:p>
    <w:p w14:paraId="410A8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（1）日常检查计分：日常检查设满分100分，实行倒扣分制。</w:t>
      </w:r>
    </w:p>
    <w:p w14:paraId="4C48E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（2）集中检查计分：集中检查考核。</w:t>
      </w:r>
    </w:p>
    <w:p w14:paraId="7014D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2、 奖惩办法</w:t>
      </w:r>
    </w:p>
    <w:p w14:paraId="7C7278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（1）日常检查</w:t>
      </w:r>
    </w:p>
    <w:p w14:paraId="0B2B9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480" w:firstLineChars="200"/>
        <w:textAlignment w:val="auto"/>
        <w:rPr>
          <w:rFonts w:hint="eastAsia" w:ascii="宋体" w:hAnsi="宋体" w:eastAsia="宋体" w:cs="@仿宋_GB2312"/>
          <w:bCs/>
          <w:sz w:val="24"/>
          <w:szCs w:val="24"/>
        </w:rPr>
      </w:pPr>
      <w:r>
        <w:rPr>
          <w:rFonts w:hint="eastAsia" w:ascii="宋体" w:hAnsi="宋体" w:eastAsia="宋体" w:cs="@仿宋_GB2312"/>
          <w:bCs/>
          <w:sz w:val="24"/>
          <w:szCs w:val="24"/>
        </w:rPr>
        <w:t xml:space="preserve"> 1）日常检查计分，</w:t>
      </w:r>
      <w:r>
        <w:rPr>
          <w:rFonts w:hint="eastAsia" w:ascii="宋体" w:hAnsi="宋体" w:eastAsia="宋体" w:cs="@仿宋_GB2312"/>
          <w:bCs/>
          <w:sz w:val="24"/>
          <w:szCs w:val="24"/>
          <w:lang w:val="en-US" w:eastAsia="zh-CN"/>
        </w:rPr>
        <w:t>90分以上支付全额月包干经费、80分以上罚3000元、70</w:t>
      </w:r>
      <w:r>
        <w:rPr>
          <w:rFonts w:hint="eastAsia" w:ascii="宋体" w:hAnsi="宋体" w:eastAsia="宋体" w:cs="@仿宋_GB2312"/>
          <w:bCs/>
          <w:sz w:val="24"/>
          <w:szCs w:val="24"/>
        </w:rPr>
        <w:t>分</w:t>
      </w:r>
      <w:r>
        <w:rPr>
          <w:rFonts w:hint="eastAsia" w:ascii="宋体" w:hAnsi="宋体" w:eastAsia="宋体" w:cs="@仿宋_GB2312"/>
          <w:bCs/>
          <w:sz w:val="24"/>
          <w:szCs w:val="24"/>
          <w:lang w:eastAsia="zh-CN"/>
        </w:rPr>
        <w:t>及</w:t>
      </w:r>
      <w:r>
        <w:rPr>
          <w:rFonts w:hint="eastAsia" w:ascii="宋体" w:hAnsi="宋体" w:eastAsia="宋体" w:cs="@仿宋_GB2312"/>
          <w:bCs/>
          <w:sz w:val="24"/>
          <w:szCs w:val="24"/>
          <w:lang w:val="en-US" w:eastAsia="zh-CN"/>
        </w:rPr>
        <w:t>以下罚5000元</w:t>
      </w:r>
      <w:r>
        <w:rPr>
          <w:rFonts w:hint="eastAsia" w:ascii="宋体" w:hAnsi="宋体" w:eastAsia="宋体" w:cs="@仿宋_GB2312"/>
          <w:bCs/>
          <w:sz w:val="24"/>
          <w:szCs w:val="24"/>
        </w:rPr>
        <w:t>。</w:t>
      </w:r>
    </w:p>
    <w:p w14:paraId="73EB7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Cs/>
          <w:sz w:val="24"/>
          <w:szCs w:val="24"/>
        </w:rPr>
        <w:t>）集中检查中，每发现1处问题扣月包干经费200元，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被县督查组曝光卫生死角的，每次</w:t>
      </w:r>
      <w:r>
        <w:rPr>
          <w:rFonts w:hint="eastAsia" w:ascii="宋体" w:hAnsi="宋体" w:eastAsia="宋体" w:cs="宋体"/>
          <w:bCs/>
          <w:sz w:val="24"/>
          <w:szCs w:val="24"/>
        </w:rPr>
        <w:t>罚500元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有2次被县级部门或</w:t>
      </w:r>
      <w:r>
        <w:rPr>
          <w:rFonts w:hint="eastAsia" w:ascii="宋体" w:hAnsi="宋体" w:eastAsia="宋体" w:cs="宋体"/>
          <w:bCs/>
          <w:sz w:val="24"/>
          <w:szCs w:val="24"/>
        </w:rPr>
        <w:t>媒体曝光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另处罚2000元</w:t>
      </w:r>
      <w:r>
        <w:rPr>
          <w:rFonts w:hint="eastAsia" w:ascii="宋体" w:hAnsi="宋体" w:eastAsia="宋体" w:cs="宋体"/>
          <w:bCs/>
          <w:sz w:val="24"/>
          <w:szCs w:val="24"/>
        </w:rPr>
        <w:t>。</w:t>
      </w:r>
    </w:p>
    <w:p w14:paraId="68527B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588" w:firstLineChars="245"/>
        <w:textAlignment w:val="auto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  <w:szCs w:val="24"/>
        </w:rPr>
        <w:t>）综合评价</w:t>
      </w:r>
    </w:p>
    <w:p w14:paraId="5FEA9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588" w:firstLineChars="245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年度在县市容卫生检查中按全县排名前后三名分别对应奖罚8000元、5000元、3000元标准考核</w:t>
      </w:r>
      <w:r>
        <w:rPr>
          <w:rFonts w:hint="eastAsia" w:ascii="宋体" w:hAnsi="宋体" w:eastAsia="宋体" w:cs="宋体"/>
          <w:bCs/>
          <w:sz w:val="24"/>
          <w:szCs w:val="24"/>
        </w:rPr>
        <w:t>。</w:t>
      </w:r>
    </w:p>
    <w:p w14:paraId="71658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354" w:firstLineChars="147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3</w:t>
      </w:r>
      <w:r>
        <w:rPr>
          <w:rFonts w:hint="eastAsia" w:ascii="宋体" w:hAnsi="宋体" w:eastAsia="宋体" w:cs="宋体"/>
          <w:bCs/>
          <w:sz w:val="24"/>
          <w:szCs w:val="24"/>
        </w:rPr>
        <w:t>、考核细则</w:t>
      </w:r>
    </w:p>
    <w:p w14:paraId="59D29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720" w:firstLineChars="300"/>
        <w:textAlignment w:val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以采购人制定的考核标准为准。</w:t>
      </w:r>
    </w:p>
    <w:bookmarkEnd w:id="5"/>
    <w:bookmarkEnd w:id="6"/>
    <w:p w14:paraId="24F6B744">
      <w:pPr>
        <w:adjustRightInd w:val="0"/>
        <w:snapToGrid w:val="0"/>
        <w:spacing w:line="48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八、</w:t>
      </w:r>
      <w:r>
        <w:rPr>
          <w:rFonts w:hint="eastAsia" w:ascii="宋体" w:hAnsi="宋体" w:eastAsia="宋体" w:cs="宋体"/>
          <w:b/>
          <w:sz w:val="24"/>
          <w:szCs w:val="24"/>
        </w:rPr>
        <w:t>其他说明</w:t>
      </w:r>
    </w:p>
    <w:p w14:paraId="5E2EB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1、付款人：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衡阳县洪市镇人民政府</w:t>
      </w:r>
    </w:p>
    <w:p w14:paraId="3BC9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付款方式：服务实行以月考核，完成当月环卫服务,乙方出具正规发票给甲方，甲方按月支付(本月支付上一个月)费用。</w:t>
      </w:r>
    </w:p>
    <w:p w14:paraId="78CB63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Chars="0"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本项目为费用包干方式，包括各类配备人员工资、各种津贴、奖金，防暑降温费、社会保险费用、保洁用品用具、车辆保险、车辆维护维修、车辆油费等一切运行费用等为完成本项目的费用。</w:t>
      </w:r>
    </w:p>
    <w:p w14:paraId="329236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leftChars="0"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投标人应根据项目要求和现场情况，详细列明项目所需各项费用，如一旦中标，在项目实施中出现任何遗漏，均由成交供应商免费提供，采购人不再支付任何费用。</w:t>
      </w:r>
    </w:p>
    <w:p w14:paraId="010380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480" w:firstLineChars="200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5、采购人支付费用具体方式如下：具体以双方签订合同时约定为准。</w:t>
      </w:r>
    </w:p>
    <w:p w14:paraId="50600E71">
      <w:pPr>
        <w:rPr>
          <w:rFonts w:eastAsia="宋体" w:cs="Times New Roman"/>
          <w:sz w:val="20"/>
          <w:highlight w:val="whit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zh-CN"/>
        </w:rPr>
        <w:t>对于上述项目要求，投标人应在投标文件中进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zh-CN"/>
        </w:rPr>
        <w:t>行回应，作出承诺及说明。</w:t>
      </w:r>
      <w:bookmarkEnd w:id="2"/>
      <w:bookmarkEnd w:id="3"/>
      <w:bookmarkEnd w:id="4"/>
    </w:p>
    <w:p w14:paraId="294702A5">
      <w:bookmarkStart w:id="7" w:name="_GoBack"/>
      <w:bookmarkEnd w:id="7"/>
    </w:p>
    <w:sectPr>
      <w:pgSz w:w="11906" w:h="16838"/>
      <w:pgMar w:top="1440" w:right="1800" w:bottom="1440" w:left="1800" w:header="851" w:footer="879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952D1"/>
    <w:rsid w:val="1CEA0DFE"/>
    <w:rsid w:val="5AB77513"/>
    <w:rsid w:val="6122416C"/>
    <w:rsid w:val="61312F1A"/>
    <w:rsid w:val="63EC2965"/>
    <w:rsid w:val="783A38D3"/>
    <w:rsid w:val="791E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Lines="0" w:afterAutospacing="0" w:line="360" w:lineRule="auto"/>
      <w:outlineLvl w:val="0"/>
    </w:pPr>
    <w:rPr>
      <w:rFonts w:ascii="Arial" w:hAnsi="Arial" w:eastAsia="Arial" w:cs="Arial"/>
      <w:b/>
      <w:snapToGrid w:val="0"/>
      <w:color w:val="000000"/>
      <w:kern w:val="44"/>
      <w:sz w:val="32"/>
      <w:szCs w:val="21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2021-08-12T07:26:00Z</dcterms:created>
  <dc:creator>123</dc:creator>
  <cp:lastModifiedBy>123</cp:lastModifiedBy>
  <dcterms:modified xsi:type="dcterms:W3CDTF">2026-02-02T02:55:52Z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107F66317231486A814F13D804A58548</vt:lpwstr>
  </property>
  <property fmtid="{D5CDD505-2E9C-101B-9397-08002B2CF9AE}" pid="4" name="KSOTemplateDocerSaveRecord">
    <vt:lpwstr>eyJoZGlkIjoiZjZiZWMyYjhkMjU0MWQ0ZmI1NGUxOTEwMjJlOWJhZjMiLCJ1c2VySWQiOiI1NjgyMTMzNzIifQ==</vt:lpwstr>
  </property>
</Properties>
</file>