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700234">
      <w:pPr>
        <w:spacing w:line="271" w:lineRule="auto"/>
        <w:rPr>
          <w:rFonts w:ascii="Arial"/>
          <w:sz w:val="21"/>
        </w:rPr>
      </w:pPr>
    </w:p>
    <w:p w14:paraId="70997A6C">
      <w:pPr>
        <w:spacing w:line="272" w:lineRule="auto"/>
        <w:rPr>
          <w:rFonts w:ascii="Arial"/>
          <w:sz w:val="21"/>
        </w:rPr>
      </w:pPr>
    </w:p>
    <w:p w14:paraId="728F25D1">
      <w:pPr>
        <w:pStyle w:val="2"/>
        <w:spacing w:before="101" w:line="224" w:lineRule="auto"/>
        <w:ind w:left="2900"/>
        <w:outlineLvl w:val="0"/>
      </w:pPr>
      <w:bookmarkStart w:id="0" w:name="_Toc8451"/>
      <w:r>
        <w:rPr>
          <w:b/>
          <w:bCs/>
          <w:spacing w:val="5"/>
        </w:rPr>
        <w:t>第四章</w:t>
      </w:r>
      <w:r>
        <w:rPr>
          <w:spacing w:val="5"/>
        </w:rPr>
        <w:t xml:space="preserve">  </w:t>
      </w:r>
      <w:r>
        <w:rPr>
          <w:b/>
          <w:bCs/>
          <w:spacing w:val="5"/>
        </w:rPr>
        <w:t>采购需求</w:t>
      </w:r>
      <w:bookmarkEnd w:id="0"/>
    </w:p>
    <w:p w14:paraId="6B5CA526">
      <w:pPr>
        <w:spacing w:line="274" w:lineRule="auto"/>
        <w:rPr>
          <w:rFonts w:ascii="Arial"/>
          <w:sz w:val="21"/>
        </w:rPr>
      </w:pPr>
    </w:p>
    <w:p w14:paraId="792B378E">
      <w:pPr>
        <w:kinsoku w:val="0"/>
        <w:autoSpaceDE w:val="0"/>
        <w:autoSpaceDN w:val="0"/>
        <w:adjustRightInd w:val="0"/>
        <w:snapToGrid w:val="0"/>
        <w:spacing w:before="181" w:line="220" w:lineRule="auto"/>
        <w:ind w:left="3123"/>
        <w:jc w:val="left"/>
        <w:textAlignment w:val="baseline"/>
        <w:rPr>
          <w:rFonts w:ascii="宋体" w:hAnsi="宋体" w:eastAsia="宋体" w:cs="宋体"/>
          <w:snapToGrid w:val="0"/>
          <w:color w:val="000000"/>
          <w:kern w:val="0"/>
          <w:sz w:val="28"/>
          <w:szCs w:val="28"/>
          <w:lang w:val="en-US" w:eastAsia="en-US" w:bidi="ar-SA"/>
        </w:rPr>
      </w:pPr>
      <w:r>
        <w:rPr>
          <w:rFonts w:ascii="宋体" w:hAnsi="宋体" w:eastAsia="宋体" w:cs="宋体"/>
          <w:b/>
          <w:bCs/>
          <w:snapToGrid w:val="0"/>
          <w:color w:val="000000"/>
          <w:spacing w:val="-4"/>
          <w:kern w:val="0"/>
          <w:sz w:val="28"/>
          <w:szCs w:val="28"/>
          <w:lang w:val="en-US" w:eastAsia="en-US" w:bidi="ar-SA"/>
        </w:rPr>
        <w:t>第一节</w:t>
      </w:r>
      <w:r>
        <w:rPr>
          <w:rFonts w:ascii="宋体" w:hAnsi="宋体" w:eastAsia="宋体" w:cs="宋体"/>
          <w:snapToGrid w:val="0"/>
          <w:color w:val="000000"/>
          <w:spacing w:val="-4"/>
          <w:kern w:val="0"/>
          <w:sz w:val="28"/>
          <w:szCs w:val="28"/>
          <w:lang w:val="en-US" w:eastAsia="en-US" w:bidi="ar-SA"/>
        </w:rPr>
        <w:t xml:space="preserve"> </w:t>
      </w:r>
      <w:r>
        <w:rPr>
          <w:rFonts w:ascii="宋体" w:hAnsi="宋体" w:eastAsia="宋体" w:cs="宋体"/>
          <w:b/>
          <w:bCs/>
          <w:snapToGrid w:val="0"/>
          <w:color w:val="000000"/>
          <w:spacing w:val="-4"/>
          <w:kern w:val="0"/>
          <w:sz w:val="28"/>
          <w:szCs w:val="28"/>
          <w:lang w:val="en-US" w:eastAsia="en-US" w:bidi="ar-SA"/>
        </w:rPr>
        <w:t>服务要求</w:t>
      </w:r>
    </w:p>
    <w:p w14:paraId="50BD0BED">
      <w:pPr>
        <w:spacing w:line="274" w:lineRule="auto"/>
        <w:rPr>
          <w:rFonts w:ascii="Arial"/>
          <w:sz w:val="21"/>
        </w:rPr>
      </w:pPr>
    </w:p>
    <w:p w14:paraId="54FA08DD">
      <w:pPr>
        <w:kinsoku w:val="0"/>
        <w:autoSpaceDE w:val="0"/>
        <w:autoSpaceDN w:val="0"/>
        <w:adjustRightInd w:val="0"/>
        <w:snapToGrid w:val="0"/>
        <w:spacing w:before="65" w:line="228" w:lineRule="auto"/>
        <w:ind w:left="25"/>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b/>
          <w:bCs/>
          <w:snapToGrid w:val="0"/>
          <w:color w:val="000000"/>
          <w:spacing w:val="6"/>
          <w:kern w:val="0"/>
          <w:sz w:val="21"/>
          <w:szCs w:val="21"/>
          <w:lang w:val="en-US" w:eastAsia="en-US" w:bidi="ar-SA"/>
        </w:rPr>
        <w:t>一、项目概况</w:t>
      </w:r>
    </w:p>
    <w:p w14:paraId="72A7F045">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根据《湖南省民政厅关于全面开展特困人员照料护理工作的意见》(湘民发[2017]10 号) 等文件精神，特困人员的照料护理资金在困难群众基本生活补助资金中统筹安排，由县级民政部门统筹使用，主要用于统一为辖区内特困人员购买住院医疗期间照料护理保险，购买日常照料护理社会化服务。</w:t>
      </w:r>
    </w:p>
    <w:p w14:paraId="6DD8C113">
      <w:pPr>
        <w:kinsoku w:val="0"/>
        <w:autoSpaceDE w:val="0"/>
        <w:autoSpaceDN w:val="0"/>
        <w:adjustRightInd w:val="0"/>
        <w:snapToGrid w:val="0"/>
        <w:spacing w:before="123" w:line="227" w:lineRule="auto"/>
        <w:ind w:left="25"/>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b/>
          <w:bCs/>
          <w:snapToGrid w:val="0"/>
          <w:color w:val="000000"/>
          <w:spacing w:val="5"/>
          <w:kern w:val="0"/>
          <w:sz w:val="21"/>
          <w:szCs w:val="21"/>
          <w:lang w:val="en-US" w:eastAsia="en-US" w:bidi="ar-SA"/>
        </w:rPr>
        <w:t>二、项目基本情况：</w:t>
      </w:r>
    </w:p>
    <w:p w14:paraId="7C95A82F">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 xml:space="preserve">1、项目名称: </w:t>
      </w:r>
      <w:r>
        <w:rPr>
          <w:rFonts w:hint="eastAsia" w:ascii="宋体" w:hAnsi="宋体" w:eastAsia="宋体" w:cs="宋体"/>
          <w:snapToGrid w:val="0"/>
          <w:color w:val="000000"/>
          <w:spacing w:val="5"/>
          <w:kern w:val="0"/>
          <w:sz w:val="21"/>
          <w:szCs w:val="21"/>
          <w:lang w:val="en-US" w:eastAsia="zh-CN" w:bidi="ar-SA"/>
        </w:rPr>
        <w:t>购买特困供养对象住院期间生活护理保险采购项目</w:t>
      </w:r>
      <w:r>
        <w:rPr>
          <w:rFonts w:hint="eastAsia" w:ascii="宋体" w:hAnsi="宋体" w:eastAsia="宋体" w:cs="宋体"/>
          <w:snapToGrid w:val="0"/>
          <w:color w:val="000000"/>
          <w:spacing w:val="5"/>
          <w:kern w:val="0"/>
          <w:sz w:val="21"/>
          <w:szCs w:val="21"/>
          <w:lang w:val="en-US" w:eastAsia="en-US" w:bidi="ar-SA"/>
        </w:rPr>
        <w:t>；</w:t>
      </w:r>
    </w:p>
    <w:p w14:paraId="34C87363">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2、参保对象: 衡阳县行政区域内在册的特困供养人员；</w:t>
      </w:r>
    </w:p>
    <w:p w14:paraId="00541E1B">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3、参保人数: 52</w:t>
      </w:r>
      <w:r>
        <w:rPr>
          <w:rFonts w:hint="eastAsia" w:ascii="宋体" w:hAnsi="宋体" w:eastAsia="宋体" w:cs="宋体"/>
          <w:snapToGrid w:val="0"/>
          <w:color w:val="000000"/>
          <w:spacing w:val="5"/>
          <w:kern w:val="0"/>
          <w:sz w:val="21"/>
          <w:szCs w:val="21"/>
          <w:lang w:val="en-US" w:eastAsia="zh-CN" w:bidi="ar-SA"/>
        </w:rPr>
        <w:t>61</w:t>
      </w:r>
      <w:r>
        <w:rPr>
          <w:rFonts w:hint="eastAsia" w:ascii="宋体" w:hAnsi="宋体" w:eastAsia="宋体" w:cs="宋体"/>
          <w:snapToGrid w:val="0"/>
          <w:color w:val="000000"/>
          <w:spacing w:val="5"/>
          <w:kern w:val="0"/>
          <w:sz w:val="21"/>
          <w:szCs w:val="21"/>
          <w:lang w:val="en-US" w:eastAsia="en-US" w:bidi="ar-SA"/>
        </w:rPr>
        <w:t>人（具体服务对象名单见保险花名册）；</w:t>
      </w:r>
    </w:p>
    <w:p w14:paraId="72CE3DC5">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4、服务期限: 1年；</w:t>
      </w:r>
    </w:p>
    <w:p w14:paraId="7965759B">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5、项目采购预算 :</w:t>
      </w:r>
      <w:r>
        <w:rPr>
          <w:rFonts w:hint="eastAsia" w:ascii="宋体" w:hAnsi="宋体" w:eastAsia="宋体" w:cs="宋体"/>
          <w:snapToGrid w:val="0"/>
          <w:color w:val="000000"/>
          <w:spacing w:val="5"/>
          <w:kern w:val="0"/>
          <w:sz w:val="21"/>
          <w:szCs w:val="21"/>
          <w:lang w:val="en-US" w:eastAsia="zh-CN" w:bidi="ar-SA"/>
        </w:rPr>
        <w:t>99959</w:t>
      </w:r>
      <w:r>
        <w:rPr>
          <w:rFonts w:hint="eastAsia" w:ascii="宋体" w:hAnsi="宋体" w:eastAsia="宋体" w:cs="宋体"/>
          <w:snapToGrid w:val="0"/>
          <w:color w:val="000000"/>
          <w:spacing w:val="5"/>
          <w:kern w:val="0"/>
          <w:sz w:val="21"/>
          <w:szCs w:val="21"/>
          <w:lang w:val="en-US" w:eastAsia="en-US" w:bidi="ar-SA"/>
        </w:rPr>
        <w:t>0.00元(190 元/人/年)。</w:t>
      </w:r>
    </w:p>
    <w:p w14:paraId="5B2D00D8">
      <w:pPr>
        <w:kinsoku w:val="0"/>
        <w:autoSpaceDE w:val="0"/>
        <w:autoSpaceDN w:val="0"/>
        <w:adjustRightInd w:val="0"/>
        <w:snapToGrid w:val="0"/>
        <w:spacing w:before="124" w:line="228" w:lineRule="auto"/>
        <w:ind w:left="22"/>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b/>
          <w:bCs/>
          <w:snapToGrid w:val="0"/>
          <w:color w:val="000000"/>
          <w:spacing w:val="6"/>
          <w:kern w:val="0"/>
          <w:sz w:val="21"/>
          <w:szCs w:val="21"/>
          <w:lang w:val="en-US" w:eastAsia="en-US" w:bidi="ar-SA"/>
        </w:rPr>
        <w:t>三、保险责任</w:t>
      </w:r>
    </w:p>
    <w:p w14:paraId="355E2A48">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在保险期限内，特困人员因遭受意外伤害、疾病在乡镇、县级定点医院（以下简称定点医院）住院治疗的，其生活护理费用纳入护理保险的支付范围，保险公司给付住院期间生活护理津贴，确保特困人员在住院期间能得到妥善的生活照顾。</w:t>
      </w:r>
    </w:p>
    <w:p w14:paraId="388EDA72">
      <w:pPr>
        <w:kinsoku w:val="0"/>
        <w:autoSpaceDE w:val="0"/>
        <w:autoSpaceDN w:val="0"/>
        <w:adjustRightInd w:val="0"/>
        <w:snapToGrid w:val="0"/>
        <w:spacing w:before="32" w:line="228" w:lineRule="auto"/>
        <w:ind w:left="41"/>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b/>
          <w:bCs/>
          <w:snapToGrid w:val="0"/>
          <w:color w:val="000000"/>
          <w:spacing w:val="3"/>
          <w:kern w:val="0"/>
          <w:sz w:val="21"/>
          <w:szCs w:val="21"/>
          <w:lang w:val="en-US" w:eastAsia="en-US" w:bidi="ar-SA"/>
        </w:rPr>
        <w:t>四、赔付范围</w:t>
      </w:r>
    </w:p>
    <w:p w14:paraId="46D2F8CF">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明确护理津贴的赔付责任，因急慢性疾病或意外伤害确需住院治疗且不能生活自理者，属于赔偿责任范围，限下列病症和情形：</w:t>
      </w:r>
    </w:p>
    <w:p w14:paraId="613EEED8">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1、内科： (1)高烧； (2)昏迷或昏厥； (3)哮喘持续状态； (4)各种原因的休克； (5)呼吸衰竭； (6)急性肺栓塞； (7)肺性脑病； (8)急性肺水肿； (9)心力衰竭 3 度； (10)严重心律失常；(11)急性心肌梗塞；(12)脑血管意外及脑疝；(13)重症肌无力危象；(14)严重出血性 疾病；(15)急性肝衰、肝性脑病； (16) 急性肾功能衰竭；(17)多器官功能衰竭；(18)急性中毒； (19)严重的免疫性疾病；（20）严重的传染病</w:t>
      </w:r>
      <w:r>
        <w:rPr>
          <w:rFonts w:hint="eastAsia" w:ascii="宋体" w:hAnsi="宋体" w:eastAsia="宋体" w:cs="宋体"/>
          <w:snapToGrid w:val="0"/>
          <w:color w:val="000000"/>
          <w:spacing w:val="5"/>
          <w:kern w:val="0"/>
          <w:sz w:val="21"/>
          <w:szCs w:val="21"/>
          <w:lang w:val="en-US" w:eastAsia="zh-CN" w:bidi="ar-SA"/>
        </w:rPr>
        <w:t>。</w:t>
      </w:r>
    </w:p>
    <w:p w14:paraId="6DA44091">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2、外科：(1)外科急腹症伴有严重的脱水、电解质紊乱、弥漫性腹膜炎、麻痹性肠梗阻；</w:t>
      </w:r>
    </w:p>
    <w:p w14:paraId="5C52E5EF">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(2)大面积烧伤、严重电击伤或其他严重创伤；(3)较大手术、术后发生较严重的并发症或合并症。</w:t>
      </w:r>
    </w:p>
    <w:p w14:paraId="51570A83">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3、其他：有严重症状的肿瘤病人、其他专科病人、八十岁以上的高龄老人等由保险公司现场根据病情确认可以支付护理津贴的病人。</w:t>
      </w:r>
    </w:p>
    <w:p w14:paraId="52319FEE">
      <w:pPr>
        <w:kinsoku w:val="0"/>
        <w:autoSpaceDE w:val="0"/>
        <w:autoSpaceDN w:val="0"/>
        <w:adjustRightInd w:val="0"/>
        <w:snapToGrid w:val="0"/>
        <w:spacing w:before="137" w:line="228" w:lineRule="auto"/>
        <w:ind w:left="25"/>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b/>
          <w:bCs/>
          <w:snapToGrid w:val="0"/>
          <w:color w:val="000000"/>
          <w:spacing w:val="6"/>
          <w:kern w:val="0"/>
          <w:sz w:val="21"/>
          <w:szCs w:val="21"/>
          <w:lang w:val="en-US" w:eastAsia="en-US" w:bidi="ar-SA"/>
        </w:rPr>
        <w:t>五、赔付条件</w:t>
      </w:r>
    </w:p>
    <w:p w14:paraId="34E65C67">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特困人员因意外伤害或疾病确需住院治疗，治疗期间生活无法自理需要护理，且有护理人员为特困人员提供了护理服务。其中，生活无法自理是指无法独立完成以下六项基本日常生活活动中的壹项及以上：</w:t>
      </w:r>
    </w:p>
    <w:p w14:paraId="0ABBA8F6">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1、进食：指自己从已准备好的碗或碟中取食物放入口中。</w:t>
      </w:r>
    </w:p>
    <w:p w14:paraId="066703D6">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2、更衣：指自己穿脱、扣紧或解开所穿衣物， 以及脱戴假肢或其他医疗辅助器具</w:t>
      </w:r>
      <w:r>
        <w:rPr>
          <w:rFonts w:hint="eastAsia" w:ascii="宋体" w:hAnsi="宋体" w:eastAsia="宋体" w:cs="宋体"/>
          <w:snapToGrid w:val="0"/>
          <w:color w:val="000000"/>
          <w:spacing w:val="5"/>
          <w:kern w:val="0"/>
          <w:sz w:val="21"/>
          <w:szCs w:val="21"/>
          <w:lang w:val="en-US" w:eastAsia="zh-CN" w:bidi="ar-SA"/>
        </w:rPr>
        <w:t>。</w:t>
      </w:r>
    </w:p>
    <w:p w14:paraId="1D6C71F5">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3、移动：指自己从床上移动至座椅、轮椅或其他替代器械上。</w:t>
      </w:r>
    </w:p>
    <w:p w14:paraId="093AB972">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4、步行：指自己在室内从房间到房间之间的平地行走。</w:t>
      </w:r>
    </w:p>
    <w:p w14:paraId="5F43BAF9">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5、如厕：指自己使用厕所和控制大小便，包括入厕和床上的大小便始末（擦拭、冲洗 和衣裤整理）。</w:t>
      </w:r>
    </w:p>
    <w:p w14:paraId="091012BE">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6、洗澡：指自己沐浴或淋浴（包括自行出入浴缸或冲淋房）或以任何其他方式清洗身体。</w:t>
      </w:r>
    </w:p>
    <w:p w14:paraId="4320CFAC">
      <w:pPr>
        <w:kinsoku w:val="0"/>
        <w:autoSpaceDE w:val="0"/>
        <w:autoSpaceDN w:val="0"/>
        <w:adjustRightInd w:val="0"/>
        <w:snapToGrid w:val="0"/>
        <w:spacing w:before="259" w:line="422" w:lineRule="auto"/>
        <w:ind w:right="51"/>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b/>
          <w:bCs/>
          <w:snapToGrid w:val="0"/>
          <w:color w:val="000000"/>
          <w:spacing w:val="6"/>
          <w:kern w:val="0"/>
          <w:sz w:val="21"/>
          <w:szCs w:val="21"/>
          <w:lang w:val="en-US" w:eastAsia="en-US" w:bidi="ar-SA"/>
        </w:rPr>
        <w:t>六、承保期限</w:t>
      </w:r>
    </w:p>
    <w:p w14:paraId="75BF5790">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保险期限一年。所有被保险人享受保险责任的起止时间与采购人和中标人签订的服务合同中的服务期限一致。被保险人凡在服务协议有效期内发生符合理赔条件的理赔案件，属于特困人员照料护理保险理赔范围的，保险公司应承担相应理赔责任。</w:t>
      </w:r>
    </w:p>
    <w:p w14:paraId="71E5649E">
      <w:pPr>
        <w:kinsoku w:val="0"/>
        <w:autoSpaceDE w:val="0"/>
        <w:autoSpaceDN w:val="0"/>
        <w:adjustRightInd w:val="0"/>
        <w:snapToGrid w:val="0"/>
        <w:spacing w:before="259" w:line="422" w:lineRule="auto"/>
        <w:ind w:right="51"/>
        <w:jc w:val="both"/>
        <w:textAlignment w:val="baseline"/>
        <w:rPr>
          <w:rFonts w:hint="eastAsia" w:ascii="宋体" w:hAnsi="宋体" w:eastAsia="宋体" w:cs="宋体"/>
          <w:b/>
          <w:bCs/>
          <w:snapToGrid w:val="0"/>
          <w:color w:val="000000"/>
          <w:spacing w:val="5"/>
          <w:kern w:val="0"/>
          <w:sz w:val="21"/>
          <w:szCs w:val="21"/>
          <w:lang w:val="en-US" w:eastAsia="en-US" w:bidi="ar-SA"/>
        </w:rPr>
      </w:pPr>
      <w:r>
        <w:rPr>
          <w:rFonts w:hint="eastAsia" w:ascii="宋体" w:hAnsi="宋体" w:eastAsia="宋体" w:cs="宋体"/>
          <w:b/>
          <w:bCs/>
          <w:snapToGrid w:val="0"/>
          <w:color w:val="000000"/>
          <w:spacing w:val="5"/>
          <w:kern w:val="0"/>
          <w:sz w:val="21"/>
          <w:szCs w:val="21"/>
          <w:lang w:val="en-US" w:eastAsia="en-US" w:bidi="ar-SA"/>
        </w:rPr>
        <w:t>七、保险方案</w:t>
      </w:r>
    </w:p>
    <w:p w14:paraId="209103C3">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（1） 赔付等级</w:t>
      </w:r>
    </w:p>
    <w:p w14:paraId="264B6D29">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根据特困人员生活自理能力以及所住定点医院等将住院生活护理津贴赔付标准划分为以下两个等级：</w:t>
      </w:r>
    </w:p>
    <w:p w14:paraId="66F6B08F">
      <w:pPr>
        <w:spacing w:line="28" w:lineRule="auto"/>
        <w:rPr>
          <w:rFonts w:hint="eastAsia" w:ascii="宋体" w:hAnsi="宋体" w:eastAsia="宋体" w:cs="宋体"/>
          <w:sz w:val="21"/>
          <w:szCs w:val="21"/>
        </w:rPr>
      </w:pPr>
    </w:p>
    <w:tbl>
      <w:tblPr>
        <w:tblStyle w:val="6"/>
        <w:tblW w:w="8665" w:type="dxa"/>
        <w:tblInd w:w="1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2"/>
        <w:gridCol w:w="1490"/>
        <w:gridCol w:w="1439"/>
        <w:gridCol w:w="1391"/>
        <w:gridCol w:w="2923"/>
      </w:tblGrid>
      <w:tr w14:paraId="2F2811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1422" w:type="dxa"/>
            <w:vAlign w:val="top"/>
          </w:tcPr>
          <w:p w14:paraId="1D9B4A26">
            <w:pPr>
              <w:kinsoku w:val="0"/>
              <w:autoSpaceDE w:val="0"/>
              <w:autoSpaceDN w:val="0"/>
              <w:adjustRightInd w:val="0"/>
              <w:snapToGrid w:val="0"/>
              <w:spacing w:before="295" w:line="228" w:lineRule="auto"/>
              <w:ind w:left="296"/>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snapToGrid w:val="0"/>
                <w:color w:val="000000"/>
                <w:spacing w:val="7"/>
                <w:kern w:val="0"/>
                <w:sz w:val="21"/>
                <w:szCs w:val="21"/>
                <w:lang w:val="en-US" w:eastAsia="en-US" w:bidi="ar-SA"/>
              </w:rPr>
              <w:t>护理等级</w:t>
            </w:r>
          </w:p>
        </w:tc>
        <w:tc>
          <w:tcPr>
            <w:tcW w:w="1490" w:type="dxa"/>
            <w:vAlign w:val="top"/>
          </w:tcPr>
          <w:p w14:paraId="6D01BEC6">
            <w:pPr>
              <w:kinsoku w:val="0"/>
              <w:autoSpaceDE w:val="0"/>
              <w:autoSpaceDN w:val="0"/>
              <w:adjustRightInd w:val="0"/>
              <w:snapToGrid w:val="0"/>
              <w:spacing w:before="296" w:line="228" w:lineRule="auto"/>
              <w:ind w:left="329"/>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snapToGrid w:val="0"/>
                <w:color w:val="000000"/>
                <w:spacing w:val="7"/>
                <w:kern w:val="0"/>
                <w:sz w:val="21"/>
                <w:szCs w:val="21"/>
                <w:lang w:val="en-US" w:eastAsia="en-US" w:bidi="ar-SA"/>
              </w:rPr>
              <w:t>护理情形</w:t>
            </w:r>
          </w:p>
        </w:tc>
        <w:tc>
          <w:tcPr>
            <w:tcW w:w="1439" w:type="dxa"/>
            <w:vAlign w:val="top"/>
          </w:tcPr>
          <w:p w14:paraId="1774150F">
            <w:pPr>
              <w:kinsoku w:val="0"/>
              <w:autoSpaceDE w:val="0"/>
              <w:autoSpaceDN w:val="0"/>
              <w:adjustRightInd w:val="0"/>
              <w:snapToGrid w:val="0"/>
              <w:spacing w:before="295" w:line="228" w:lineRule="auto"/>
              <w:ind w:left="208"/>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snapToGrid w:val="0"/>
                <w:color w:val="000000"/>
                <w:spacing w:val="6"/>
                <w:kern w:val="0"/>
                <w:sz w:val="21"/>
                <w:szCs w:val="21"/>
                <w:lang w:val="en-US" w:eastAsia="en-US" w:bidi="ar-SA"/>
              </w:rPr>
              <w:t>乡镇卫生院</w:t>
            </w:r>
          </w:p>
        </w:tc>
        <w:tc>
          <w:tcPr>
            <w:tcW w:w="1391" w:type="dxa"/>
            <w:vAlign w:val="top"/>
          </w:tcPr>
          <w:p w14:paraId="5E93524C">
            <w:pPr>
              <w:kinsoku w:val="0"/>
              <w:autoSpaceDE w:val="0"/>
              <w:autoSpaceDN w:val="0"/>
              <w:adjustRightInd w:val="0"/>
              <w:snapToGrid w:val="0"/>
              <w:spacing w:before="296" w:line="228" w:lineRule="auto"/>
              <w:ind w:left="282"/>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snapToGrid w:val="0"/>
                <w:color w:val="000000"/>
                <w:spacing w:val="7"/>
                <w:kern w:val="0"/>
                <w:sz w:val="21"/>
                <w:szCs w:val="21"/>
                <w:lang w:val="en-US" w:eastAsia="en-US" w:bidi="ar-SA"/>
              </w:rPr>
              <w:t>县级医院</w:t>
            </w:r>
          </w:p>
        </w:tc>
        <w:tc>
          <w:tcPr>
            <w:tcW w:w="2923" w:type="dxa"/>
            <w:vAlign w:val="top"/>
          </w:tcPr>
          <w:p w14:paraId="09B46959">
            <w:pPr>
              <w:kinsoku w:val="0"/>
              <w:autoSpaceDE w:val="0"/>
              <w:autoSpaceDN w:val="0"/>
              <w:adjustRightInd w:val="0"/>
              <w:snapToGrid w:val="0"/>
              <w:spacing w:before="296" w:line="229" w:lineRule="auto"/>
              <w:ind w:left="1612"/>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snapToGrid w:val="0"/>
                <w:color w:val="000000"/>
                <w:spacing w:val="3"/>
                <w:kern w:val="0"/>
                <w:sz w:val="21"/>
                <w:szCs w:val="21"/>
                <w:lang w:val="en-US" w:eastAsia="en-US" w:bidi="ar-SA"/>
              </w:rPr>
              <w:t>备注</w:t>
            </w:r>
          </w:p>
        </w:tc>
      </w:tr>
      <w:tr w14:paraId="0E3830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3" w:hRule="atLeast"/>
        </w:trPr>
        <w:tc>
          <w:tcPr>
            <w:tcW w:w="1422" w:type="dxa"/>
            <w:vAlign w:val="top"/>
          </w:tcPr>
          <w:p w14:paraId="4A6D7408">
            <w:pPr>
              <w:spacing w:line="260" w:lineRule="auto"/>
              <w:rPr>
                <w:rFonts w:hint="eastAsia" w:ascii="宋体" w:hAnsi="宋体" w:eastAsia="宋体" w:cs="宋体"/>
                <w:sz w:val="21"/>
                <w:szCs w:val="21"/>
              </w:rPr>
            </w:pPr>
          </w:p>
          <w:p w14:paraId="0C834DC4">
            <w:pPr>
              <w:spacing w:line="260" w:lineRule="auto"/>
              <w:rPr>
                <w:rFonts w:hint="eastAsia" w:ascii="宋体" w:hAnsi="宋体" w:eastAsia="宋体" w:cs="宋体"/>
                <w:sz w:val="21"/>
                <w:szCs w:val="21"/>
              </w:rPr>
            </w:pPr>
          </w:p>
          <w:p w14:paraId="3BA5A2C3">
            <w:pPr>
              <w:kinsoku w:val="0"/>
              <w:autoSpaceDE w:val="0"/>
              <w:autoSpaceDN w:val="0"/>
              <w:adjustRightInd w:val="0"/>
              <w:snapToGrid w:val="0"/>
              <w:spacing w:before="65" w:line="230" w:lineRule="auto"/>
              <w:ind w:left="510"/>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snapToGrid w:val="0"/>
                <w:color w:val="000000"/>
                <w:spacing w:val="3"/>
                <w:kern w:val="0"/>
                <w:sz w:val="21"/>
                <w:szCs w:val="21"/>
                <w:lang w:val="en-US" w:eastAsia="en-US" w:bidi="ar-SA"/>
              </w:rPr>
              <w:t>一级</w:t>
            </w:r>
          </w:p>
        </w:tc>
        <w:tc>
          <w:tcPr>
            <w:tcW w:w="1490" w:type="dxa"/>
            <w:vAlign w:val="top"/>
          </w:tcPr>
          <w:p w14:paraId="66254502">
            <w:pPr>
              <w:spacing w:line="260" w:lineRule="auto"/>
              <w:rPr>
                <w:rFonts w:hint="eastAsia" w:ascii="宋体" w:hAnsi="宋体" w:eastAsia="宋体" w:cs="宋体"/>
                <w:sz w:val="21"/>
                <w:szCs w:val="21"/>
              </w:rPr>
            </w:pPr>
          </w:p>
          <w:p w14:paraId="6AE95071">
            <w:pPr>
              <w:spacing w:line="261" w:lineRule="auto"/>
              <w:rPr>
                <w:rFonts w:hint="eastAsia" w:ascii="宋体" w:hAnsi="宋体" w:eastAsia="宋体" w:cs="宋体"/>
                <w:sz w:val="21"/>
                <w:szCs w:val="21"/>
              </w:rPr>
            </w:pPr>
          </w:p>
          <w:p w14:paraId="54209B37">
            <w:pPr>
              <w:kinsoku w:val="0"/>
              <w:autoSpaceDE w:val="0"/>
              <w:autoSpaceDN w:val="0"/>
              <w:adjustRightInd w:val="0"/>
              <w:snapToGrid w:val="0"/>
              <w:spacing w:before="65" w:line="228" w:lineRule="auto"/>
              <w:ind w:left="437"/>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半失能</w:t>
            </w:r>
          </w:p>
        </w:tc>
        <w:tc>
          <w:tcPr>
            <w:tcW w:w="1439" w:type="dxa"/>
            <w:vAlign w:val="top"/>
          </w:tcPr>
          <w:p w14:paraId="0D8C1515">
            <w:pPr>
              <w:spacing w:line="260" w:lineRule="auto"/>
              <w:rPr>
                <w:rFonts w:hint="eastAsia" w:ascii="宋体" w:hAnsi="宋体" w:eastAsia="宋体" w:cs="宋体"/>
                <w:sz w:val="21"/>
                <w:szCs w:val="21"/>
              </w:rPr>
            </w:pPr>
          </w:p>
          <w:p w14:paraId="4755F5FA">
            <w:pPr>
              <w:spacing w:line="261" w:lineRule="auto"/>
              <w:rPr>
                <w:rFonts w:hint="eastAsia" w:ascii="宋体" w:hAnsi="宋体" w:eastAsia="宋体" w:cs="宋体"/>
                <w:sz w:val="21"/>
                <w:szCs w:val="21"/>
              </w:rPr>
            </w:pPr>
          </w:p>
          <w:p w14:paraId="17C7BEE7">
            <w:pPr>
              <w:kinsoku w:val="0"/>
              <w:autoSpaceDE w:val="0"/>
              <w:autoSpaceDN w:val="0"/>
              <w:adjustRightInd w:val="0"/>
              <w:snapToGrid w:val="0"/>
              <w:spacing w:before="65" w:line="228" w:lineRule="auto"/>
              <w:ind w:left="332"/>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snapToGrid w:val="0"/>
                <w:color w:val="000000"/>
                <w:spacing w:val="2"/>
                <w:kern w:val="0"/>
                <w:sz w:val="21"/>
                <w:szCs w:val="21"/>
                <w:lang w:val="en-US" w:eastAsia="en-US" w:bidi="ar-SA"/>
              </w:rPr>
              <w:t>60</w:t>
            </w:r>
            <w:r>
              <w:rPr>
                <w:rFonts w:hint="eastAsia" w:ascii="宋体" w:hAnsi="宋体" w:eastAsia="宋体" w:cs="宋体"/>
                <w:snapToGrid w:val="0"/>
                <w:color w:val="000000"/>
                <w:spacing w:val="-36"/>
                <w:kern w:val="0"/>
                <w:sz w:val="21"/>
                <w:szCs w:val="21"/>
                <w:lang w:val="en-US" w:eastAsia="en-US" w:bidi="ar-SA"/>
              </w:rPr>
              <w:t xml:space="preserve"> </w:t>
            </w:r>
            <w:r>
              <w:rPr>
                <w:rFonts w:hint="eastAsia" w:ascii="宋体" w:hAnsi="宋体" w:eastAsia="宋体" w:cs="宋体"/>
                <w:snapToGrid w:val="0"/>
                <w:color w:val="000000"/>
                <w:spacing w:val="2"/>
                <w:kern w:val="0"/>
                <w:sz w:val="21"/>
                <w:szCs w:val="21"/>
                <w:lang w:val="en-US" w:eastAsia="en-US" w:bidi="ar-SA"/>
              </w:rPr>
              <w:t>元/天</w:t>
            </w:r>
          </w:p>
        </w:tc>
        <w:tc>
          <w:tcPr>
            <w:tcW w:w="1391" w:type="dxa"/>
            <w:vAlign w:val="top"/>
          </w:tcPr>
          <w:p w14:paraId="79324377">
            <w:pPr>
              <w:spacing w:line="260" w:lineRule="auto"/>
              <w:rPr>
                <w:rFonts w:hint="eastAsia" w:ascii="宋体" w:hAnsi="宋体" w:eastAsia="宋体" w:cs="宋体"/>
                <w:sz w:val="21"/>
                <w:szCs w:val="21"/>
              </w:rPr>
            </w:pPr>
          </w:p>
          <w:p w14:paraId="2691D26A">
            <w:pPr>
              <w:spacing w:line="261" w:lineRule="auto"/>
              <w:rPr>
                <w:rFonts w:hint="eastAsia" w:ascii="宋体" w:hAnsi="宋体" w:eastAsia="宋体" w:cs="宋体"/>
                <w:sz w:val="21"/>
                <w:szCs w:val="21"/>
              </w:rPr>
            </w:pPr>
          </w:p>
          <w:p w14:paraId="37DAA4CB">
            <w:pPr>
              <w:kinsoku w:val="0"/>
              <w:autoSpaceDE w:val="0"/>
              <w:autoSpaceDN w:val="0"/>
              <w:adjustRightInd w:val="0"/>
              <w:snapToGrid w:val="0"/>
              <w:spacing w:before="65" w:line="228" w:lineRule="auto"/>
              <w:ind w:left="308"/>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snapToGrid w:val="0"/>
                <w:color w:val="000000"/>
                <w:spacing w:val="2"/>
                <w:kern w:val="0"/>
                <w:sz w:val="21"/>
                <w:szCs w:val="21"/>
                <w:lang w:val="en-US" w:eastAsia="en-US" w:bidi="ar-SA"/>
              </w:rPr>
              <w:t>80</w:t>
            </w:r>
            <w:r>
              <w:rPr>
                <w:rFonts w:hint="eastAsia" w:ascii="宋体" w:hAnsi="宋体" w:eastAsia="宋体" w:cs="宋体"/>
                <w:snapToGrid w:val="0"/>
                <w:color w:val="000000"/>
                <w:spacing w:val="-35"/>
                <w:kern w:val="0"/>
                <w:sz w:val="21"/>
                <w:szCs w:val="21"/>
                <w:lang w:val="en-US" w:eastAsia="en-US" w:bidi="ar-SA"/>
              </w:rPr>
              <w:t xml:space="preserve"> </w:t>
            </w:r>
            <w:r>
              <w:rPr>
                <w:rFonts w:hint="eastAsia" w:ascii="宋体" w:hAnsi="宋体" w:eastAsia="宋体" w:cs="宋体"/>
                <w:snapToGrid w:val="0"/>
                <w:color w:val="000000"/>
                <w:spacing w:val="2"/>
                <w:kern w:val="0"/>
                <w:sz w:val="21"/>
                <w:szCs w:val="21"/>
                <w:lang w:val="en-US" w:eastAsia="en-US" w:bidi="ar-SA"/>
              </w:rPr>
              <w:t>元/天</w:t>
            </w:r>
          </w:p>
        </w:tc>
        <w:tc>
          <w:tcPr>
            <w:tcW w:w="2923" w:type="dxa"/>
            <w:vAlign w:val="center"/>
          </w:tcPr>
          <w:p w14:paraId="5A080023">
            <w:pPr>
              <w:spacing w:line="260" w:lineRule="auto"/>
              <w:jc w:val="both"/>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sz w:val="21"/>
                <w:szCs w:val="21"/>
                <w:lang w:val="en-US" w:eastAsia="en-US"/>
              </w:rPr>
              <w:t>无法独立完成其中</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en-US" w:eastAsia="en-US"/>
              </w:rPr>
              <w:t>1</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en-US" w:eastAsia="en-US"/>
              </w:rPr>
              <w:t>项及以上，3 项及以下基本日常生活活动。</w:t>
            </w:r>
          </w:p>
        </w:tc>
      </w:tr>
      <w:tr w14:paraId="0E9139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3" w:hRule="atLeast"/>
        </w:trPr>
        <w:tc>
          <w:tcPr>
            <w:tcW w:w="1422" w:type="dxa"/>
            <w:vAlign w:val="center"/>
          </w:tcPr>
          <w:p w14:paraId="5C56C166">
            <w:pPr>
              <w:spacing w:line="260" w:lineRule="auto"/>
              <w:jc w:val="center"/>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二级</w:t>
            </w:r>
          </w:p>
        </w:tc>
        <w:tc>
          <w:tcPr>
            <w:tcW w:w="1490" w:type="dxa"/>
            <w:vAlign w:val="center"/>
          </w:tcPr>
          <w:p w14:paraId="44D46037">
            <w:pPr>
              <w:spacing w:line="260" w:lineRule="auto"/>
              <w:jc w:val="center"/>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全失能</w:t>
            </w:r>
          </w:p>
        </w:tc>
        <w:tc>
          <w:tcPr>
            <w:tcW w:w="1439" w:type="dxa"/>
            <w:vAlign w:val="center"/>
          </w:tcPr>
          <w:p w14:paraId="1DBE25A7">
            <w:pPr>
              <w:spacing w:line="260" w:lineRule="auto"/>
              <w:jc w:val="center"/>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80 元/天</w:t>
            </w:r>
          </w:p>
        </w:tc>
        <w:tc>
          <w:tcPr>
            <w:tcW w:w="1391" w:type="dxa"/>
            <w:vAlign w:val="center"/>
          </w:tcPr>
          <w:p w14:paraId="43833548">
            <w:pPr>
              <w:spacing w:line="260" w:lineRule="auto"/>
              <w:jc w:val="center"/>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120 元/天</w:t>
            </w:r>
          </w:p>
        </w:tc>
        <w:tc>
          <w:tcPr>
            <w:tcW w:w="2923" w:type="dxa"/>
            <w:vAlign w:val="center"/>
          </w:tcPr>
          <w:p w14:paraId="0E01295D">
            <w:pPr>
              <w:spacing w:line="260" w:lineRule="auto"/>
              <w:jc w:val="left"/>
              <w:rPr>
                <w:rFonts w:hint="eastAsia" w:ascii="宋体" w:hAnsi="宋体" w:eastAsia="宋体" w:cs="宋体"/>
                <w:sz w:val="21"/>
                <w:szCs w:val="21"/>
                <w:lang w:val="en-US" w:eastAsia="en-US"/>
              </w:rPr>
            </w:pPr>
            <w:r>
              <w:rPr>
                <w:rFonts w:hint="eastAsia" w:ascii="宋体" w:hAnsi="宋体" w:eastAsia="宋体" w:cs="宋体"/>
                <w:sz w:val="21"/>
                <w:szCs w:val="21"/>
                <w:lang w:val="en-US" w:eastAsia="en-US"/>
              </w:rPr>
              <w:t>无法独立完成其中</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en-US" w:eastAsia="en-US"/>
              </w:rPr>
              <w:t>4</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en-US" w:eastAsia="en-US"/>
              </w:rPr>
              <w:t>项及以上基本日常生活活动。</w:t>
            </w:r>
          </w:p>
        </w:tc>
      </w:tr>
    </w:tbl>
    <w:p w14:paraId="326525EB">
      <w:pPr>
        <w:kinsoku w:val="0"/>
        <w:autoSpaceDE w:val="0"/>
        <w:autoSpaceDN w:val="0"/>
        <w:adjustRightInd w:val="0"/>
        <w:snapToGrid w:val="0"/>
        <w:spacing w:before="30" w:line="228" w:lineRule="auto"/>
        <w:ind w:left="452"/>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b/>
          <w:bCs/>
          <w:snapToGrid w:val="0"/>
          <w:color w:val="000000"/>
          <w:spacing w:val="2"/>
          <w:kern w:val="0"/>
          <w:sz w:val="21"/>
          <w:szCs w:val="21"/>
          <w:lang w:val="en-US" w:eastAsia="en-US" w:bidi="ar-SA"/>
        </w:rPr>
        <w:t>（2）</w:t>
      </w:r>
      <w:r>
        <w:rPr>
          <w:rFonts w:hint="eastAsia" w:ascii="宋体" w:hAnsi="宋体" w:eastAsia="宋体" w:cs="宋体"/>
          <w:snapToGrid w:val="0"/>
          <w:color w:val="000000"/>
          <w:spacing w:val="26"/>
          <w:kern w:val="0"/>
          <w:sz w:val="21"/>
          <w:szCs w:val="21"/>
          <w:lang w:val="en-US" w:eastAsia="en-US" w:bidi="ar-SA"/>
        </w:rPr>
        <w:t xml:space="preserve"> </w:t>
      </w:r>
      <w:r>
        <w:rPr>
          <w:rFonts w:hint="eastAsia" w:ascii="宋体" w:hAnsi="宋体" w:eastAsia="宋体" w:cs="宋体"/>
          <w:b/>
          <w:bCs/>
          <w:snapToGrid w:val="0"/>
          <w:color w:val="000000"/>
          <w:spacing w:val="2"/>
          <w:kern w:val="0"/>
          <w:sz w:val="21"/>
          <w:szCs w:val="21"/>
          <w:lang w:val="en-US" w:eastAsia="en-US" w:bidi="ar-SA"/>
        </w:rPr>
        <w:t>赔付天数</w:t>
      </w:r>
    </w:p>
    <w:p w14:paraId="45004295">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赔付天数。每名特困人员住院期间生活护理津贴单次住院赔付天数最高不超过 12 天；（乡镇卫生院不超过 10 天，中心卫生院不超过 12 天）在县级定点医院住院的，单次住院期间生活护理津贴赔付天数最高不超高 15 天。全年累计赔付天数不超过 45 天,如特殊情形累 计赔付天数超过 45 天，须民政、卫计和保险公司协商解决。每位特困人员单次住院期间生活护理津贴从住院第 2 天开始给付。</w:t>
      </w:r>
    </w:p>
    <w:p w14:paraId="14719D95">
      <w:pPr>
        <w:kinsoku w:val="0"/>
        <w:autoSpaceDE w:val="0"/>
        <w:autoSpaceDN w:val="0"/>
        <w:adjustRightInd w:val="0"/>
        <w:snapToGrid w:val="0"/>
        <w:spacing w:before="30" w:line="228" w:lineRule="auto"/>
        <w:ind w:left="452"/>
        <w:jc w:val="left"/>
        <w:textAlignment w:val="baseline"/>
        <w:rPr>
          <w:rFonts w:hint="eastAsia" w:ascii="宋体" w:hAnsi="宋体" w:eastAsia="宋体" w:cs="宋体"/>
          <w:b/>
          <w:bCs/>
          <w:snapToGrid w:val="0"/>
          <w:color w:val="000000"/>
          <w:spacing w:val="2"/>
          <w:kern w:val="0"/>
          <w:sz w:val="21"/>
          <w:szCs w:val="21"/>
          <w:lang w:val="en-US" w:eastAsia="en-US" w:bidi="ar-SA"/>
        </w:rPr>
      </w:pPr>
      <w:r>
        <w:rPr>
          <w:rFonts w:hint="eastAsia" w:ascii="宋体" w:hAnsi="宋体" w:eastAsia="宋体" w:cs="宋体"/>
          <w:b/>
          <w:bCs/>
          <w:snapToGrid w:val="0"/>
          <w:color w:val="000000"/>
          <w:spacing w:val="2"/>
          <w:kern w:val="0"/>
          <w:sz w:val="21"/>
          <w:szCs w:val="21"/>
          <w:lang w:val="en-US" w:eastAsia="en-US" w:bidi="ar-SA"/>
        </w:rPr>
        <w:t>（3）单次住院界定</w:t>
      </w:r>
    </w:p>
    <w:p w14:paraId="1AA37EA9">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若特困人员本次住院治疗与前次住院原因相同，且前次出院与本次入院间隔不超过三十日，则本次住院与前次住院视为同一次住院。</w:t>
      </w:r>
    </w:p>
    <w:p w14:paraId="26CD9659">
      <w:pPr>
        <w:kinsoku w:val="0"/>
        <w:autoSpaceDE w:val="0"/>
        <w:autoSpaceDN w:val="0"/>
        <w:adjustRightInd w:val="0"/>
        <w:snapToGrid w:val="0"/>
        <w:spacing w:before="259" w:line="422" w:lineRule="auto"/>
        <w:ind w:right="51"/>
        <w:jc w:val="both"/>
        <w:textAlignment w:val="baseline"/>
        <w:rPr>
          <w:rFonts w:hint="eastAsia" w:ascii="宋体" w:hAnsi="宋体" w:eastAsia="宋体" w:cs="宋体"/>
          <w:b/>
          <w:bCs/>
          <w:snapToGrid w:val="0"/>
          <w:color w:val="000000"/>
          <w:spacing w:val="5"/>
          <w:kern w:val="0"/>
          <w:sz w:val="21"/>
          <w:szCs w:val="21"/>
          <w:lang w:val="en-US" w:eastAsia="en-US" w:bidi="ar-SA"/>
        </w:rPr>
      </w:pPr>
      <w:r>
        <w:rPr>
          <w:rFonts w:hint="eastAsia" w:ascii="宋体" w:hAnsi="宋体" w:eastAsia="宋体" w:cs="宋体"/>
          <w:b/>
          <w:bCs/>
          <w:snapToGrid w:val="0"/>
          <w:color w:val="000000"/>
          <w:spacing w:val="5"/>
          <w:kern w:val="0"/>
          <w:sz w:val="21"/>
          <w:szCs w:val="21"/>
          <w:lang w:val="en-US" w:eastAsia="en-US" w:bidi="ar-SA"/>
        </w:rPr>
        <w:t>八、不予理赔情形</w:t>
      </w:r>
    </w:p>
    <w:p w14:paraId="02B56B45">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1、特困人员违反诊疗常规，过度医疗、虚报病情、挂床住院的，不予赔付生活护理津贴。</w:t>
      </w:r>
    </w:p>
    <w:p w14:paraId="2C594441">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2、特困人员有生活自理能力无需专人护理，或虽丧失部分生活自理能力但无人护理的，不予赔付生活护理津贴。</w:t>
      </w:r>
    </w:p>
    <w:p w14:paraId="3B01D4C3">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3、特困人员因精神疾病住院治疗，不予赔付生活护理津贴。</w:t>
      </w:r>
    </w:p>
    <w:p w14:paraId="137D011E">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4、特困人员因一般身体检查、疗养、特别护理、静养、康复性治疗、单纯的物理治疗或心理治疗住院的，不予赔付生活护理津贴。</w:t>
      </w:r>
    </w:p>
    <w:p w14:paraId="0AF3220E">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5、特困人员因第三方责任住院治疗的，其生活护理津贴由责任方支付。</w:t>
      </w:r>
    </w:p>
    <w:p w14:paraId="4FDFEFAF">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6、特困人员住院必须在 48 小时之内报案，延迟报案或出院后报案，造成保险公司无法进行前期查勘核实的，对无法核实部分不予赔付。</w:t>
      </w:r>
    </w:p>
    <w:p w14:paraId="47709961">
      <w:pPr>
        <w:kinsoku w:val="0"/>
        <w:autoSpaceDE w:val="0"/>
        <w:autoSpaceDN w:val="0"/>
        <w:adjustRightInd w:val="0"/>
        <w:snapToGrid w:val="0"/>
        <w:spacing w:before="259" w:line="422" w:lineRule="auto"/>
        <w:ind w:right="51"/>
        <w:jc w:val="both"/>
        <w:textAlignment w:val="baseline"/>
        <w:rPr>
          <w:rFonts w:hint="eastAsia" w:ascii="宋体" w:hAnsi="宋体" w:eastAsia="宋体" w:cs="宋体"/>
          <w:b/>
          <w:bCs/>
          <w:snapToGrid w:val="0"/>
          <w:color w:val="000000"/>
          <w:spacing w:val="5"/>
          <w:kern w:val="0"/>
          <w:sz w:val="21"/>
          <w:szCs w:val="21"/>
          <w:lang w:val="en-US" w:eastAsia="en-US" w:bidi="ar-SA"/>
        </w:rPr>
      </w:pPr>
      <w:r>
        <w:rPr>
          <w:rFonts w:hint="eastAsia" w:ascii="宋体" w:hAnsi="宋体" w:eastAsia="宋体" w:cs="宋体"/>
          <w:b/>
          <w:bCs/>
          <w:snapToGrid w:val="0"/>
          <w:color w:val="000000"/>
          <w:spacing w:val="5"/>
          <w:kern w:val="0"/>
          <w:sz w:val="21"/>
          <w:szCs w:val="21"/>
          <w:lang w:val="en-US" w:eastAsia="en-US" w:bidi="ar-SA"/>
        </w:rPr>
        <w:t>九、其他要求及说明</w:t>
      </w:r>
    </w:p>
    <w:p w14:paraId="4B5761B4">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1．保险生效期及被保人</w:t>
      </w:r>
    </w:p>
    <w:p w14:paraId="1C01DDD2">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1.1 保险生效期：所有被保险人享受保险责任的起止时间应与采购人和中标人签订的服 务合同中的服务期限一致。</w:t>
      </w:r>
    </w:p>
    <w:p w14:paraId="1A9B5FA9">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zh-CN" w:bidi="ar-SA"/>
        </w:rPr>
      </w:pPr>
      <w:r>
        <w:rPr>
          <w:rFonts w:hint="eastAsia" w:ascii="宋体" w:hAnsi="宋体" w:eastAsia="宋体" w:cs="宋体"/>
          <w:snapToGrid w:val="0"/>
          <w:color w:val="000000"/>
          <w:spacing w:val="5"/>
          <w:kern w:val="0"/>
          <w:sz w:val="21"/>
          <w:szCs w:val="21"/>
          <w:lang w:val="en-US" w:eastAsia="en-US" w:bidi="ar-SA"/>
        </w:rPr>
        <w:t>1.2 被保人：凡户籍在衡阳县行政区域内在册的特困供养人员（名单由采购人提供</w:t>
      </w:r>
      <w:r>
        <w:rPr>
          <w:rFonts w:hint="eastAsia" w:ascii="宋体" w:hAnsi="宋体" w:eastAsia="宋体" w:cs="宋体"/>
          <w:snapToGrid w:val="0"/>
          <w:color w:val="000000"/>
          <w:spacing w:val="5"/>
          <w:kern w:val="0"/>
          <w:sz w:val="21"/>
          <w:szCs w:val="21"/>
          <w:lang w:val="en-US" w:eastAsia="zh-CN" w:bidi="ar-SA"/>
        </w:rPr>
        <w:t>）。</w:t>
      </w:r>
    </w:p>
    <w:p w14:paraId="3C4BDA99">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2.投保流程</w:t>
      </w:r>
    </w:p>
    <w:p w14:paraId="76CFB18A">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2.1 采购人与中标人签订具体协议。</w:t>
      </w:r>
    </w:p>
    <w:p w14:paraId="251DE8C1">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2.2 采购人提供当时的被保险人名单（纸质件盖章及电子文档）给中标人，由中标人出 具统一的保单、发票，采购人在收到保险公司保单、发票按合同约定的时间将应当支付的保 费支付给中标人。</w:t>
      </w:r>
    </w:p>
    <w:p w14:paraId="33D9FC7D">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3.承办服务单位的权利与义务</w:t>
      </w:r>
    </w:p>
    <w:p w14:paraId="5DEB7231">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3.1 按照保险合同约定及时足额收取保费，获取保险服务必要的被保险人资料。</w:t>
      </w:r>
    </w:p>
    <w:p w14:paraId="3FF22920">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3.2 遵循有关法律法规政策和保险合同约定，开展保险业务活动，不受第三方非法干预。</w:t>
      </w:r>
    </w:p>
    <w:p w14:paraId="366F554F">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3.3 设立 24 小时服务咨询电话，全天候接受报案咨询。</w:t>
      </w:r>
    </w:p>
    <w:p w14:paraId="408905C5">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3.4 严格保守在保险业务活动中获取的特困人员身份信息、个人隐私，不得将被保险人 信息用于任何商业用途，不得泄露给第三方。</w:t>
      </w:r>
    </w:p>
    <w:p w14:paraId="16D50A75">
      <w:pPr>
        <w:kinsoku w:val="0"/>
        <w:autoSpaceDE w:val="0"/>
        <w:autoSpaceDN w:val="0"/>
        <w:adjustRightInd w:val="0"/>
        <w:snapToGrid w:val="0"/>
        <w:spacing w:before="163" w:line="228" w:lineRule="auto"/>
        <w:ind w:left="443"/>
        <w:jc w:val="left"/>
        <w:textAlignment w:val="baseline"/>
        <w:rPr>
          <w:rFonts w:hint="eastAsia" w:ascii="宋体" w:hAnsi="宋体" w:eastAsia="宋体" w:cs="宋体"/>
          <w:snapToGrid w:val="0"/>
          <w:color w:val="000000"/>
          <w:kern w:val="0"/>
          <w:sz w:val="21"/>
          <w:szCs w:val="21"/>
          <w:lang w:val="en-US" w:eastAsia="en-US" w:bidi="ar-SA"/>
        </w:rPr>
      </w:pPr>
      <w:r>
        <w:rPr>
          <w:rFonts w:hint="eastAsia" w:ascii="宋体" w:hAnsi="宋体" w:eastAsia="宋体" w:cs="宋体"/>
          <w:b/>
          <w:bCs/>
          <w:snapToGrid w:val="0"/>
          <w:color w:val="000000"/>
          <w:spacing w:val="6"/>
          <w:kern w:val="0"/>
          <w:sz w:val="21"/>
          <w:szCs w:val="21"/>
          <w:lang w:val="en-US" w:eastAsia="en-US" w:bidi="ar-SA"/>
        </w:rPr>
        <w:t>十、理赔流程</w:t>
      </w:r>
    </w:p>
    <w:p w14:paraId="0872EDBE">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1、报案。须护理的分散供养特困人员入院后由本人或其监护人（护理员）在规定时间向保险公司报案。须护理的集中供养特困人员入院后由所入住的供养机构在规定时间内向保险公司报案。报案后，保险公司现场查勘并初审护理赔付标准。</w:t>
      </w:r>
    </w:p>
    <w:p w14:paraId="1E11A42E">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2、护理。须护理的分散供养特困人员在定点医院住院由乡镇（街道办事处）人民政府或村（居）委会指定监护人（护理员）提供生活护理服务。须护理的集中供养特困人员由供养机构指定护理人员提供生活护理服务。</w:t>
      </w:r>
    </w:p>
    <w:p w14:paraId="15A55F1E">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3、索赔。农村特困供养人员出险后由其监护人或供养机构整理索赔资料、提出理赔申请。保险公司对符合保险责任且材料齐全的赔案在 10 个工作日内完成理赔给付。</w:t>
      </w:r>
    </w:p>
    <w:p w14:paraId="5B00909F">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理赔申请须提供如下资料：</w:t>
      </w:r>
    </w:p>
    <w:p w14:paraId="00F228DF">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（1）保险理赔申请书；</w:t>
      </w:r>
    </w:p>
    <w:p w14:paraId="1D8431E0">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（2）出险人身份证明复印件、护理人身份证复印件、银行卡复印件或存折复印件（委托代理需提供受托人身份证明原件和授权委托书），供养机构护理的提供单位组织机构代码证复印件和单位银行账号；</w:t>
      </w:r>
    </w:p>
    <w:p w14:paraId="67190F85">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（3）发票、定点医院诊断证明和出院小结；</w:t>
      </w:r>
    </w:p>
    <w:p w14:paraId="0915D58D">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（4）护理状态证明书。</w:t>
      </w:r>
    </w:p>
    <w:p w14:paraId="67CFAF23">
      <w:pPr>
        <w:kinsoku w:val="0"/>
        <w:autoSpaceDE w:val="0"/>
        <w:autoSpaceDN w:val="0"/>
        <w:adjustRightInd w:val="0"/>
        <w:snapToGrid w:val="0"/>
        <w:spacing w:before="161" w:line="228" w:lineRule="auto"/>
        <w:ind w:left="443"/>
        <w:jc w:val="left"/>
        <w:textAlignment w:val="baseline"/>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b/>
          <w:bCs/>
          <w:snapToGrid w:val="0"/>
          <w:color w:val="000000"/>
          <w:spacing w:val="6"/>
          <w:kern w:val="0"/>
          <w:sz w:val="21"/>
          <w:szCs w:val="21"/>
          <w:lang w:val="en-US" w:eastAsia="en-US" w:bidi="ar-SA"/>
        </w:rPr>
        <w:t>十一、</w:t>
      </w:r>
      <w:r>
        <w:rPr>
          <w:rFonts w:hint="eastAsia" w:ascii="宋体" w:hAnsi="宋体" w:eastAsia="宋体" w:cs="宋体"/>
          <w:b/>
          <w:bCs/>
          <w:snapToGrid w:val="0"/>
          <w:color w:val="000000"/>
          <w:spacing w:val="6"/>
          <w:kern w:val="0"/>
          <w:sz w:val="21"/>
          <w:szCs w:val="21"/>
          <w:lang w:val="en-US" w:eastAsia="zh-CN" w:bidi="ar-SA"/>
        </w:rPr>
        <w:t>其他要求</w:t>
      </w:r>
    </w:p>
    <w:p w14:paraId="67C51D4A">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zh-CN" w:bidi="ar-SA"/>
        </w:rPr>
        <w:t>1、</w:t>
      </w:r>
      <w:r>
        <w:rPr>
          <w:rFonts w:hint="eastAsia" w:ascii="宋体" w:hAnsi="宋体" w:eastAsia="宋体" w:cs="宋体"/>
          <w:snapToGrid w:val="0"/>
          <w:color w:val="000000"/>
          <w:spacing w:val="5"/>
          <w:kern w:val="0"/>
          <w:sz w:val="21"/>
          <w:szCs w:val="21"/>
          <w:lang w:val="en-US" w:eastAsia="en-US" w:bidi="ar-SA"/>
        </w:rPr>
        <w:t>本项目采用费用包干方式建设，投标人应根据项目要求，详细列明项目所需的人工、管理、财务等所有费用，如一旦中标，在项目实施中出现任何遗漏，均由中标人免费提供，采购人不再支付任何费用。</w:t>
      </w:r>
    </w:p>
    <w:p w14:paraId="0288C9A0">
      <w:pPr>
        <w:kinsoku w:val="0"/>
        <w:autoSpaceDE w:val="0"/>
        <w:autoSpaceDN w:val="0"/>
        <w:adjustRightInd w:val="0"/>
        <w:snapToGrid w:val="0"/>
        <w:spacing w:before="259" w:line="422" w:lineRule="auto"/>
        <w:ind w:left="21" w:right="51" w:firstLine="420"/>
        <w:jc w:val="both"/>
        <w:textAlignment w:val="baseline"/>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zh-CN" w:bidi="ar-SA"/>
        </w:rPr>
        <w:t>2、</w:t>
      </w:r>
      <w:r>
        <w:rPr>
          <w:rFonts w:hint="eastAsia" w:ascii="宋体" w:hAnsi="宋体" w:eastAsia="宋体" w:cs="宋体"/>
          <w:snapToGrid w:val="0"/>
          <w:color w:val="000000"/>
          <w:spacing w:val="5"/>
          <w:kern w:val="0"/>
          <w:sz w:val="21"/>
          <w:szCs w:val="21"/>
          <w:lang w:val="en-US" w:eastAsia="en-US" w:bidi="ar-SA"/>
        </w:rPr>
        <w:t>对于上述项目要求，投标人应在投标文件中进行回应，作出承诺及说明。</w:t>
      </w:r>
    </w:p>
    <w:p w14:paraId="646606AE">
      <w:pPr>
        <w:kinsoku w:val="0"/>
        <w:autoSpaceDE w:val="0"/>
        <w:autoSpaceDN w:val="0"/>
        <w:adjustRightInd w:val="0"/>
        <w:snapToGrid w:val="0"/>
        <w:spacing w:before="161" w:line="367" w:lineRule="auto"/>
        <w:ind w:left="20" w:right="57" w:firstLine="1"/>
        <w:jc w:val="left"/>
        <w:textAlignment w:val="baseline"/>
        <w:rPr>
          <w:rFonts w:hint="eastAsia" w:ascii="宋体" w:hAnsi="宋体" w:eastAsia="宋体" w:cs="宋体"/>
          <w:b/>
          <w:bCs/>
          <w:snapToGrid w:val="0"/>
          <w:color w:val="000000"/>
          <w:spacing w:val="2"/>
          <w:kern w:val="0"/>
          <w:sz w:val="21"/>
          <w:szCs w:val="21"/>
          <w:lang w:val="en-US" w:eastAsia="en-US" w:bidi="ar-SA"/>
        </w:rPr>
      </w:pPr>
    </w:p>
    <w:p w14:paraId="7947AF7C">
      <w:pPr>
        <w:pStyle w:val="2"/>
        <w:spacing w:before="91" w:line="220" w:lineRule="auto"/>
        <w:ind w:left="3123"/>
        <w:rPr>
          <w:b/>
          <w:bCs/>
          <w:spacing w:val="-7"/>
          <w:sz w:val="28"/>
          <w:szCs w:val="28"/>
        </w:rPr>
      </w:pPr>
    </w:p>
    <w:p w14:paraId="20DE63A4">
      <w:pPr>
        <w:pStyle w:val="2"/>
        <w:spacing w:before="91" w:line="220" w:lineRule="auto"/>
        <w:ind w:left="3123"/>
        <w:rPr>
          <w:b/>
          <w:bCs/>
          <w:spacing w:val="-7"/>
          <w:sz w:val="28"/>
          <w:szCs w:val="28"/>
        </w:rPr>
      </w:pPr>
    </w:p>
    <w:p w14:paraId="51CB96DB">
      <w:pPr>
        <w:pStyle w:val="2"/>
        <w:spacing w:before="91" w:line="220" w:lineRule="auto"/>
        <w:ind w:left="3123"/>
        <w:rPr>
          <w:b/>
          <w:bCs/>
          <w:spacing w:val="-7"/>
          <w:sz w:val="28"/>
          <w:szCs w:val="28"/>
        </w:rPr>
      </w:pPr>
    </w:p>
    <w:p w14:paraId="01AD2993">
      <w:pPr>
        <w:pStyle w:val="2"/>
        <w:spacing w:before="91" w:line="220" w:lineRule="auto"/>
        <w:ind w:left="3123"/>
        <w:rPr>
          <w:b/>
          <w:bCs/>
          <w:spacing w:val="-7"/>
          <w:sz w:val="28"/>
          <w:szCs w:val="28"/>
        </w:rPr>
      </w:pPr>
    </w:p>
    <w:p w14:paraId="7B07CF07">
      <w:pPr>
        <w:pStyle w:val="2"/>
        <w:spacing w:before="91" w:line="220" w:lineRule="auto"/>
        <w:ind w:left="3123"/>
        <w:rPr>
          <w:b/>
          <w:bCs/>
          <w:spacing w:val="-7"/>
          <w:sz w:val="28"/>
          <w:szCs w:val="28"/>
        </w:rPr>
      </w:pPr>
    </w:p>
    <w:p w14:paraId="6B82FB73">
      <w:pPr>
        <w:pStyle w:val="2"/>
        <w:spacing w:before="91" w:line="220" w:lineRule="auto"/>
        <w:ind w:left="3123"/>
        <w:rPr>
          <w:b/>
          <w:bCs/>
          <w:spacing w:val="-7"/>
          <w:sz w:val="28"/>
          <w:szCs w:val="28"/>
        </w:rPr>
      </w:pPr>
    </w:p>
    <w:p w14:paraId="32E329D9">
      <w:pPr>
        <w:pStyle w:val="2"/>
        <w:spacing w:before="91" w:line="220" w:lineRule="auto"/>
        <w:ind w:left="3123"/>
        <w:rPr>
          <w:b/>
          <w:bCs/>
          <w:spacing w:val="-7"/>
          <w:sz w:val="28"/>
          <w:szCs w:val="28"/>
        </w:rPr>
      </w:pPr>
    </w:p>
    <w:p w14:paraId="0FA96BDD">
      <w:pPr>
        <w:pStyle w:val="2"/>
        <w:spacing w:before="91" w:line="220" w:lineRule="auto"/>
        <w:ind w:left="3123"/>
        <w:rPr>
          <w:b/>
          <w:bCs/>
          <w:spacing w:val="-7"/>
          <w:sz w:val="28"/>
          <w:szCs w:val="28"/>
        </w:rPr>
      </w:pPr>
    </w:p>
    <w:p w14:paraId="08E16E44">
      <w:pPr>
        <w:pStyle w:val="2"/>
        <w:spacing w:before="91" w:line="220" w:lineRule="auto"/>
        <w:ind w:left="3123"/>
        <w:rPr>
          <w:b/>
          <w:bCs/>
          <w:spacing w:val="-7"/>
          <w:sz w:val="28"/>
          <w:szCs w:val="28"/>
        </w:rPr>
      </w:pPr>
    </w:p>
    <w:p w14:paraId="5A91499C">
      <w:pPr>
        <w:pStyle w:val="2"/>
        <w:spacing w:before="91" w:line="220" w:lineRule="auto"/>
        <w:ind w:left="3123"/>
        <w:rPr>
          <w:b/>
          <w:bCs/>
          <w:spacing w:val="-7"/>
          <w:sz w:val="28"/>
          <w:szCs w:val="28"/>
        </w:rPr>
      </w:pPr>
    </w:p>
    <w:p w14:paraId="346B67F8">
      <w:pPr>
        <w:pStyle w:val="2"/>
        <w:spacing w:before="91" w:line="220" w:lineRule="auto"/>
        <w:ind w:left="3123"/>
        <w:rPr>
          <w:b/>
          <w:bCs/>
          <w:spacing w:val="-7"/>
          <w:sz w:val="28"/>
          <w:szCs w:val="28"/>
        </w:rPr>
      </w:pPr>
    </w:p>
    <w:p w14:paraId="39A9CECE">
      <w:pPr>
        <w:pStyle w:val="2"/>
        <w:spacing w:before="91" w:line="220" w:lineRule="auto"/>
        <w:ind w:left="3123"/>
        <w:rPr>
          <w:b/>
          <w:bCs/>
          <w:spacing w:val="-7"/>
          <w:sz w:val="28"/>
          <w:szCs w:val="28"/>
        </w:rPr>
      </w:pPr>
    </w:p>
    <w:p w14:paraId="6B82F3F0">
      <w:pPr>
        <w:pStyle w:val="2"/>
        <w:spacing w:before="91" w:line="220" w:lineRule="auto"/>
        <w:ind w:left="3123"/>
        <w:rPr>
          <w:b/>
          <w:bCs/>
          <w:spacing w:val="-7"/>
          <w:sz w:val="28"/>
          <w:szCs w:val="28"/>
        </w:rPr>
      </w:pPr>
    </w:p>
    <w:p w14:paraId="12FA1491">
      <w:pPr>
        <w:pStyle w:val="2"/>
        <w:spacing w:before="91" w:line="220" w:lineRule="auto"/>
        <w:ind w:left="3123"/>
        <w:rPr>
          <w:b/>
          <w:bCs/>
          <w:spacing w:val="-7"/>
          <w:sz w:val="28"/>
          <w:szCs w:val="28"/>
        </w:rPr>
      </w:pPr>
    </w:p>
    <w:p w14:paraId="27891F3B">
      <w:pPr>
        <w:pStyle w:val="2"/>
        <w:spacing w:before="91" w:line="220" w:lineRule="auto"/>
        <w:ind w:left="3123"/>
        <w:rPr>
          <w:b/>
          <w:bCs/>
          <w:spacing w:val="-7"/>
          <w:sz w:val="28"/>
          <w:szCs w:val="28"/>
        </w:rPr>
      </w:pPr>
    </w:p>
    <w:p w14:paraId="4F55B495">
      <w:pPr>
        <w:pStyle w:val="2"/>
        <w:spacing w:before="91" w:line="220" w:lineRule="auto"/>
        <w:ind w:left="3123"/>
        <w:rPr>
          <w:b/>
          <w:bCs/>
          <w:spacing w:val="-7"/>
          <w:sz w:val="28"/>
          <w:szCs w:val="28"/>
        </w:rPr>
      </w:pPr>
    </w:p>
    <w:p w14:paraId="554885C6">
      <w:pPr>
        <w:pStyle w:val="2"/>
        <w:spacing w:before="91" w:line="220" w:lineRule="auto"/>
        <w:ind w:left="3123"/>
        <w:rPr>
          <w:b/>
          <w:bCs/>
          <w:spacing w:val="-7"/>
          <w:sz w:val="28"/>
          <w:szCs w:val="28"/>
        </w:rPr>
      </w:pPr>
    </w:p>
    <w:p w14:paraId="4C6A09DA">
      <w:pPr>
        <w:pStyle w:val="2"/>
        <w:spacing w:before="91" w:line="220" w:lineRule="auto"/>
        <w:ind w:left="3123"/>
        <w:rPr>
          <w:b/>
          <w:bCs/>
          <w:spacing w:val="-7"/>
          <w:sz w:val="28"/>
          <w:szCs w:val="28"/>
        </w:rPr>
      </w:pPr>
    </w:p>
    <w:p w14:paraId="45160B24">
      <w:pPr>
        <w:pStyle w:val="2"/>
        <w:spacing w:before="91" w:line="220" w:lineRule="auto"/>
        <w:ind w:left="3123"/>
        <w:rPr>
          <w:b/>
          <w:bCs/>
          <w:spacing w:val="-7"/>
          <w:sz w:val="28"/>
          <w:szCs w:val="28"/>
        </w:rPr>
      </w:pPr>
    </w:p>
    <w:p w14:paraId="7975C910">
      <w:pPr>
        <w:pStyle w:val="2"/>
        <w:spacing w:before="91" w:line="220" w:lineRule="auto"/>
        <w:ind w:left="3123"/>
        <w:rPr>
          <w:b/>
          <w:bCs/>
          <w:spacing w:val="-7"/>
          <w:sz w:val="28"/>
          <w:szCs w:val="28"/>
        </w:rPr>
      </w:pPr>
    </w:p>
    <w:p w14:paraId="38916D21">
      <w:pPr>
        <w:pStyle w:val="2"/>
        <w:spacing w:before="91" w:line="220" w:lineRule="auto"/>
        <w:ind w:left="3123"/>
        <w:rPr>
          <w:b/>
          <w:bCs/>
          <w:spacing w:val="-7"/>
          <w:sz w:val="28"/>
          <w:szCs w:val="28"/>
        </w:rPr>
      </w:pPr>
    </w:p>
    <w:p w14:paraId="3471704D">
      <w:pPr>
        <w:pStyle w:val="2"/>
        <w:spacing w:before="91" w:line="220" w:lineRule="auto"/>
        <w:ind w:left="3123"/>
        <w:rPr>
          <w:b/>
          <w:bCs/>
          <w:spacing w:val="-7"/>
          <w:sz w:val="28"/>
          <w:szCs w:val="28"/>
        </w:rPr>
      </w:pPr>
    </w:p>
    <w:p w14:paraId="43BEE80D">
      <w:pPr>
        <w:pStyle w:val="2"/>
        <w:spacing w:before="91" w:line="220" w:lineRule="auto"/>
        <w:ind w:left="3123"/>
        <w:rPr>
          <w:b/>
          <w:bCs/>
          <w:spacing w:val="-7"/>
          <w:sz w:val="28"/>
          <w:szCs w:val="28"/>
        </w:rPr>
      </w:pPr>
    </w:p>
    <w:p w14:paraId="3642F313">
      <w:pPr>
        <w:pStyle w:val="2"/>
        <w:spacing w:before="91" w:line="220" w:lineRule="auto"/>
        <w:ind w:left="3123"/>
        <w:rPr>
          <w:b/>
          <w:bCs/>
          <w:spacing w:val="-7"/>
          <w:sz w:val="28"/>
          <w:szCs w:val="28"/>
        </w:rPr>
      </w:pPr>
    </w:p>
    <w:p w14:paraId="63DA2004">
      <w:pPr>
        <w:pStyle w:val="2"/>
        <w:spacing w:before="91" w:line="220" w:lineRule="auto"/>
        <w:ind w:left="3123"/>
        <w:rPr>
          <w:b/>
          <w:bCs/>
          <w:spacing w:val="-7"/>
          <w:sz w:val="28"/>
          <w:szCs w:val="28"/>
        </w:rPr>
      </w:pPr>
    </w:p>
    <w:p w14:paraId="1EA70E0B">
      <w:pPr>
        <w:pStyle w:val="2"/>
        <w:spacing w:before="91" w:line="220" w:lineRule="auto"/>
        <w:ind w:left="3123"/>
        <w:rPr>
          <w:sz w:val="28"/>
          <w:szCs w:val="28"/>
        </w:rPr>
      </w:pPr>
      <w:r>
        <w:rPr>
          <w:b/>
          <w:bCs/>
          <w:spacing w:val="-7"/>
          <w:sz w:val="28"/>
          <w:szCs w:val="28"/>
        </w:rPr>
        <w:t>第二节</w:t>
      </w:r>
      <w:r>
        <w:rPr>
          <w:spacing w:val="23"/>
          <w:sz w:val="28"/>
          <w:szCs w:val="28"/>
        </w:rPr>
        <w:t xml:space="preserve"> </w:t>
      </w:r>
      <w:r>
        <w:rPr>
          <w:b/>
          <w:bCs/>
          <w:spacing w:val="-7"/>
          <w:sz w:val="28"/>
          <w:szCs w:val="28"/>
        </w:rPr>
        <w:t>商务要求</w:t>
      </w:r>
    </w:p>
    <w:p w14:paraId="6718478B">
      <w:pPr>
        <w:pStyle w:val="2"/>
        <w:spacing w:before="246" w:line="228" w:lineRule="auto"/>
        <w:ind w:left="565"/>
        <w:rPr>
          <w:b/>
          <w:bCs/>
          <w:spacing w:val="-7"/>
          <w:sz w:val="21"/>
          <w:szCs w:val="21"/>
        </w:rPr>
      </w:pPr>
    </w:p>
    <w:p w14:paraId="41FBC050">
      <w:pPr>
        <w:pStyle w:val="2"/>
        <w:spacing w:before="246" w:line="228" w:lineRule="auto"/>
        <w:ind w:left="565"/>
        <w:rPr>
          <w:sz w:val="21"/>
          <w:szCs w:val="21"/>
        </w:rPr>
      </w:pPr>
      <w:bookmarkStart w:id="1" w:name="_GoBack"/>
      <w:bookmarkEnd w:id="1"/>
      <w:r>
        <w:rPr>
          <w:b/>
          <w:bCs/>
          <w:spacing w:val="-7"/>
          <w:sz w:val="21"/>
          <w:szCs w:val="21"/>
        </w:rPr>
        <w:t>一</w:t>
      </w:r>
      <w:r>
        <w:rPr>
          <w:spacing w:val="-7"/>
          <w:sz w:val="21"/>
          <w:szCs w:val="21"/>
        </w:rPr>
        <w:t xml:space="preserve"> </w:t>
      </w:r>
      <w:r>
        <w:rPr>
          <w:b/>
          <w:bCs/>
          <w:spacing w:val="-7"/>
          <w:sz w:val="21"/>
          <w:szCs w:val="21"/>
        </w:rPr>
        <w:t>、</w:t>
      </w:r>
      <w:r>
        <w:rPr>
          <w:spacing w:val="-20"/>
          <w:sz w:val="21"/>
          <w:szCs w:val="21"/>
        </w:rPr>
        <w:t xml:space="preserve"> </w:t>
      </w:r>
      <w:r>
        <w:rPr>
          <w:b/>
          <w:bCs/>
          <w:spacing w:val="-7"/>
          <w:sz w:val="21"/>
          <w:szCs w:val="21"/>
        </w:rPr>
        <w:t>主</w:t>
      </w:r>
      <w:r>
        <w:rPr>
          <w:spacing w:val="-28"/>
          <w:sz w:val="21"/>
          <w:szCs w:val="21"/>
        </w:rPr>
        <w:t xml:space="preserve"> </w:t>
      </w:r>
      <w:r>
        <w:rPr>
          <w:b/>
          <w:bCs/>
          <w:spacing w:val="-7"/>
          <w:sz w:val="21"/>
          <w:szCs w:val="21"/>
        </w:rPr>
        <w:t>要</w:t>
      </w:r>
      <w:r>
        <w:rPr>
          <w:spacing w:val="-28"/>
          <w:sz w:val="21"/>
          <w:szCs w:val="21"/>
        </w:rPr>
        <w:t xml:space="preserve"> </w:t>
      </w:r>
      <w:r>
        <w:rPr>
          <w:b/>
          <w:bCs/>
          <w:spacing w:val="-7"/>
          <w:sz w:val="21"/>
          <w:szCs w:val="21"/>
        </w:rPr>
        <w:t>商</w:t>
      </w:r>
      <w:r>
        <w:rPr>
          <w:spacing w:val="-28"/>
          <w:sz w:val="21"/>
          <w:szCs w:val="21"/>
        </w:rPr>
        <w:t xml:space="preserve"> </w:t>
      </w:r>
      <w:r>
        <w:rPr>
          <w:b/>
          <w:bCs/>
          <w:spacing w:val="-7"/>
          <w:sz w:val="21"/>
          <w:szCs w:val="21"/>
        </w:rPr>
        <w:t>务</w:t>
      </w:r>
      <w:r>
        <w:rPr>
          <w:spacing w:val="-29"/>
          <w:sz w:val="21"/>
          <w:szCs w:val="21"/>
        </w:rPr>
        <w:t xml:space="preserve"> </w:t>
      </w:r>
      <w:r>
        <w:rPr>
          <w:b/>
          <w:bCs/>
          <w:spacing w:val="-7"/>
          <w:sz w:val="21"/>
          <w:szCs w:val="21"/>
        </w:rPr>
        <w:t>要</w:t>
      </w:r>
      <w:r>
        <w:rPr>
          <w:spacing w:val="-28"/>
          <w:sz w:val="21"/>
          <w:szCs w:val="21"/>
        </w:rPr>
        <w:t xml:space="preserve"> </w:t>
      </w:r>
      <w:r>
        <w:rPr>
          <w:b/>
          <w:bCs/>
          <w:spacing w:val="-7"/>
          <w:sz w:val="21"/>
          <w:szCs w:val="21"/>
        </w:rPr>
        <w:t>求</w:t>
      </w:r>
    </w:p>
    <w:p w14:paraId="6DF90250">
      <w:pPr>
        <w:spacing w:before="7"/>
        <w:rPr>
          <w:sz w:val="21"/>
          <w:szCs w:val="21"/>
        </w:rPr>
      </w:pPr>
    </w:p>
    <w:tbl>
      <w:tblPr>
        <w:tblStyle w:val="6"/>
        <w:tblW w:w="8506"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1"/>
        <w:gridCol w:w="4635"/>
      </w:tblGrid>
      <w:tr w14:paraId="28D152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6" w:hRule="atLeast"/>
        </w:trPr>
        <w:tc>
          <w:tcPr>
            <w:tcW w:w="3871" w:type="dxa"/>
            <w:vAlign w:val="top"/>
          </w:tcPr>
          <w:p w14:paraId="586A55B9">
            <w:pPr>
              <w:spacing w:line="278" w:lineRule="auto"/>
              <w:rPr>
                <w:rFonts w:ascii="Arial"/>
                <w:sz w:val="21"/>
                <w:szCs w:val="21"/>
              </w:rPr>
            </w:pPr>
          </w:p>
          <w:p w14:paraId="6844F742">
            <w:pPr>
              <w:pStyle w:val="7"/>
              <w:spacing w:before="65" w:line="228" w:lineRule="auto"/>
              <w:ind w:left="190"/>
              <w:rPr>
                <w:sz w:val="21"/>
                <w:szCs w:val="21"/>
              </w:rPr>
            </w:pPr>
            <w:r>
              <w:rPr>
                <w:spacing w:val="-8"/>
                <w:sz w:val="21"/>
                <w:szCs w:val="21"/>
              </w:rPr>
              <w:t>履</w:t>
            </w:r>
            <w:r>
              <w:rPr>
                <w:spacing w:val="-27"/>
                <w:sz w:val="21"/>
                <w:szCs w:val="21"/>
              </w:rPr>
              <w:t xml:space="preserve"> </w:t>
            </w:r>
            <w:r>
              <w:rPr>
                <w:spacing w:val="-8"/>
                <w:sz w:val="21"/>
                <w:szCs w:val="21"/>
              </w:rPr>
              <w:t>行</w:t>
            </w:r>
            <w:r>
              <w:rPr>
                <w:spacing w:val="-28"/>
                <w:sz w:val="21"/>
                <w:szCs w:val="21"/>
              </w:rPr>
              <w:t xml:space="preserve"> </w:t>
            </w:r>
            <w:r>
              <w:rPr>
                <w:spacing w:val="-8"/>
                <w:sz w:val="21"/>
                <w:szCs w:val="21"/>
              </w:rPr>
              <w:t>合 同 的</w:t>
            </w:r>
            <w:r>
              <w:rPr>
                <w:spacing w:val="-23"/>
                <w:sz w:val="21"/>
                <w:szCs w:val="21"/>
              </w:rPr>
              <w:t xml:space="preserve"> </w:t>
            </w:r>
            <w:r>
              <w:rPr>
                <w:spacing w:val="-8"/>
                <w:sz w:val="21"/>
                <w:szCs w:val="21"/>
              </w:rPr>
              <w:t>时</w:t>
            </w:r>
            <w:r>
              <w:rPr>
                <w:spacing w:val="-13"/>
                <w:sz w:val="21"/>
                <w:szCs w:val="21"/>
              </w:rPr>
              <w:t xml:space="preserve"> </w:t>
            </w:r>
            <w:r>
              <w:rPr>
                <w:spacing w:val="-8"/>
                <w:sz w:val="21"/>
                <w:szCs w:val="21"/>
              </w:rPr>
              <w:t>间</w:t>
            </w:r>
            <w:r>
              <w:rPr>
                <w:spacing w:val="-17"/>
                <w:sz w:val="21"/>
                <w:szCs w:val="21"/>
              </w:rPr>
              <w:t xml:space="preserve"> </w:t>
            </w:r>
            <w:r>
              <w:rPr>
                <w:spacing w:val="-8"/>
                <w:sz w:val="21"/>
                <w:szCs w:val="21"/>
              </w:rPr>
              <w:t>、</w:t>
            </w:r>
            <w:r>
              <w:rPr>
                <w:spacing w:val="-24"/>
                <w:sz w:val="21"/>
                <w:szCs w:val="21"/>
              </w:rPr>
              <w:t xml:space="preserve"> </w:t>
            </w:r>
            <w:r>
              <w:rPr>
                <w:spacing w:val="-8"/>
                <w:sz w:val="21"/>
                <w:szCs w:val="21"/>
              </w:rPr>
              <w:t>地</w:t>
            </w:r>
            <w:r>
              <w:rPr>
                <w:spacing w:val="-22"/>
                <w:sz w:val="21"/>
                <w:szCs w:val="21"/>
              </w:rPr>
              <w:t xml:space="preserve"> </w:t>
            </w:r>
            <w:r>
              <w:rPr>
                <w:spacing w:val="-8"/>
                <w:sz w:val="21"/>
                <w:szCs w:val="21"/>
              </w:rPr>
              <w:t>点</w:t>
            </w:r>
            <w:r>
              <w:rPr>
                <w:spacing w:val="-30"/>
                <w:sz w:val="21"/>
                <w:szCs w:val="21"/>
              </w:rPr>
              <w:t xml:space="preserve"> </w:t>
            </w:r>
            <w:r>
              <w:rPr>
                <w:spacing w:val="-8"/>
                <w:sz w:val="21"/>
                <w:szCs w:val="21"/>
              </w:rPr>
              <w:t>及</w:t>
            </w:r>
            <w:r>
              <w:rPr>
                <w:spacing w:val="-31"/>
                <w:sz w:val="21"/>
                <w:szCs w:val="21"/>
              </w:rPr>
              <w:t xml:space="preserve"> </w:t>
            </w:r>
            <w:r>
              <w:rPr>
                <w:spacing w:val="-8"/>
                <w:sz w:val="21"/>
                <w:szCs w:val="21"/>
              </w:rPr>
              <w:t>方</w:t>
            </w:r>
            <w:r>
              <w:rPr>
                <w:spacing w:val="-26"/>
                <w:sz w:val="21"/>
                <w:szCs w:val="21"/>
              </w:rPr>
              <w:t xml:space="preserve"> </w:t>
            </w:r>
            <w:r>
              <w:rPr>
                <w:spacing w:val="-8"/>
                <w:sz w:val="21"/>
                <w:szCs w:val="21"/>
              </w:rPr>
              <w:t>式</w:t>
            </w:r>
          </w:p>
        </w:tc>
        <w:tc>
          <w:tcPr>
            <w:tcW w:w="4635" w:type="dxa"/>
            <w:vAlign w:val="top"/>
          </w:tcPr>
          <w:p w14:paraId="0DFE71B1">
            <w:pPr>
              <w:spacing w:line="277" w:lineRule="auto"/>
              <w:rPr>
                <w:rFonts w:ascii="Arial"/>
                <w:sz w:val="21"/>
                <w:szCs w:val="21"/>
              </w:rPr>
            </w:pPr>
          </w:p>
          <w:p w14:paraId="3F44DDCF">
            <w:pPr>
              <w:pStyle w:val="7"/>
              <w:spacing w:before="65" w:line="227" w:lineRule="auto"/>
              <w:ind w:left="112"/>
              <w:rPr>
                <w:sz w:val="21"/>
                <w:szCs w:val="21"/>
              </w:rPr>
            </w:pPr>
            <w:r>
              <w:rPr>
                <w:spacing w:val="7"/>
                <w:sz w:val="21"/>
                <w:szCs w:val="21"/>
              </w:rPr>
              <w:t>采购人指定时间、地点及方式</w:t>
            </w:r>
          </w:p>
        </w:tc>
      </w:tr>
      <w:tr w14:paraId="7F4463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3871" w:type="dxa"/>
            <w:vAlign w:val="top"/>
          </w:tcPr>
          <w:p w14:paraId="22AB3CFD">
            <w:pPr>
              <w:spacing w:line="304" w:lineRule="auto"/>
              <w:rPr>
                <w:rFonts w:ascii="Arial"/>
                <w:sz w:val="21"/>
                <w:szCs w:val="21"/>
              </w:rPr>
            </w:pPr>
          </w:p>
          <w:p w14:paraId="68392ECB">
            <w:pPr>
              <w:pStyle w:val="7"/>
              <w:spacing w:before="65" w:line="228" w:lineRule="auto"/>
              <w:ind w:left="1401"/>
              <w:rPr>
                <w:sz w:val="21"/>
                <w:szCs w:val="21"/>
              </w:rPr>
            </w:pPr>
            <w:r>
              <w:rPr>
                <w:spacing w:val="-1"/>
                <w:sz w:val="21"/>
                <w:szCs w:val="21"/>
              </w:rPr>
              <w:t>服</w:t>
            </w:r>
            <w:r>
              <w:rPr>
                <w:spacing w:val="-30"/>
                <w:sz w:val="21"/>
                <w:szCs w:val="21"/>
              </w:rPr>
              <w:t xml:space="preserve"> </w:t>
            </w:r>
            <w:r>
              <w:rPr>
                <w:spacing w:val="-1"/>
                <w:sz w:val="21"/>
                <w:szCs w:val="21"/>
              </w:rPr>
              <w:t>务</w:t>
            </w:r>
            <w:r>
              <w:rPr>
                <w:spacing w:val="-27"/>
                <w:sz w:val="21"/>
                <w:szCs w:val="21"/>
              </w:rPr>
              <w:t xml:space="preserve"> </w:t>
            </w:r>
            <w:r>
              <w:rPr>
                <w:spacing w:val="-1"/>
                <w:sz w:val="21"/>
                <w:szCs w:val="21"/>
              </w:rPr>
              <w:t>期</w:t>
            </w:r>
            <w:r>
              <w:rPr>
                <w:spacing w:val="-17"/>
                <w:sz w:val="21"/>
                <w:szCs w:val="21"/>
              </w:rPr>
              <w:t xml:space="preserve"> </w:t>
            </w:r>
            <w:r>
              <w:rPr>
                <w:spacing w:val="-1"/>
                <w:sz w:val="21"/>
                <w:szCs w:val="21"/>
              </w:rPr>
              <w:t>限</w:t>
            </w:r>
          </w:p>
        </w:tc>
        <w:tc>
          <w:tcPr>
            <w:tcW w:w="4635" w:type="dxa"/>
            <w:vAlign w:val="top"/>
          </w:tcPr>
          <w:p w14:paraId="6B5C1915">
            <w:pPr>
              <w:spacing w:line="305" w:lineRule="auto"/>
              <w:rPr>
                <w:rFonts w:ascii="Arial"/>
                <w:sz w:val="21"/>
                <w:szCs w:val="21"/>
              </w:rPr>
            </w:pPr>
          </w:p>
          <w:p w14:paraId="794514F2">
            <w:pPr>
              <w:pStyle w:val="7"/>
              <w:spacing w:before="65" w:line="228" w:lineRule="auto"/>
              <w:ind w:left="128"/>
              <w:rPr>
                <w:rFonts w:hint="eastAsia" w:eastAsia="宋体"/>
                <w:sz w:val="21"/>
                <w:szCs w:val="21"/>
                <w:lang w:eastAsia="zh-CN"/>
              </w:rPr>
            </w:pPr>
            <w:r>
              <w:rPr>
                <w:rFonts w:hint="eastAsia"/>
                <w:spacing w:val="-4"/>
                <w:sz w:val="21"/>
                <w:szCs w:val="21"/>
                <w:lang w:val="en-US" w:eastAsia="zh-CN"/>
              </w:rPr>
              <w:t>1年</w:t>
            </w:r>
          </w:p>
        </w:tc>
      </w:tr>
      <w:tr w14:paraId="5A41E3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871" w:type="dxa"/>
            <w:vAlign w:val="top"/>
          </w:tcPr>
          <w:p w14:paraId="2BDC594B">
            <w:pPr>
              <w:spacing w:line="274" w:lineRule="auto"/>
              <w:rPr>
                <w:rFonts w:ascii="Arial"/>
                <w:sz w:val="21"/>
                <w:szCs w:val="21"/>
              </w:rPr>
            </w:pPr>
          </w:p>
          <w:p w14:paraId="6B7B3D7F">
            <w:pPr>
              <w:pStyle w:val="7"/>
              <w:spacing w:before="65" w:line="230" w:lineRule="auto"/>
              <w:ind w:left="1412"/>
              <w:rPr>
                <w:sz w:val="21"/>
                <w:szCs w:val="21"/>
              </w:rPr>
            </w:pPr>
            <w:r>
              <w:rPr>
                <w:spacing w:val="-5"/>
                <w:sz w:val="21"/>
                <w:szCs w:val="21"/>
              </w:rPr>
              <w:t>响</w:t>
            </w:r>
            <w:r>
              <w:rPr>
                <w:spacing w:val="-31"/>
                <w:sz w:val="21"/>
                <w:szCs w:val="21"/>
              </w:rPr>
              <w:t xml:space="preserve"> </w:t>
            </w:r>
            <w:r>
              <w:rPr>
                <w:spacing w:val="-5"/>
                <w:sz w:val="21"/>
                <w:szCs w:val="21"/>
              </w:rPr>
              <w:t>应</w:t>
            </w:r>
            <w:r>
              <w:rPr>
                <w:spacing w:val="-20"/>
                <w:sz w:val="21"/>
                <w:szCs w:val="21"/>
              </w:rPr>
              <w:t xml:space="preserve"> </w:t>
            </w:r>
            <w:r>
              <w:rPr>
                <w:spacing w:val="-5"/>
                <w:sz w:val="21"/>
                <w:szCs w:val="21"/>
              </w:rPr>
              <w:t>时</w:t>
            </w:r>
            <w:r>
              <w:rPr>
                <w:spacing w:val="-16"/>
                <w:sz w:val="21"/>
                <w:szCs w:val="21"/>
              </w:rPr>
              <w:t xml:space="preserve"> </w:t>
            </w:r>
            <w:r>
              <w:rPr>
                <w:spacing w:val="-5"/>
                <w:sz w:val="21"/>
                <w:szCs w:val="21"/>
              </w:rPr>
              <w:t>间</w:t>
            </w:r>
          </w:p>
        </w:tc>
        <w:tc>
          <w:tcPr>
            <w:tcW w:w="4635" w:type="dxa"/>
            <w:vAlign w:val="top"/>
          </w:tcPr>
          <w:p w14:paraId="563C52AF">
            <w:pPr>
              <w:spacing w:line="275" w:lineRule="auto"/>
              <w:rPr>
                <w:rFonts w:ascii="Arial"/>
                <w:sz w:val="21"/>
                <w:szCs w:val="21"/>
              </w:rPr>
            </w:pPr>
          </w:p>
          <w:p w14:paraId="144E33AE">
            <w:pPr>
              <w:pStyle w:val="7"/>
              <w:spacing w:before="65" w:line="228" w:lineRule="auto"/>
              <w:ind w:left="117"/>
              <w:rPr>
                <w:sz w:val="21"/>
                <w:szCs w:val="21"/>
              </w:rPr>
            </w:pPr>
            <w:r>
              <w:rPr>
                <w:spacing w:val="2"/>
                <w:sz w:val="21"/>
                <w:szCs w:val="21"/>
              </w:rPr>
              <w:t>7</w:t>
            </w:r>
            <w:r>
              <w:rPr>
                <w:spacing w:val="-41"/>
                <w:sz w:val="21"/>
                <w:szCs w:val="21"/>
              </w:rPr>
              <w:t xml:space="preserve"> </w:t>
            </w:r>
            <w:r>
              <w:rPr>
                <w:spacing w:val="2"/>
                <w:sz w:val="21"/>
                <w:szCs w:val="21"/>
              </w:rPr>
              <w:t>天×24小时</w:t>
            </w:r>
          </w:p>
        </w:tc>
      </w:tr>
      <w:tr w14:paraId="03ECB3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92" w:hRule="atLeast"/>
        </w:trPr>
        <w:tc>
          <w:tcPr>
            <w:tcW w:w="3871" w:type="dxa"/>
            <w:vAlign w:val="center"/>
          </w:tcPr>
          <w:p w14:paraId="4B6A827A">
            <w:pPr>
              <w:spacing w:line="275" w:lineRule="auto"/>
              <w:jc w:val="both"/>
              <w:rPr>
                <w:rFonts w:ascii="Arial"/>
                <w:sz w:val="21"/>
                <w:szCs w:val="21"/>
              </w:rPr>
            </w:pPr>
          </w:p>
          <w:p w14:paraId="507C4B76">
            <w:pPr>
              <w:pStyle w:val="7"/>
              <w:spacing w:before="65" w:line="226" w:lineRule="auto"/>
              <w:ind w:left="456"/>
              <w:jc w:val="both"/>
              <w:rPr>
                <w:sz w:val="21"/>
                <w:szCs w:val="21"/>
              </w:rPr>
            </w:pPr>
            <w:r>
              <w:rPr>
                <w:spacing w:val="-3"/>
                <w:sz w:val="21"/>
                <w:szCs w:val="21"/>
              </w:rPr>
              <w:t>合 同</w:t>
            </w:r>
            <w:r>
              <w:rPr>
                <w:spacing w:val="-27"/>
                <w:sz w:val="21"/>
                <w:szCs w:val="21"/>
              </w:rPr>
              <w:t xml:space="preserve"> </w:t>
            </w:r>
            <w:r>
              <w:rPr>
                <w:spacing w:val="-3"/>
                <w:sz w:val="21"/>
                <w:szCs w:val="21"/>
              </w:rPr>
              <w:t>价</w:t>
            </w:r>
            <w:r>
              <w:rPr>
                <w:spacing w:val="-31"/>
                <w:sz w:val="21"/>
                <w:szCs w:val="21"/>
              </w:rPr>
              <w:t xml:space="preserve"> </w:t>
            </w:r>
            <w:r>
              <w:rPr>
                <w:spacing w:val="-3"/>
                <w:sz w:val="21"/>
                <w:szCs w:val="21"/>
              </w:rPr>
              <w:t>款</w:t>
            </w:r>
            <w:r>
              <w:rPr>
                <w:spacing w:val="-29"/>
                <w:sz w:val="21"/>
                <w:szCs w:val="21"/>
              </w:rPr>
              <w:t xml:space="preserve"> </w:t>
            </w:r>
            <w:r>
              <w:rPr>
                <w:spacing w:val="-3"/>
                <w:sz w:val="21"/>
                <w:szCs w:val="21"/>
              </w:rPr>
              <w:t>支</w:t>
            </w:r>
            <w:r>
              <w:rPr>
                <w:spacing w:val="-32"/>
                <w:sz w:val="21"/>
                <w:szCs w:val="21"/>
              </w:rPr>
              <w:t xml:space="preserve"> </w:t>
            </w:r>
            <w:r>
              <w:rPr>
                <w:spacing w:val="-3"/>
                <w:sz w:val="21"/>
                <w:szCs w:val="21"/>
              </w:rPr>
              <w:t>付</w:t>
            </w:r>
            <w:r>
              <w:rPr>
                <w:spacing w:val="-29"/>
                <w:sz w:val="21"/>
                <w:szCs w:val="21"/>
              </w:rPr>
              <w:t xml:space="preserve"> </w:t>
            </w:r>
            <w:r>
              <w:rPr>
                <w:spacing w:val="-3"/>
                <w:sz w:val="21"/>
                <w:szCs w:val="21"/>
              </w:rPr>
              <w:t>方</w:t>
            </w:r>
            <w:r>
              <w:rPr>
                <w:spacing w:val="-28"/>
                <w:sz w:val="21"/>
                <w:szCs w:val="21"/>
              </w:rPr>
              <w:t xml:space="preserve"> </w:t>
            </w:r>
            <w:r>
              <w:rPr>
                <w:spacing w:val="-3"/>
                <w:sz w:val="21"/>
                <w:szCs w:val="21"/>
              </w:rPr>
              <w:t>式</w:t>
            </w:r>
            <w:r>
              <w:rPr>
                <w:spacing w:val="-29"/>
                <w:sz w:val="21"/>
                <w:szCs w:val="21"/>
              </w:rPr>
              <w:t xml:space="preserve"> </w:t>
            </w:r>
            <w:r>
              <w:rPr>
                <w:spacing w:val="-3"/>
                <w:sz w:val="21"/>
                <w:szCs w:val="21"/>
              </w:rPr>
              <w:t>和</w:t>
            </w:r>
            <w:r>
              <w:rPr>
                <w:spacing w:val="-30"/>
                <w:sz w:val="21"/>
                <w:szCs w:val="21"/>
              </w:rPr>
              <w:t xml:space="preserve"> </w:t>
            </w:r>
            <w:r>
              <w:rPr>
                <w:spacing w:val="-3"/>
                <w:sz w:val="21"/>
                <w:szCs w:val="21"/>
              </w:rPr>
              <w:t>条</w:t>
            </w:r>
            <w:r>
              <w:rPr>
                <w:spacing w:val="-31"/>
                <w:sz w:val="21"/>
                <w:szCs w:val="21"/>
              </w:rPr>
              <w:t xml:space="preserve"> </w:t>
            </w:r>
            <w:r>
              <w:rPr>
                <w:spacing w:val="-3"/>
                <w:sz w:val="21"/>
                <w:szCs w:val="21"/>
              </w:rPr>
              <w:t>件</w:t>
            </w:r>
          </w:p>
        </w:tc>
        <w:tc>
          <w:tcPr>
            <w:tcW w:w="4635" w:type="dxa"/>
            <w:vAlign w:val="center"/>
          </w:tcPr>
          <w:p w14:paraId="2BA8A222">
            <w:pPr>
              <w:spacing w:line="275" w:lineRule="auto"/>
              <w:jc w:val="both"/>
              <w:rPr>
                <w:rFonts w:ascii="Arial"/>
                <w:sz w:val="21"/>
                <w:szCs w:val="21"/>
              </w:rPr>
            </w:pPr>
          </w:p>
          <w:p w14:paraId="76060FC7">
            <w:pPr>
              <w:pStyle w:val="7"/>
              <w:spacing w:before="65" w:line="228" w:lineRule="auto"/>
              <w:jc w:val="both"/>
              <w:rPr>
                <w:rFonts w:hint="eastAsia" w:ascii="宋体" w:hAnsi="宋体" w:eastAsia="宋体" w:cs="宋体"/>
                <w:snapToGrid w:val="0"/>
                <w:color w:val="000000"/>
                <w:spacing w:val="5"/>
                <w:kern w:val="0"/>
                <w:sz w:val="21"/>
                <w:szCs w:val="21"/>
                <w:lang w:val="en-US" w:eastAsia="en-US" w:bidi="ar-SA"/>
              </w:rPr>
            </w:pPr>
            <w:r>
              <w:rPr>
                <w:rFonts w:hint="eastAsia" w:ascii="宋体" w:hAnsi="宋体" w:eastAsia="宋体" w:cs="宋体"/>
                <w:snapToGrid w:val="0"/>
                <w:color w:val="000000"/>
                <w:spacing w:val="5"/>
                <w:kern w:val="0"/>
                <w:sz w:val="21"/>
                <w:szCs w:val="21"/>
                <w:lang w:val="en-US" w:eastAsia="en-US" w:bidi="ar-SA"/>
              </w:rPr>
              <w:t>本项目购买特困人员住院期间护理保险保费每人每年为 190 元/人，为 52</w:t>
            </w:r>
            <w:r>
              <w:rPr>
                <w:rFonts w:hint="eastAsia" w:ascii="宋体" w:hAnsi="宋体" w:eastAsia="宋体" w:cs="宋体"/>
                <w:snapToGrid w:val="0"/>
                <w:color w:val="000000"/>
                <w:spacing w:val="5"/>
                <w:kern w:val="0"/>
                <w:sz w:val="21"/>
                <w:szCs w:val="21"/>
                <w:lang w:val="en-US" w:eastAsia="zh-CN" w:bidi="ar-SA"/>
              </w:rPr>
              <w:t>61</w:t>
            </w:r>
            <w:r>
              <w:rPr>
                <w:rFonts w:hint="eastAsia" w:ascii="宋体" w:hAnsi="宋体" w:eastAsia="宋体" w:cs="宋体"/>
                <w:snapToGrid w:val="0"/>
                <w:color w:val="000000"/>
                <w:spacing w:val="5"/>
                <w:kern w:val="0"/>
                <w:sz w:val="21"/>
                <w:szCs w:val="21"/>
                <w:lang w:val="en-US" w:eastAsia="en-US" w:bidi="ar-SA"/>
              </w:rPr>
              <w:t xml:space="preserve">人，保险期限为 1 年，采购预算为 </w:t>
            </w:r>
            <w:r>
              <w:rPr>
                <w:rFonts w:hint="eastAsia" w:ascii="宋体" w:hAnsi="宋体" w:eastAsia="宋体" w:cs="宋体"/>
                <w:snapToGrid w:val="0"/>
                <w:color w:val="000000"/>
                <w:spacing w:val="5"/>
                <w:kern w:val="0"/>
                <w:sz w:val="21"/>
                <w:szCs w:val="21"/>
                <w:lang w:val="en-US" w:eastAsia="zh-CN" w:bidi="ar-SA"/>
              </w:rPr>
              <w:t>999590</w:t>
            </w:r>
            <w:r>
              <w:rPr>
                <w:rFonts w:hint="eastAsia" w:ascii="宋体" w:hAnsi="宋体" w:eastAsia="宋体" w:cs="宋体"/>
                <w:snapToGrid w:val="0"/>
                <w:color w:val="000000"/>
                <w:spacing w:val="5"/>
                <w:kern w:val="0"/>
                <w:sz w:val="21"/>
                <w:szCs w:val="21"/>
                <w:lang w:val="en-US" w:eastAsia="en-US" w:bidi="ar-SA"/>
              </w:rPr>
              <w:t>.00 元（具体服务对象名单见保险花名册，按实结算），中标人的中标价为保险合同价。</w:t>
            </w:r>
          </w:p>
          <w:p w14:paraId="0241CF07">
            <w:pPr>
              <w:pStyle w:val="7"/>
              <w:spacing w:before="65" w:line="228" w:lineRule="auto"/>
              <w:jc w:val="both"/>
              <w:rPr>
                <w:rFonts w:hint="eastAsia" w:eastAsia="宋体"/>
                <w:sz w:val="21"/>
                <w:szCs w:val="21"/>
                <w:lang w:val="en-US" w:eastAsia="zh-CN"/>
              </w:rPr>
            </w:pPr>
            <w:r>
              <w:rPr>
                <w:rFonts w:hint="eastAsia" w:cs="宋体"/>
                <w:spacing w:val="2"/>
                <w:sz w:val="21"/>
                <w:szCs w:val="21"/>
                <w:lang w:eastAsia="zh-CN"/>
              </w:rPr>
              <w:t>注：</w:t>
            </w:r>
            <w:r>
              <w:rPr>
                <w:rFonts w:hint="eastAsia" w:ascii="宋体" w:hAnsi="宋体" w:eastAsia="宋体" w:cs="宋体"/>
                <w:spacing w:val="2"/>
                <w:sz w:val="21"/>
                <w:szCs w:val="21"/>
              </w:rPr>
              <w:t>签订投保合同后，双方约定付款日期，一次性付清</w:t>
            </w:r>
            <w:r>
              <w:rPr>
                <w:rFonts w:hint="eastAsia" w:cs="宋体"/>
                <w:spacing w:val="2"/>
                <w:sz w:val="21"/>
                <w:szCs w:val="21"/>
                <w:lang w:eastAsia="zh-CN"/>
              </w:rPr>
              <w:t>。</w:t>
            </w:r>
          </w:p>
        </w:tc>
      </w:tr>
      <w:tr w14:paraId="78A972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3871" w:type="dxa"/>
            <w:vAlign w:val="top"/>
          </w:tcPr>
          <w:p w14:paraId="1FC4FB1C">
            <w:pPr>
              <w:spacing w:line="278" w:lineRule="auto"/>
              <w:rPr>
                <w:rFonts w:ascii="Arial"/>
                <w:sz w:val="21"/>
                <w:szCs w:val="21"/>
              </w:rPr>
            </w:pPr>
          </w:p>
          <w:p w14:paraId="4D77F38A">
            <w:pPr>
              <w:pStyle w:val="7"/>
              <w:spacing w:before="65" w:line="228" w:lineRule="auto"/>
              <w:ind w:left="995"/>
              <w:rPr>
                <w:sz w:val="21"/>
                <w:szCs w:val="21"/>
              </w:rPr>
            </w:pPr>
            <w:r>
              <w:rPr>
                <w:spacing w:val="-5"/>
                <w:sz w:val="21"/>
                <w:szCs w:val="21"/>
              </w:rPr>
              <w:t>解</w:t>
            </w:r>
            <w:r>
              <w:rPr>
                <w:spacing w:val="-24"/>
                <w:sz w:val="21"/>
                <w:szCs w:val="21"/>
              </w:rPr>
              <w:t xml:space="preserve"> </w:t>
            </w:r>
            <w:r>
              <w:rPr>
                <w:spacing w:val="-5"/>
                <w:sz w:val="21"/>
                <w:szCs w:val="21"/>
              </w:rPr>
              <w:t>决</w:t>
            </w:r>
            <w:r>
              <w:rPr>
                <w:spacing w:val="-25"/>
                <w:sz w:val="21"/>
                <w:szCs w:val="21"/>
              </w:rPr>
              <w:t xml:space="preserve"> </w:t>
            </w:r>
            <w:r>
              <w:rPr>
                <w:spacing w:val="-5"/>
                <w:sz w:val="21"/>
                <w:szCs w:val="21"/>
              </w:rPr>
              <w:t>争</w:t>
            </w:r>
            <w:r>
              <w:rPr>
                <w:spacing w:val="-31"/>
                <w:sz w:val="21"/>
                <w:szCs w:val="21"/>
              </w:rPr>
              <w:t xml:space="preserve"> </w:t>
            </w:r>
            <w:r>
              <w:rPr>
                <w:spacing w:val="-5"/>
                <w:sz w:val="21"/>
                <w:szCs w:val="21"/>
              </w:rPr>
              <w:t>议 的</w:t>
            </w:r>
            <w:r>
              <w:rPr>
                <w:spacing w:val="-31"/>
                <w:sz w:val="21"/>
                <w:szCs w:val="21"/>
              </w:rPr>
              <w:t xml:space="preserve"> </w:t>
            </w:r>
            <w:r>
              <w:rPr>
                <w:spacing w:val="-5"/>
                <w:sz w:val="21"/>
                <w:szCs w:val="21"/>
              </w:rPr>
              <w:t>方</w:t>
            </w:r>
            <w:r>
              <w:rPr>
                <w:spacing w:val="-26"/>
                <w:sz w:val="21"/>
                <w:szCs w:val="21"/>
              </w:rPr>
              <w:t xml:space="preserve"> </w:t>
            </w:r>
            <w:r>
              <w:rPr>
                <w:spacing w:val="-5"/>
                <w:sz w:val="21"/>
                <w:szCs w:val="21"/>
              </w:rPr>
              <w:t>式</w:t>
            </w:r>
          </w:p>
        </w:tc>
        <w:tc>
          <w:tcPr>
            <w:tcW w:w="4635" w:type="dxa"/>
            <w:vAlign w:val="top"/>
          </w:tcPr>
          <w:p w14:paraId="1B6F72CB">
            <w:pPr>
              <w:spacing w:line="278" w:lineRule="auto"/>
              <w:rPr>
                <w:rFonts w:ascii="Arial"/>
                <w:sz w:val="21"/>
                <w:szCs w:val="21"/>
              </w:rPr>
            </w:pPr>
          </w:p>
          <w:p w14:paraId="625F2337">
            <w:pPr>
              <w:pStyle w:val="7"/>
              <w:spacing w:before="65" w:line="228" w:lineRule="auto"/>
              <w:ind w:left="134"/>
              <w:rPr>
                <w:sz w:val="21"/>
                <w:szCs w:val="21"/>
              </w:rPr>
            </w:pPr>
            <w:r>
              <w:rPr>
                <w:spacing w:val="2"/>
                <w:sz w:val="21"/>
                <w:szCs w:val="21"/>
              </w:rPr>
              <w:t>□仲裁</w:t>
            </w:r>
            <w:r>
              <w:rPr>
                <w:spacing w:val="13"/>
                <w:sz w:val="21"/>
                <w:szCs w:val="21"/>
              </w:rPr>
              <w:t xml:space="preserve">  </w:t>
            </w:r>
            <w:r>
              <w:rPr>
                <w:rFonts w:ascii="MS Gothic" w:hAnsi="MS Gothic" w:eastAsia="MS Gothic" w:cs="MS Gothic"/>
                <w:spacing w:val="2"/>
                <w:sz w:val="21"/>
                <w:szCs w:val="21"/>
              </w:rPr>
              <w:t>☑</w:t>
            </w:r>
            <w:r>
              <w:rPr>
                <w:spacing w:val="2"/>
                <w:sz w:val="21"/>
                <w:szCs w:val="21"/>
              </w:rPr>
              <w:t>诉讼</w:t>
            </w:r>
          </w:p>
        </w:tc>
      </w:tr>
    </w:tbl>
    <w:p w14:paraId="19FC3144">
      <w:pPr>
        <w:spacing w:line="425" w:lineRule="auto"/>
        <w:rPr>
          <w:rFonts w:ascii="Arial"/>
          <w:sz w:val="21"/>
        </w:rPr>
      </w:pPr>
    </w:p>
    <w:p w14:paraId="61394F23">
      <w:pPr>
        <w:pStyle w:val="2"/>
        <w:spacing w:before="246" w:line="228" w:lineRule="auto"/>
        <w:ind w:left="565"/>
        <w:rPr>
          <w:b/>
          <w:bCs/>
          <w:spacing w:val="-7"/>
          <w:sz w:val="21"/>
          <w:szCs w:val="21"/>
        </w:rPr>
      </w:pPr>
      <w:r>
        <w:rPr>
          <w:b/>
          <w:bCs/>
          <w:spacing w:val="-7"/>
          <w:sz w:val="21"/>
          <w:szCs w:val="21"/>
        </w:rPr>
        <w:t>二 、 踏勘</w:t>
      </w:r>
    </w:p>
    <w:p w14:paraId="4081938C">
      <w:pPr>
        <w:pStyle w:val="2"/>
        <w:spacing w:before="185" w:line="404" w:lineRule="auto"/>
        <w:ind w:left="23" w:right="220" w:firstLine="437"/>
        <w:rPr>
          <w:sz w:val="22"/>
          <w:szCs w:val="22"/>
        </w:rPr>
      </w:pPr>
      <w:r>
        <w:rPr>
          <w:spacing w:val="-2"/>
          <w:sz w:val="22"/>
          <w:szCs w:val="22"/>
        </w:rPr>
        <w:t>采购人不组织踏勘，如投标人在投标前需踏勘现场，有关费用自理，勘查期间，投</w:t>
      </w:r>
      <w:r>
        <w:rPr>
          <w:spacing w:val="-1"/>
          <w:sz w:val="22"/>
          <w:szCs w:val="22"/>
        </w:rPr>
        <w:t>标人如发生任何安全事故，由投标人自行负责，与采购人无关。</w:t>
      </w:r>
    </w:p>
    <w:p w14:paraId="75988B4E">
      <w:pPr>
        <w:spacing w:line="408" w:lineRule="auto"/>
        <w:rPr>
          <w:rFonts w:ascii="Arial"/>
          <w:sz w:val="21"/>
        </w:rPr>
      </w:pPr>
    </w:p>
    <w:p w14:paraId="63ED4715">
      <w:pPr>
        <w:pStyle w:val="2"/>
        <w:spacing w:before="65" w:line="289" w:lineRule="auto"/>
        <w:ind w:left="22" w:right="282"/>
        <w:jc w:val="both"/>
        <w:rPr>
          <w:rFonts w:hint="default" w:eastAsiaTheme="minorEastAsia"/>
          <w:lang w:val="en-US" w:eastAsia="zh-CN"/>
        </w:rPr>
      </w:pPr>
      <w:r>
        <w:rPr>
          <w:b/>
          <w:bCs/>
          <w:spacing w:val="-5"/>
          <w:sz w:val="20"/>
          <w:szCs w:val="20"/>
        </w:rPr>
        <w:t>注</w:t>
      </w:r>
      <w:r>
        <w:rPr>
          <w:spacing w:val="-5"/>
          <w:sz w:val="20"/>
          <w:szCs w:val="20"/>
        </w:rPr>
        <w:t xml:space="preserve"> </w:t>
      </w:r>
      <w:r>
        <w:rPr>
          <w:b/>
          <w:bCs/>
          <w:spacing w:val="-5"/>
          <w:sz w:val="20"/>
          <w:szCs w:val="20"/>
        </w:rPr>
        <w:t>:在</w:t>
      </w:r>
      <w:r>
        <w:rPr>
          <w:spacing w:val="-30"/>
          <w:sz w:val="20"/>
          <w:szCs w:val="20"/>
        </w:rPr>
        <w:t xml:space="preserve"> </w:t>
      </w:r>
      <w:r>
        <w:rPr>
          <w:b/>
          <w:bCs/>
          <w:spacing w:val="-5"/>
          <w:sz w:val="20"/>
          <w:szCs w:val="20"/>
        </w:rPr>
        <w:t>磋</w:t>
      </w:r>
      <w:r>
        <w:rPr>
          <w:spacing w:val="-26"/>
          <w:sz w:val="20"/>
          <w:szCs w:val="20"/>
        </w:rPr>
        <w:t xml:space="preserve"> </w:t>
      </w:r>
      <w:r>
        <w:rPr>
          <w:b/>
          <w:bCs/>
          <w:spacing w:val="-5"/>
          <w:sz w:val="20"/>
          <w:szCs w:val="20"/>
        </w:rPr>
        <w:t>商</w:t>
      </w:r>
      <w:r>
        <w:rPr>
          <w:spacing w:val="-29"/>
          <w:sz w:val="20"/>
          <w:szCs w:val="20"/>
        </w:rPr>
        <w:t xml:space="preserve"> </w:t>
      </w:r>
      <w:r>
        <w:rPr>
          <w:b/>
          <w:bCs/>
          <w:spacing w:val="-5"/>
          <w:sz w:val="20"/>
          <w:szCs w:val="20"/>
        </w:rPr>
        <w:t>过</w:t>
      </w:r>
      <w:r>
        <w:rPr>
          <w:spacing w:val="-33"/>
          <w:sz w:val="20"/>
          <w:szCs w:val="20"/>
        </w:rPr>
        <w:t xml:space="preserve"> </w:t>
      </w:r>
      <w:r>
        <w:rPr>
          <w:b/>
          <w:bCs/>
          <w:spacing w:val="-5"/>
          <w:sz w:val="20"/>
          <w:szCs w:val="20"/>
        </w:rPr>
        <w:t>程</w:t>
      </w:r>
      <w:r>
        <w:rPr>
          <w:spacing w:val="-5"/>
          <w:sz w:val="20"/>
          <w:szCs w:val="20"/>
        </w:rPr>
        <w:t xml:space="preserve"> </w:t>
      </w:r>
      <w:r>
        <w:rPr>
          <w:b/>
          <w:bCs/>
          <w:spacing w:val="-5"/>
          <w:sz w:val="20"/>
          <w:szCs w:val="20"/>
        </w:rPr>
        <w:t>中</w:t>
      </w:r>
      <w:r>
        <w:rPr>
          <w:spacing w:val="-26"/>
          <w:sz w:val="20"/>
          <w:szCs w:val="20"/>
        </w:rPr>
        <w:t xml:space="preserve"> </w:t>
      </w:r>
      <w:r>
        <w:rPr>
          <w:b/>
          <w:bCs/>
          <w:spacing w:val="-5"/>
          <w:sz w:val="20"/>
          <w:szCs w:val="20"/>
        </w:rPr>
        <w:t>,磋</w:t>
      </w:r>
      <w:r>
        <w:rPr>
          <w:spacing w:val="-25"/>
          <w:sz w:val="20"/>
          <w:szCs w:val="20"/>
        </w:rPr>
        <w:t xml:space="preserve"> </w:t>
      </w:r>
      <w:r>
        <w:rPr>
          <w:b/>
          <w:bCs/>
          <w:spacing w:val="-5"/>
          <w:sz w:val="20"/>
          <w:szCs w:val="20"/>
        </w:rPr>
        <w:t>商</w:t>
      </w:r>
      <w:r>
        <w:rPr>
          <w:spacing w:val="-28"/>
          <w:sz w:val="20"/>
          <w:szCs w:val="20"/>
        </w:rPr>
        <w:t xml:space="preserve"> </w:t>
      </w:r>
      <w:r>
        <w:rPr>
          <w:b/>
          <w:bCs/>
          <w:spacing w:val="-5"/>
          <w:sz w:val="20"/>
          <w:szCs w:val="20"/>
        </w:rPr>
        <w:t>文</w:t>
      </w:r>
      <w:r>
        <w:rPr>
          <w:spacing w:val="-31"/>
          <w:sz w:val="20"/>
          <w:szCs w:val="20"/>
        </w:rPr>
        <w:t xml:space="preserve"> </w:t>
      </w:r>
      <w:r>
        <w:rPr>
          <w:b/>
          <w:bCs/>
          <w:spacing w:val="-5"/>
          <w:sz w:val="20"/>
          <w:szCs w:val="20"/>
        </w:rPr>
        <w:t>件</w:t>
      </w:r>
      <w:r>
        <w:rPr>
          <w:spacing w:val="-30"/>
          <w:sz w:val="20"/>
          <w:szCs w:val="20"/>
        </w:rPr>
        <w:t xml:space="preserve"> </w:t>
      </w:r>
      <w:r>
        <w:rPr>
          <w:b/>
          <w:bCs/>
          <w:spacing w:val="-5"/>
          <w:sz w:val="20"/>
          <w:szCs w:val="20"/>
        </w:rPr>
        <w:t>可</w:t>
      </w:r>
      <w:r>
        <w:rPr>
          <w:spacing w:val="-22"/>
          <w:sz w:val="20"/>
          <w:szCs w:val="20"/>
        </w:rPr>
        <w:t xml:space="preserve"> </w:t>
      </w:r>
      <w:r>
        <w:rPr>
          <w:b/>
          <w:bCs/>
          <w:spacing w:val="-5"/>
          <w:sz w:val="20"/>
          <w:szCs w:val="20"/>
        </w:rPr>
        <w:t>能</w:t>
      </w:r>
      <w:r>
        <w:rPr>
          <w:spacing w:val="-26"/>
          <w:sz w:val="20"/>
          <w:szCs w:val="20"/>
        </w:rPr>
        <w:t xml:space="preserve"> </w:t>
      </w:r>
      <w:r>
        <w:rPr>
          <w:b/>
          <w:bCs/>
          <w:spacing w:val="-5"/>
          <w:sz w:val="20"/>
          <w:szCs w:val="20"/>
        </w:rPr>
        <w:t>发</w:t>
      </w:r>
      <w:r>
        <w:rPr>
          <w:spacing w:val="-28"/>
          <w:sz w:val="20"/>
          <w:szCs w:val="20"/>
        </w:rPr>
        <w:t xml:space="preserve"> </w:t>
      </w:r>
      <w:r>
        <w:rPr>
          <w:b/>
          <w:bCs/>
          <w:spacing w:val="-5"/>
          <w:sz w:val="20"/>
          <w:szCs w:val="20"/>
        </w:rPr>
        <w:t>生</w:t>
      </w:r>
      <w:r>
        <w:rPr>
          <w:spacing w:val="-25"/>
          <w:sz w:val="20"/>
          <w:szCs w:val="20"/>
        </w:rPr>
        <w:t xml:space="preserve"> </w:t>
      </w:r>
      <w:r>
        <w:rPr>
          <w:b/>
          <w:bCs/>
          <w:spacing w:val="-5"/>
          <w:sz w:val="20"/>
          <w:szCs w:val="20"/>
        </w:rPr>
        <w:t>实</w:t>
      </w:r>
      <w:r>
        <w:rPr>
          <w:spacing w:val="-29"/>
          <w:sz w:val="20"/>
          <w:szCs w:val="20"/>
        </w:rPr>
        <w:t xml:space="preserve"> </w:t>
      </w:r>
      <w:r>
        <w:rPr>
          <w:b/>
          <w:bCs/>
          <w:spacing w:val="-5"/>
          <w:sz w:val="20"/>
          <w:szCs w:val="20"/>
        </w:rPr>
        <w:t>质</w:t>
      </w:r>
      <w:r>
        <w:rPr>
          <w:spacing w:val="-29"/>
          <w:sz w:val="20"/>
          <w:szCs w:val="20"/>
        </w:rPr>
        <w:t xml:space="preserve"> </w:t>
      </w:r>
      <w:r>
        <w:rPr>
          <w:b/>
          <w:bCs/>
          <w:spacing w:val="-5"/>
          <w:sz w:val="20"/>
          <w:szCs w:val="20"/>
        </w:rPr>
        <w:t>性</w:t>
      </w:r>
      <w:r>
        <w:rPr>
          <w:spacing w:val="-30"/>
          <w:sz w:val="20"/>
          <w:szCs w:val="20"/>
        </w:rPr>
        <w:t xml:space="preserve"> </w:t>
      </w:r>
      <w:r>
        <w:rPr>
          <w:b/>
          <w:bCs/>
          <w:spacing w:val="-5"/>
          <w:sz w:val="20"/>
          <w:szCs w:val="20"/>
        </w:rPr>
        <w:t>变</w:t>
      </w:r>
      <w:r>
        <w:rPr>
          <w:spacing w:val="-29"/>
          <w:sz w:val="20"/>
          <w:szCs w:val="20"/>
        </w:rPr>
        <w:t xml:space="preserve"> </w:t>
      </w:r>
      <w:r>
        <w:rPr>
          <w:b/>
          <w:bCs/>
          <w:spacing w:val="-5"/>
          <w:sz w:val="20"/>
          <w:szCs w:val="20"/>
        </w:rPr>
        <w:t>动</w:t>
      </w:r>
      <w:r>
        <w:rPr>
          <w:spacing w:val="-5"/>
          <w:sz w:val="20"/>
          <w:szCs w:val="20"/>
        </w:rPr>
        <w:t xml:space="preserve"> </w:t>
      </w:r>
      <w:r>
        <w:rPr>
          <w:b/>
          <w:bCs/>
          <w:spacing w:val="-5"/>
          <w:sz w:val="20"/>
          <w:szCs w:val="20"/>
        </w:rPr>
        <w:t>的</w:t>
      </w:r>
      <w:r>
        <w:rPr>
          <w:spacing w:val="-28"/>
          <w:sz w:val="20"/>
          <w:szCs w:val="20"/>
        </w:rPr>
        <w:t xml:space="preserve"> </w:t>
      </w:r>
      <w:r>
        <w:rPr>
          <w:b/>
          <w:bCs/>
          <w:spacing w:val="-5"/>
          <w:sz w:val="20"/>
          <w:szCs w:val="20"/>
        </w:rPr>
        <w:t>技</w:t>
      </w:r>
      <w:r>
        <w:rPr>
          <w:spacing w:val="-28"/>
          <w:sz w:val="20"/>
          <w:szCs w:val="20"/>
        </w:rPr>
        <w:t xml:space="preserve"> </w:t>
      </w:r>
      <w:r>
        <w:rPr>
          <w:b/>
          <w:bCs/>
          <w:spacing w:val="-5"/>
          <w:sz w:val="20"/>
          <w:szCs w:val="20"/>
        </w:rPr>
        <w:t>术</w:t>
      </w:r>
      <w:r>
        <w:rPr>
          <w:spacing w:val="-5"/>
          <w:sz w:val="20"/>
          <w:szCs w:val="20"/>
        </w:rPr>
        <w:t xml:space="preserve"> </w:t>
      </w:r>
      <w:r>
        <w:rPr>
          <w:b/>
          <w:bCs/>
          <w:spacing w:val="-5"/>
          <w:sz w:val="20"/>
          <w:szCs w:val="20"/>
        </w:rPr>
        <w:t>、商</w:t>
      </w:r>
      <w:r>
        <w:rPr>
          <w:spacing w:val="-28"/>
          <w:sz w:val="20"/>
          <w:szCs w:val="20"/>
        </w:rPr>
        <w:t xml:space="preserve"> </w:t>
      </w:r>
      <w:r>
        <w:rPr>
          <w:b/>
          <w:bCs/>
          <w:spacing w:val="-5"/>
          <w:sz w:val="20"/>
          <w:szCs w:val="20"/>
        </w:rPr>
        <w:t>务</w:t>
      </w:r>
      <w:r>
        <w:rPr>
          <w:spacing w:val="-29"/>
          <w:sz w:val="20"/>
          <w:szCs w:val="20"/>
        </w:rPr>
        <w:t xml:space="preserve"> </w:t>
      </w:r>
      <w:r>
        <w:rPr>
          <w:b/>
          <w:bCs/>
          <w:spacing w:val="-5"/>
          <w:sz w:val="20"/>
          <w:szCs w:val="20"/>
        </w:rPr>
        <w:t>要</w:t>
      </w:r>
      <w:r>
        <w:rPr>
          <w:spacing w:val="-28"/>
          <w:sz w:val="20"/>
          <w:szCs w:val="20"/>
        </w:rPr>
        <w:t xml:space="preserve"> </w:t>
      </w:r>
      <w:r>
        <w:rPr>
          <w:b/>
          <w:bCs/>
          <w:spacing w:val="-5"/>
          <w:sz w:val="20"/>
          <w:szCs w:val="20"/>
        </w:rPr>
        <w:t>求</w:t>
      </w:r>
      <w:r>
        <w:rPr>
          <w:spacing w:val="-5"/>
          <w:sz w:val="20"/>
          <w:szCs w:val="20"/>
        </w:rPr>
        <w:t xml:space="preserve"> </w:t>
      </w:r>
      <w:r>
        <w:rPr>
          <w:b/>
          <w:bCs/>
          <w:spacing w:val="-5"/>
          <w:sz w:val="20"/>
          <w:szCs w:val="20"/>
        </w:rPr>
        <w:t>以</w:t>
      </w:r>
      <w:r>
        <w:rPr>
          <w:spacing w:val="-31"/>
          <w:sz w:val="20"/>
          <w:szCs w:val="20"/>
        </w:rPr>
        <w:t xml:space="preserve"> </w:t>
      </w:r>
      <w:r>
        <w:rPr>
          <w:b/>
          <w:bCs/>
          <w:spacing w:val="-5"/>
          <w:sz w:val="20"/>
          <w:szCs w:val="20"/>
        </w:rPr>
        <w:t>及</w:t>
      </w:r>
      <w:r>
        <w:rPr>
          <w:rFonts w:hint="eastAsia"/>
          <w:b/>
          <w:bCs/>
          <w:spacing w:val="-5"/>
          <w:sz w:val="20"/>
          <w:szCs w:val="20"/>
          <w:lang w:val="en-US" w:eastAsia="zh-CN"/>
        </w:rPr>
        <w:t xml:space="preserve"> </w:t>
      </w:r>
      <w:r>
        <w:rPr>
          <w:b/>
          <w:bCs/>
          <w:spacing w:val="-6"/>
          <w:sz w:val="20"/>
          <w:szCs w:val="20"/>
        </w:rPr>
        <w:t>合</w:t>
      </w:r>
      <w:r>
        <w:rPr>
          <w:spacing w:val="-6"/>
          <w:sz w:val="20"/>
          <w:szCs w:val="20"/>
        </w:rPr>
        <w:t xml:space="preserve"> </w:t>
      </w:r>
      <w:r>
        <w:rPr>
          <w:b/>
          <w:bCs/>
          <w:spacing w:val="-6"/>
          <w:sz w:val="20"/>
          <w:szCs w:val="20"/>
        </w:rPr>
        <w:t>同</w:t>
      </w:r>
      <w:r>
        <w:rPr>
          <w:spacing w:val="-21"/>
          <w:sz w:val="20"/>
          <w:szCs w:val="20"/>
        </w:rPr>
        <w:t xml:space="preserve"> </w:t>
      </w:r>
      <w:r>
        <w:rPr>
          <w:b/>
          <w:bCs/>
          <w:spacing w:val="-6"/>
          <w:sz w:val="20"/>
          <w:szCs w:val="20"/>
        </w:rPr>
        <w:t>草</w:t>
      </w:r>
      <w:r>
        <w:rPr>
          <w:spacing w:val="-23"/>
          <w:sz w:val="20"/>
          <w:szCs w:val="20"/>
        </w:rPr>
        <w:t xml:space="preserve"> </w:t>
      </w:r>
      <w:r>
        <w:rPr>
          <w:b/>
          <w:bCs/>
          <w:spacing w:val="-6"/>
          <w:sz w:val="20"/>
          <w:szCs w:val="20"/>
        </w:rPr>
        <w:t>案</w:t>
      </w:r>
      <w:r>
        <w:rPr>
          <w:spacing w:val="-23"/>
          <w:sz w:val="20"/>
          <w:szCs w:val="20"/>
        </w:rPr>
        <w:t xml:space="preserve"> </w:t>
      </w:r>
      <w:r>
        <w:rPr>
          <w:b/>
          <w:bCs/>
          <w:spacing w:val="-6"/>
          <w:sz w:val="20"/>
          <w:szCs w:val="20"/>
        </w:rPr>
        <w:t>条</w:t>
      </w:r>
      <w:r>
        <w:rPr>
          <w:spacing w:val="-22"/>
          <w:sz w:val="20"/>
          <w:szCs w:val="20"/>
        </w:rPr>
        <w:t xml:space="preserve"> </w:t>
      </w:r>
      <w:r>
        <w:rPr>
          <w:b/>
          <w:bCs/>
          <w:spacing w:val="-6"/>
          <w:sz w:val="20"/>
          <w:szCs w:val="20"/>
        </w:rPr>
        <w:t>款</w:t>
      </w:r>
      <w:r>
        <w:rPr>
          <w:spacing w:val="-21"/>
          <w:sz w:val="20"/>
          <w:szCs w:val="20"/>
        </w:rPr>
        <w:t xml:space="preserve"> </w:t>
      </w:r>
      <w:r>
        <w:rPr>
          <w:b/>
          <w:bCs/>
          <w:spacing w:val="-6"/>
          <w:sz w:val="20"/>
          <w:szCs w:val="20"/>
        </w:rPr>
        <w:t>,</w:t>
      </w:r>
      <w:r>
        <w:rPr>
          <w:spacing w:val="-56"/>
          <w:sz w:val="20"/>
          <w:szCs w:val="20"/>
        </w:rPr>
        <w:t xml:space="preserve"> </w:t>
      </w:r>
      <w:r>
        <w:rPr>
          <w:b/>
          <w:bCs/>
          <w:spacing w:val="-6"/>
          <w:sz w:val="20"/>
          <w:szCs w:val="20"/>
        </w:rPr>
        <w:t>请</w:t>
      </w:r>
      <w:r>
        <w:rPr>
          <w:spacing w:val="-26"/>
          <w:sz w:val="20"/>
          <w:szCs w:val="20"/>
        </w:rPr>
        <w:t xml:space="preserve"> </w:t>
      </w:r>
      <w:r>
        <w:rPr>
          <w:b/>
          <w:bCs/>
          <w:spacing w:val="-6"/>
          <w:sz w:val="20"/>
          <w:szCs w:val="20"/>
        </w:rPr>
        <w:t>在</w:t>
      </w:r>
      <w:r>
        <w:rPr>
          <w:spacing w:val="-21"/>
          <w:sz w:val="20"/>
          <w:szCs w:val="20"/>
        </w:rPr>
        <w:t xml:space="preserve"> </w:t>
      </w:r>
      <w:r>
        <w:rPr>
          <w:b/>
          <w:bCs/>
          <w:spacing w:val="-6"/>
          <w:sz w:val="20"/>
          <w:szCs w:val="20"/>
        </w:rPr>
        <w:t>可</w:t>
      </w:r>
      <w:r>
        <w:rPr>
          <w:spacing w:val="-6"/>
          <w:sz w:val="20"/>
          <w:szCs w:val="20"/>
        </w:rPr>
        <w:t xml:space="preserve"> </w:t>
      </w:r>
      <w:r>
        <w:rPr>
          <w:b/>
          <w:bCs/>
          <w:spacing w:val="-6"/>
          <w:sz w:val="20"/>
          <w:szCs w:val="20"/>
        </w:rPr>
        <w:t>能</w:t>
      </w:r>
      <w:r>
        <w:rPr>
          <w:spacing w:val="-25"/>
          <w:sz w:val="20"/>
          <w:szCs w:val="20"/>
        </w:rPr>
        <w:t xml:space="preserve"> </w:t>
      </w:r>
      <w:r>
        <w:rPr>
          <w:b/>
          <w:bCs/>
          <w:spacing w:val="-6"/>
          <w:sz w:val="20"/>
          <w:szCs w:val="20"/>
        </w:rPr>
        <w:t>变</w:t>
      </w:r>
      <w:r>
        <w:rPr>
          <w:spacing w:val="-21"/>
          <w:sz w:val="20"/>
          <w:szCs w:val="20"/>
        </w:rPr>
        <w:t xml:space="preserve"> </w:t>
      </w:r>
      <w:r>
        <w:rPr>
          <w:b/>
          <w:bCs/>
          <w:spacing w:val="-6"/>
          <w:sz w:val="20"/>
          <w:szCs w:val="20"/>
        </w:rPr>
        <w:t>动</w:t>
      </w:r>
      <w:r>
        <w:rPr>
          <w:spacing w:val="-6"/>
          <w:sz w:val="20"/>
          <w:szCs w:val="20"/>
        </w:rPr>
        <w:t xml:space="preserve"> </w:t>
      </w:r>
      <w:r>
        <w:rPr>
          <w:b/>
          <w:bCs/>
          <w:spacing w:val="-6"/>
          <w:sz w:val="20"/>
          <w:szCs w:val="20"/>
        </w:rPr>
        <w:t>的</w:t>
      </w:r>
      <w:r>
        <w:rPr>
          <w:spacing w:val="-24"/>
          <w:sz w:val="20"/>
          <w:szCs w:val="20"/>
        </w:rPr>
        <w:t xml:space="preserve"> </w:t>
      </w:r>
      <w:r>
        <w:rPr>
          <w:b/>
          <w:bCs/>
          <w:spacing w:val="-6"/>
          <w:sz w:val="20"/>
          <w:szCs w:val="20"/>
        </w:rPr>
        <w:t>条</w:t>
      </w:r>
      <w:r>
        <w:rPr>
          <w:spacing w:val="-21"/>
          <w:sz w:val="20"/>
          <w:szCs w:val="20"/>
        </w:rPr>
        <w:t xml:space="preserve"> </w:t>
      </w:r>
      <w:r>
        <w:rPr>
          <w:b/>
          <w:bCs/>
          <w:spacing w:val="-6"/>
          <w:sz w:val="20"/>
          <w:szCs w:val="20"/>
        </w:rPr>
        <w:t>款</w:t>
      </w:r>
      <w:r>
        <w:rPr>
          <w:spacing w:val="-21"/>
          <w:sz w:val="20"/>
          <w:szCs w:val="20"/>
        </w:rPr>
        <w:t xml:space="preserve"> </w:t>
      </w:r>
      <w:r>
        <w:rPr>
          <w:b/>
          <w:bCs/>
          <w:spacing w:val="-6"/>
          <w:sz w:val="20"/>
          <w:szCs w:val="20"/>
        </w:rPr>
        <w:t>旁</w:t>
      </w:r>
      <w:r>
        <w:rPr>
          <w:spacing w:val="-6"/>
          <w:sz w:val="20"/>
          <w:szCs w:val="20"/>
        </w:rPr>
        <w:t xml:space="preserve"> </w:t>
      </w:r>
      <w:r>
        <w:rPr>
          <w:b/>
          <w:bCs/>
          <w:spacing w:val="-6"/>
          <w:sz w:val="20"/>
          <w:szCs w:val="20"/>
        </w:rPr>
        <w:t>予</w:t>
      </w:r>
      <w:r>
        <w:rPr>
          <w:spacing w:val="-6"/>
          <w:sz w:val="20"/>
          <w:szCs w:val="20"/>
        </w:rPr>
        <w:t xml:space="preserve"> </w:t>
      </w:r>
      <w:r>
        <w:rPr>
          <w:b/>
          <w:bCs/>
          <w:spacing w:val="-6"/>
          <w:sz w:val="20"/>
          <w:szCs w:val="20"/>
        </w:rPr>
        <w:t>以</w:t>
      </w:r>
      <w:r>
        <w:rPr>
          <w:spacing w:val="-23"/>
          <w:sz w:val="20"/>
          <w:szCs w:val="20"/>
        </w:rPr>
        <w:t xml:space="preserve"> </w:t>
      </w:r>
      <w:r>
        <w:rPr>
          <w:b/>
          <w:bCs/>
          <w:spacing w:val="-6"/>
          <w:sz w:val="20"/>
          <w:szCs w:val="20"/>
        </w:rPr>
        <w:t>文</w:t>
      </w:r>
      <w:r>
        <w:rPr>
          <w:spacing w:val="-22"/>
          <w:sz w:val="20"/>
          <w:szCs w:val="20"/>
        </w:rPr>
        <w:t xml:space="preserve"> </w:t>
      </w:r>
      <w:r>
        <w:rPr>
          <w:b/>
          <w:bCs/>
          <w:spacing w:val="-6"/>
          <w:sz w:val="20"/>
          <w:szCs w:val="20"/>
        </w:rPr>
        <w:t>字</w:t>
      </w:r>
      <w:r>
        <w:rPr>
          <w:spacing w:val="-24"/>
          <w:sz w:val="20"/>
          <w:szCs w:val="20"/>
        </w:rPr>
        <w:t xml:space="preserve"> </w:t>
      </w:r>
      <w:r>
        <w:rPr>
          <w:b/>
          <w:bCs/>
          <w:spacing w:val="-6"/>
          <w:sz w:val="20"/>
          <w:szCs w:val="20"/>
        </w:rPr>
        <w:t>注</w:t>
      </w:r>
      <w:r>
        <w:rPr>
          <w:spacing w:val="-6"/>
          <w:sz w:val="20"/>
          <w:szCs w:val="20"/>
        </w:rPr>
        <w:t xml:space="preserve"> </w:t>
      </w:r>
      <w:r>
        <w:rPr>
          <w:b/>
          <w:bCs/>
          <w:spacing w:val="-6"/>
          <w:sz w:val="20"/>
          <w:szCs w:val="20"/>
        </w:rPr>
        <w:t>明</w:t>
      </w:r>
      <w:r>
        <w:rPr>
          <w:spacing w:val="-20"/>
          <w:sz w:val="20"/>
          <w:szCs w:val="20"/>
        </w:rPr>
        <w:t xml:space="preserve"> </w:t>
      </w:r>
      <w:r>
        <w:rPr>
          <w:b/>
          <w:bCs/>
          <w:spacing w:val="-6"/>
          <w:sz w:val="20"/>
          <w:szCs w:val="20"/>
        </w:rPr>
        <w:t>,</w:t>
      </w:r>
      <w:r>
        <w:rPr>
          <w:spacing w:val="-49"/>
          <w:sz w:val="20"/>
          <w:szCs w:val="20"/>
        </w:rPr>
        <w:t xml:space="preserve"> </w:t>
      </w:r>
      <w:r>
        <w:rPr>
          <w:b/>
          <w:bCs/>
          <w:spacing w:val="-6"/>
          <w:sz w:val="20"/>
          <w:szCs w:val="20"/>
        </w:rPr>
        <w:t>并</w:t>
      </w:r>
      <w:r>
        <w:rPr>
          <w:spacing w:val="-27"/>
          <w:sz w:val="20"/>
          <w:szCs w:val="20"/>
        </w:rPr>
        <w:t xml:space="preserve"> </w:t>
      </w:r>
      <w:r>
        <w:rPr>
          <w:b/>
          <w:bCs/>
          <w:spacing w:val="-7"/>
          <w:sz w:val="20"/>
          <w:szCs w:val="20"/>
        </w:rPr>
        <w:t>将</w:t>
      </w:r>
      <w:r>
        <w:rPr>
          <w:spacing w:val="-23"/>
          <w:sz w:val="20"/>
          <w:szCs w:val="20"/>
        </w:rPr>
        <w:t xml:space="preserve"> </w:t>
      </w:r>
      <w:r>
        <w:rPr>
          <w:b/>
          <w:bCs/>
          <w:spacing w:val="-7"/>
          <w:sz w:val="20"/>
          <w:szCs w:val="20"/>
        </w:rPr>
        <w:t>磋</w:t>
      </w:r>
      <w:r>
        <w:rPr>
          <w:spacing w:val="-21"/>
          <w:sz w:val="20"/>
          <w:szCs w:val="20"/>
        </w:rPr>
        <w:t xml:space="preserve"> </w:t>
      </w:r>
      <w:r>
        <w:rPr>
          <w:b/>
          <w:bCs/>
          <w:spacing w:val="-7"/>
          <w:sz w:val="20"/>
          <w:szCs w:val="20"/>
        </w:rPr>
        <w:t>商</w:t>
      </w:r>
      <w:r>
        <w:rPr>
          <w:spacing w:val="-23"/>
          <w:sz w:val="20"/>
          <w:szCs w:val="20"/>
        </w:rPr>
        <w:t xml:space="preserve"> </w:t>
      </w:r>
      <w:r>
        <w:rPr>
          <w:b/>
          <w:bCs/>
          <w:spacing w:val="-7"/>
          <w:sz w:val="20"/>
          <w:szCs w:val="20"/>
        </w:rPr>
        <w:t>文</w:t>
      </w:r>
      <w:r>
        <w:rPr>
          <w:spacing w:val="-23"/>
          <w:sz w:val="20"/>
          <w:szCs w:val="20"/>
        </w:rPr>
        <w:t xml:space="preserve"> </w:t>
      </w:r>
      <w:r>
        <w:rPr>
          <w:b/>
          <w:bCs/>
          <w:spacing w:val="-7"/>
          <w:sz w:val="20"/>
          <w:szCs w:val="20"/>
        </w:rPr>
        <w:t>件</w:t>
      </w:r>
      <w:r>
        <w:rPr>
          <w:spacing w:val="-23"/>
          <w:sz w:val="20"/>
          <w:szCs w:val="20"/>
        </w:rPr>
        <w:t xml:space="preserve"> </w:t>
      </w:r>
      <w:r>
        <w:rPr>
          <w:b/>
          <w:bCs/>
          <w:spacing w:val="-7"/>
          <w:sz w:val="20"/>
          <w:szCs w:val="20"/>
        </w:rPr>
        <w:t>可</w:t>
      </w:r>
      <w:r>
        <w:rPr>
          <w:b/>
          <w:bCs/>
          <w:spacing w:val="-9"/>
          <w:sz w:val="20"/>
          <w:szCs w:val="20"/>
        </w:rPr>
        <w:t>能</w:t>
      </w:r>
      <w:r>
        <w:rPr>
          <w:spacing w:val="-13"/>
          <w:sz w:val="20"/>
          <w:szCs w:val="20"/>
        </w:rPr>
        <w:t xml:space="preserve"> </w:t>
      </w:r>
      <w:r>
        <w:rPr>
          <w:b/>
          <w:bCs/>
          <w:spacing w:val="-9"/>
          <w:sz w:val="20"/>
          <w:szCs w:val="20"/>
        </w:rPr>
        <w:t>变</w:t>
      </w:r>
      <w:r>
        <w:rPr>
          <w:spacing w:val="-29"/>
          <w:sz w:val="20"/>
          <w:szCs w:val="20"/>
        </w:rPr>
        <w:t xml:space="preserve"> </w:t>
      </w:r>
      <w:r>
        <w:rPr>
          <w:b/>
          <w:bCs/>
          <w:spacing w:val="-9"/>
          <w:sz w:val="20"/>
          <w:szCs w:val="20"/>
        </w:rPr>
        <w:t>动</w:t>
      </w:r>
      <w:r>
        <w:rPr>
          <w:spacing w:val="-9"/>
          <w:sz w:val="20"/>
          <w:szCs w:val="20"/>
        </w:rPr>
        <w:t xml:space="preserve"> </w:t>
      </w:r>
      <w:r>
        <w:rPr>
          <w:b/>
          <w:bCs/>
          <w:spacing w:val="-9"/>
          <w:sz w:val="20"/>
          <w:szCs w:val="20"/>
        </w:rPr>
        <w:t>的</w:t>
      </w:r>
      <w:r>
        <w:rPr>
          <w:spacing w:val="-9"/>
          <w:sz w:val="20"/>
          <w:szCs w:val="20"/>
        </w:rPr>
        <w:t xml:space="preserve"> </w:t>
      </w:r>
      <w:r>
        <w:rPr>
          <w:b/>
          <w:bCs/>
          <w:spacing w:val="-9"/>
          <w:sz w:val="20"/>
          <w:szCs w:val="20"/>
        </w:rPr>
        <w:t>内</w:t>
      </w:r>
      <w:r>
        <w:rPr>
          <w:spacing w:val="-27"/>
          <w:sz w:val="20"/>
          <w:szCs w:val="20"/>
        </w:rPr>
        <w:t xml:space="preserve"> </w:t>
      </w:r>
      <w:r>
        <w:rPr>
          <w:b/>
          <w:bCs/>
          <w:spacing w:val="-9"/>
          <w:sz w:val="20"/>
          <w:szCs w:val="20"/>
        </w:rPr>
        <w:t>容</w:t>
      </w:r>
      <w:r>
        <w:rPr>
          <w:spacing w:val="-30"/>
          <w:sz w:val="20"/>
          <w:szCs w:val="20"/>
        </w:rPr>
        <w:t xml:space="preserve"> </w:t>
      </w:r>
      <w:r>
        <w:rPr>
          <w:b/>
          <w:bCs/>
          <w:spacing w:val="-9"/>
          <w:sz w:val="20"/>
          <w:szCs w:val="20"/>
        </w:rPr>
        <w:t>在</w:t>
      </w:r>
      <w:r>
        <w:rPr>
          <w:spacing w:val="-31"/>
          <w:sz w:val="20"/>
          <w:szCs w:val="20"/>
        </w:rPr>
        <w:t xml:space="preserve"> </w:t>
      </w:r>
      <w:r>
        <w:rPr>
          <w:b/>
          <w:bCs/>
          <w:spacing w:val="-9"/>
          <w:sz w:val="20"/>
          <w:szCs w:val="20"/>
        </w:rPr>
        <w:t>磋</w:t>
      </w:r>
      <w:r>
        <w:rPr>
          <w:spacing w:val="-25"/>
          <w:sz w:val="20"/>
          <w:szCs w:val="20"/>
        </w:rPr>
        <w:t xml:space="preserve"> </w:t>
      </w:r>
      <w:r>
        <w:rPr>
          <w:b/>
          <w:bCs/>
          <w:spacing w:val="-9"/>
          <w:sz w:val="20"/>
          <w:szCs w:val="20"/>
        </w:rPr>
        <w:t>商</w:t>
      </w:r>
      <w:r>
        <w:rPr>
          <w:spacing w:val="-27"/>
          <w:sz w:val="20"/>
          <w:szCs w:val="20"/>
        </w:rPr>
        <w:t xml:space="preserve"> </w:t>
      </w:r>
      <w:r>
        <w:rPr>
          <w:b/>
          <w:bCs/>
          <w:spacing w:val="-9"/>
          <w:sz w:val="20"/>
          <w:szCs w:val="20"/>
        </w:rPr>
        <w:t>须</w:t>
      </w:r>
      <w:r>
        <w:rPr>
          <w:spacing w:val="-28"/>
          <w:sz w:val="20"/>
          <w:szCs w:val="20"/>
        </w:rPr>
        <w:t xml:space="preserve"> </w:t>
      </w:r>
      <w:r>
        <w:rPr>
          <w:b/>
          <w:bCs/>
          <w:spacing w:val="-9"/>
          <w:sz w:val="20"/>
          <w:szCs w:val="20"/>
        </w:rPr>
        <w:t>知</w:t>
      </w:r>
      <w:r>
        <w:rPr>
          <w:spacing w:val="-26"/>
          <w:sz w:val="20"/>
          <w:szCs w:val="20"/>
        </w:rPr>
        <w:t xml:space="preserve"> </w:t>
      </w:r>
      <w:r>
        <w:rPr>
          <w:b/>
          <w:bCs/>
          <w:spacing w:val="-9"/>
          <w:sz w:val="20"/>
          <w:szCs w:val="20"/>
        </w:rPr>
        <w:t>前</w:t>
      </w:r>
      <w:r>
        <w:rPr>
          <w:spacing w:val="-9"/>
          <w:sz w:val="20"/>
          <w:szCs w:val="20"/>
        </w:rPr>
        <w:t xml:space="preserve"> </w:t>
      </w:r>
      <w:r>
        <w:rPr>
          <w:b/>
          <w:bCs/>
          <w:spacing w:val="-9"/>
          <w:sz w:val="20"/>
          <w:szCs w:val="20"/>
        </w:rPr>
        <w:t>附</w:t>
      </w:r>
      <w:r>
        <w:rPr>
          <w:spacing w:val="-30"/>
          <w:sz w:val="20"/>
          <w:szCs w:val="20"/>
        </w:rPr>
        <w:t xml:space="preserve"> </w:t>
      </w:r>
      <w:r>
        <w:rPr>
          <w:b/>
          <w:bCs/>
          <w:spacing w:val="-9"/>
          <w:sz w:val="20"/>
          <w:szCs w:val="20"/>
        </w:rPr>
        <w:t>表</w:t>
      </w:r>
      <w:r>
        <w:rPr>
          <w:spacing w:val="-10"/>
          <w:sz w:val="20"/>
          <w:szCs w:val="20"/>
        </w:rPr>
        <w:t xml:space="preserve"> </w:t>
      </w:r>
      <w:r>
        <w:rPr>
          <w:b/>
          <w:bCs/>
          <w:spacing w:val="-9"/>
          <w:sz w:val="20"/>
          <w:szCs w:val="20"/>
        </w:rPr>
        <w:t>中</w:t>
      </w:r>
      <w:r>
        <w:rPr>
          <w:spacing w:val="-10"/>
          <w:sz w:val="20"/>
          <w:szCs w:val="20"/>
        </w:rPr>
        <w:t xml:space="preserve"> </w:t>
      </w:r>
      <w:r>
        <w:rPr>
          <w:b/>
          <w:bCs/>
          <w:spacing w:val="-9"/>
          <w:sz w:val="20"/>
          <w:szCs w:val="20"/>
        </w:rPr>
        <w:t>明</w:t>
      </w:r>
      <w:r>
        <w:rPr>
          <w:spacing w:val="-32"/>
          <w:sz w:val="20"/>
          <w:szCs w:val="20"/>
        </w:rPr>
        <w:t xml:space="preserve"> </w:t>
      </w:r>
      <w:r>
        <w:rPr>
          <w:b/>
          <w:bCs/>
          <w:spacing w:val="-9"/>
          <w:sz w:val="20"/>
          <w:szCs w:val="20"/>
        </w:rPr>
        <w:t>确</w:t>
      </w:r>
      <w:r>
        <w:rPr>
          <w:spacing w:val="-37"/>
          <w:sz w:val="20"/>
          <w:szCs w:val="20"/>
        </w:rPr>
        <w:t xml:space="preserve"> </w:t>
      </w:r>
      <w:r>
        <w:rPr>
          <w:b/>
          <w:bCs/>
          <w:spacing w:val="-9"/>
          <w:sz w:val="20"/>
          <w:szCs w:val="20"/>
        </w:rPr>
        <w:t>。</w:t>
      </w: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Gothic">
    <w:panose1 w:val="020B0609070205080204"/>
    <w:charset w:val="86"/>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45DCFF">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8D52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E257B3"/>
    <w:rsid w:val="0D1B63E1"/>
    <w:rsid w:val="15EE05F4"/>
    <w:rsid w:val="17445DD6"/>
    <w:rsid w:val="35F5085E"/>
    <w:rsid w:val="53254E69"/>
    <w:rsid w:val="6DEA7FA1"/>
    <w:rsid w:val="6EA07908"/>
    <w:rsid w:val="7FA75C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3012</Words>
  <Characters>3134</Characters>
  <Lines>0</Lines>
  <Paragraphs>0</Paragraphs>
  <TotalTime>0</TotalTime>
  <ScaleCrop>false</ScaleCrop>
  <LinksUpToDate>false</LinksUpToDate>
  <CharactersWithSpaces>3217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2026-01-27T01:22:00Z</dcterms:created>
  <dc:creator>Administrator</dc:creator>
  <cp:lastModifiedBy>WPS_</cp:lastModifiedBy>
  <dcterms:modified xsi:type="dcterms:W3CDTF">2026-01-27T03:27:43Z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eyJoZGlkIjoiOGU3ZDY0OTgzN2FjMDRiOTM3MmQzMWIzNzkyMjU2NTQiLCJ1c2VySWQiOiIxMTc3MDE2MTg1In0=</vt:lpwstr>
  </property>
  <property fmtid="{D5CDD505-2E9C-101B-9397-08002B2CF9AE}" pid="4" name="ICV">
    <vt:lpwstr>7EABBEAAB4294AEE9365CD5B373C3F3D_12</vt:lpwstr>
  </property>
</Properties>
</file>