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344866">
      <w:pPr>
        <w:keepNext w:val="0"/>
        <w:keepLines w:val="0"/>
        <w:pageBreakBefore w:val="0"/>
        <w:widowControl w:val="0"/>
        <w:kinsoku/>
        <w:wordWrap/>
        <w:overflowPunct/>
        <w:topLinePunct w:val="0"/>
        <w:autoSpaceDE/>
        <w:autoSpaceDN/>
        <w:bidi w:val="0"/>
        <w:adjustRightInd/>
        <w:snapToGrid/>
        <w:spacing w:line="800" w:lineRule="exact"/>
        <w:textAlignment w:val="auto"/>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 xml:space="preserve">                                        </w:t>
      </w:r>
    </w:p>
    <w:p w14:paraId="7556B995">
      <w:pPr>
        <w:keepNext w:val="0"/>
        <w:keepLines w:val="0"/>
        <w:pageBreakBefore w:val="0"/>
        <w:widowControl w:val="0"/>
        <w:kinsoku/>
        <w:wordWrap/>
        <w:overflowPunct/>
        <w:topLinePunct w:val="0"/>
        <w:autoSpaceDE/>
        <w:autoSpaceDN/>
        <w:bidi w:val="0"/>
        <w:adjustRightInd/>
        <w:snapToGrid/>
        <w:spacing w:line="800" w:lineRule="exact"/>
        <w:ind w:firstLine="5280" w:firstLineChars="1650"/>
        <w:textAlignment w:val="auto"/>
        <w:rPr>
          <w:rFonts w:hint="default" w:ascii="Times New Roman" w:hAnsi="Times New Roman" w:eastAsia="仿宋_GB2312" w:cs="Times New Roman"/>
          <w:color w:val="auto"/>
          <w:sz w:val="32"/>
          <w:szCs w:val="32"/>
        </w:rPr>
      </w:pPr>
    </w:p>
    <w:p w14:paraId="314FA06C">
      <w:pPr>
        <w:jc w:val="righ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蒸环评函</w:t>
      </w:r>
      <w:r>
        <w:rPr>
          <w:rFonts w:hint="eastAsia"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202</w:t>
      </w:r>
      <w:r>
        <w:rPr>
          <w:rFonts w:hint="default" w:ascii="Times New Roman" w:hAnsi="Times New Roman" w:eastAsia="仿宋_GB2312" w:cs="Times New Roman"/>
          <w:color w:val="auto"/>
          <w:sz w:val="32"/>
          <w:szCs w:val="32"/>
          <w:lang w:val="en-US" w:eastAsia="zh-CN"/>
        </w:rPr>
        <w:t>5</w:t>
      </w:r>
      <w:r>
        <w:rPr>
          <w:rFonts w:hint="eastAsia" w:ascii="仿宋_GB2312" w:hAnsi="仿宋_GB2312" w:eastAsia="仿宋_GB2312" w:cs="仿宋_GB2312"/>
          <w:color w:val="auto"/>
          <w:sz w:val="32"/>
          <w:szCs w:val="32"/>
          <w:lang w:val="en-US" w:eastAsia="zh-CN"/>
        </w:rPr>
        <w:t>〕</w:t>
      </w:r>
      <w:r>
        <w:rPr>
          <w:rFonts w:hint="eastAsia" w:eastAsia="仿宋_GB2312" w:cs="Times New Roman"/>
          <w:color w:val="auto"/>
          <w:sz w:val="32"/>
          <w:szCs w:val="32"/>
          <w:lang w:val="en-US" w:eastAsia="zh-CN"/>
        </w:rPr>
        <w:t>30</w:t>
      </w:r>
      <w:r>
        <w:rPr>
          <w:rFonts w:hint="default" w:ascii="Times New Roman" w:hAnsi="Times New Roman" w:eastAsia="仿宋_GB2312" w:cs="Times New Roman"/>
          <w:color w:val="auto"/>
          <w:sz w:val="32"/>
          <w:szCs w:val="32"/>
        </w:rPr>
        <w:t>号</w:t>
      </w:r>
    </w:p>
    <w:p w14:paraId="6D22ED6A">
      <w:pPr>
        <w:spacing w:line="280" w:lineRule="exact"/>
        <w:ind w:firstLine="5280" w:firstLineChars="1650"/>
        <w:rPr>
          <w:rFonts w:hint="eastAsia" w:ascii="仿宋_GB2312" w:hAnsi="宋体" w:eastAsia="仿宋_GB2312"/>
          <w:color w:val="auto"/>
          <w:sz w:val="44"/>
          <w:szCs w:val="44"/>
        </w:rPr>
      </w:pPr>
      <w:r>
        <w:rPr>
          <w:rFonts w:hint="eastAsia" w:ascii="仿宋_GB2312" w:hAnsi="宋体" w:eastAsia="仿宋_GB2312"/>
          <w:color w:val="auto"/>
          <w:sz w:val="32"/>
          <w:szCs w:val="32"/>
        </w:rPr>
        <w:t xml:space="preserve">  </w:t>
      </w:r>
    </w:p>
    <w:p w14:paraId="19BB206B">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bCs w:val="0"/>
          <w:color w:val="auto"/>
          <w:sz w:val="44"/>
          <w:szCs w:val="44"/>
        </w:rPr>
      </w:pPr>
      <w:r>
        <w:rPr>
          <w:rFonts w:hint="eastAsia" w:ascii="方正小标宋简体" w:hAnsi="方正小标宋简体" w:eastAsia="方正小标宋简体" w:cs="方正小标宋简体"/>
          <w:b/>
          <w:bCs w:val="0"/>
          <w:color w:val="auto"/>
          <w:sz w:val="44"/>
          <w:szCs w:val="44"/>
        </w:rPr>
        <w:t>衡阳市生态环境局</w:t>
      </w:r>
    </w:p>
    <w:p w14:paraId="122478DF">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bCs w:val="0"/>
          <w:color w:val="auto"/>
          <w:sz w:val="44"/>
          <w:szCs w:val="44"/>
          <w:lang w:eastAsia="zh-CN"/>
        </w:rPr>
      </w:pPr>
      <w:r>
        <w:rPr>
          <w:rFonts w:hint="eastAsia" w:ascii="方正小标宋简体" w:hAnsi="方正小标宋简体" w:eastAsia="方正小标宋简体" w:cs="方正小标宋简体"/>
          <w:b/>
          <w:bCs w:val="0"/>
          <w:color w:val="auto"/>
          <w:sz w:val="44"/>
          <w:szCs w:val="44"/>
          <w:lang w:eastAsia="zh-CN"/>
        </w:rPr>
        <w:t>关于清北能源加油站建设项目环境影响</w:t>
      </w:r>
    </w:p>
    <w:p w14:paraId="6B66A7C1">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bCs w:val="0"/>
          <w:color w:val="auto"/>
          <w:sz w:val="44"/>
          <w:szCs w:val="44"/>
          <w:lang w:eastAsia="zh-CN"/>
        </w:rPr>
      </w:pPr>
      <w:r>
        <w:rPr>
          <w:rFonts w:hint="eastAsia" w:ascii="方正小标宋简体" w:hAnsi="方正小标宋简体" w:eastAsia="方正小标宋简体" w:cs="方正小标宋简体"/>
          <w:b/>
          <w:bCs w:val="0"/>
          <w:color w:val="auto"/>
          <w:sz w:val="44"/>
          <w:szCs w:val="44"/>
          <w:lang w:eastAsia="zh-CN"/>
        </w:rPr>
        <w:t>报告表的批复</w:t>
      </w:r>
    </w:p>
    <w:p w14:paraId="5D655C93">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衡阳清北能源有限公司：</w:t>
      </w:r>
    </w:p>
    <w:p w14:paraId="086E920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你</w:t>
      </w:r>
      <w:r>
        <w:rPr>
          <w:rFonts w:hint="eastAsia" w:ascii="仿宋_GB2312" w:hAnsi="仿宋_GB2312" w:eastAsia="仿宋_GB2312" w:cs="仿宋_GB2312"/>
          <w:color w:val="auto"/>
          <w:sz w:val="32"/>
          <w:szCs w:val="32"/>
          <w:lang w:eastAsia="zh-CN"/>
        </w:rPr>
        <w:t>公司</w:t>
      </w:r>
      <w:r>
        <w:rPr>
          <w:rFonts w:hint="eastAsia" w:ascii="仿宋_GB2312" w:hAnsi="仿宋_GB2312" w:eastAsia="仿宋_GB2312" w:cs="仿宋_GB2312"/>
          <w:color w:val="auto"/>
          <w:sz w:val="32"/>
          <w:szCs w:val="32"/>
        </w:rPr>
        <w:t>《关于</w:t>
      </w:r>
      <w:r>
        <w:rPr>
          <w:rFonts w:hint="eastAsia" w:ascii="仿宋_GB2312" w:hAnsi="仿宋_GB2312" w:eastAsia="仿宋_GB2312" w:cs="仿宋_GB2312"/>
          <w:color w:val="auto"/>
          <w:sz w:val="32"/>
          <w:szCs w:val="32"/>
          <w:lang w:eastAsia="zh-CN"/>
        </w:rPr>
        <w:t>对清北能源加油站建设项目</w:t>
      </w:r>
      <w:r>
        <w:rPr>
          <w:rFonts w:hint="eastAsia" w:ascii="仿宋_GB2312" w:hAnsi="仿宋_GB2312" w:eastAsia="仿宋_GB2312" w:cs="仿宋_GB2312"/>
          <w:color w:val="auto"/>
          <w:sz w:val="32"/>
          <w:szCs w:val="32"/>
        </w:rPr>
        <w:t>环境影响报告表进行批复的请示》和</w:t>
      </w:r>
      <w:r>
        <w:rPr>
          <w:rFonts w:hint="eastAsia" w:ascii="仿宋_GB2312" w:hAnsi="仿宋_GB2312" w:eastAsia="仿宋_GB2312" w:cs="仿宋_GB2312"/>
          <w:color w:val="auto"/>
          <w:sz w:val="32"/>
          <w:szCs w:val="32"/>
          <w:lang w:eastAsia="zh-CN"/>
        </w:rPr>
        <w:t>衡阳朗清环保科技有限公司</w:t>
      </w:r>
      <w:r>
        <w:rPr>
          <w:rFonts w:hint="eastAsia" w:ascii="仿宋_GB2312" w:hAnsi="仿宋_GB2312" w:eastAsia="仿宋_GB2312" w:cs="仿宋_GB2312"/>
          <w:color w:val="auto"/>
          <w:sz w:val="32"/>
          <w:szCs w:val="32"/>
        </w:rPr>
        <w:t>编制的《</w:t>
      </w:r>
      <w:r>
        <w:rPr>
          <w:rFonts w:hint="eastAsia" w:ascii="仿宋_GB2312" w:hAnsi="仿宋_GB2312" w:eastAsia="仿宋_GB2312" w:cs="仿宋_GB2312"/>
          <w:color w:val="auto"/>
          <w:sz w:val="32"/>
          <w:szCs w:val="32"/>
          <w:lang w:eastAsia="zh-CN"/>
        </w:rPr>
        <w:t>清北能源加油站建设项目</w:t>
      </w:r>
      <w:r>
        <w:rPr>
          <w:rFonts w:hint="eastAsia" w:ascii="仿宋_GB2312" w:hAnsi="仿宋_GB2312" w:eastAsia="仿宋_GB2312" w:cs="仿宋_GB2312"/>
          <w:color w:val="auto"/>
          <w:sz w:val="32"/>
          <w:szCs w:val="32"/>
        </w:rPr>
        <w:t>环境影响报告表》</w:t>
      </w:r>
      <w:r>
        <w:rPr>
          <w:rFonts w:hint="eastAsia" w:ascii="仿宋_GB2312" w:hAnsi="仿宋_GB2312" w:eastAsia="仿宋_GB2312" w:cs="仿宋_GB2312"/>
          <w:color w:val="auto"/>
          <w:sz w:val="32"/>
          <w:szCs w:val="32"/>
          <w:lang w:eastAsia="zh-CN"/>
        </w:rPr>
        <w:t>（报批稿）</w:t>
      </w:r>
      <w:r>
        <w:rPr>
          <w:rFonts w:hint="eastAsia" w:ascii="仿宋_GB2312" w:hAnsi="仿宋_GB2312" w:eastAsia="仿宋_GB2312" w:cs="仿宋_GB2312"/>
          <w:color w:val="auto"/>
          <w:sz w:val="32"/>
          <w:szCs w:val="32"/>
        </w:rPr>
        <w:t>及专家组评审意见均收悉，经研究，批复如下</w:t>
      </w:r>
      <w:r>
        <w:rPr>
          <w:rFonts w:hint="eastAsia" w:ascii="仿宋_GB2312" w:hAnsi="仿宋_GB2312" w:eastAsia="仿宋_GB2312" w:cs="仿宋_GB2312"/>
          <w:color w:val="auto"/>
          <w:sz w:val="32"/>
          <w:szCs w:val="32"/>
          <w:lang w:eastAsia="zh-CN"/>
        </w:rPr>
        <w:t>：</w:t>
      </w:r>
    </w:p>
    <w:p w14:paraId="1DC3440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w:t>
      </w:r>
      <w:r>
        <w:rPr>
          <w:rFonts w:hint="eastAsia" w:ascii="仿宋_GB2312" w:hAnsi="仿宋_GB2312" w:eastAsia="仿宋_GB2312" w:cs="仿宋_GB2312"/>
          <w:color w:val="auto"/>
          <w:sz w:val="32"/>
          <w:szCs w:val="32"/>
          <w:lang w:eastAsia="zh-CN"/>
        </w:rPr>
        <w:t>衡阳清北能源有限公司</w:t>
      </w:r>
      <w:r>
        <w:rPr>
          <w:rFonts w:hint="eastAsia" w:ascii="仿宋_GB2312" w:hAnsi="仿宋_GB2312" w:eastAsia="仿宋_GB2312" w:cs="仿宋_GB2312"/>
          <w:color w:val="auto"/>
          <w:sz w:val="32"/>
          <w:szCs w:val="32"/>
        </w:rPr>
        <w:t>总投资</w:t>
      </w:r>
      <w:r>
        <w:rPr>
          <w:rFonts w:hint="eastAsia" w:ascii="仿宋_GB2312" w:hAnsi="仿宋_GB2312" w:eastAsia="仿宋_GB2312" w:cs="仿宋_GB2312"/>
          <w:color w:val="auto"/>
          <w:sz w:val="32"/>
          <w:szCs w:val="32"/>
          <w:highlight w:val="none"/>
          <w:lang w:val="en-US" w:eastAsia="zh-CN"/>
        </w:rPr>
        <w:t>2000</w:t>
      </w:r>
      <w:r>
        <w:rPr>
          <w:rFonts w:hint="eastAsia" w:ascii="仿宋_GB2312" w:hAnsi="仿宋_GB2312" w:eastAsia="仿宋_GB2312" w:cs="仿宋_GB2312"/>
          <w:color w:val="auto"/>
          <w:sz w:val="32"/>
          <w:szCs w:val="32"/>
        </w:rPr>
        <w:t>万元，在</w:t>
      </w:r>
      <w:r>
        <w:rPr>
          <w:rFonts w:hint="eastAsia" w:ascii="仿宋_GB2312" w:hAnsi="仿宋_GB2312" w:eastAsia="仿宋_GB2312" w:cs="仿宋_GB2312"/>
          <w:color w:val="auto"/>
          <w:sz w:val="32"/>
          <w:szCs w:val="32"/>
          <w:highlight w:val="none"/>
        </w:rPr>
        <w:t>衡阳县西渡镇三联社区德胜组</w:t>
      </w:r>
      <w:r>
        <w:rPr>
          <w:rFonts w:hint="eastAsia" w:ascii="仿宋_GB2312" w:hAnsi="仿宋_GB2312" w:eastAsia="仿宋_GB2312" w:cs="仿宋_GB2312"/>
          <w:color w:val="auto"/>
          <w:sz w:val="32"/>
          <w:szCs w:val="32"/>
        </w:rPr>
        <w:t>建设</w:t>
      </w:r>
      <w:r>
        <w:rPr>
          <w:rFonts w:hint="eastAsia" w:ascii="仿宋_GB2312" w:hAnsi="仿宋_GB2312" w:eastAsia="仿宋_GB2312" w:cs="仿宋_GB2312"/>
          <w:color w:val="auto"/>
          <w:sz w:val="32"/>
          <w:szCs w:val="32"/>
          <w:lang w:eastAsia="zh-CN"/>
        </w:rPr>
        <w:t>清北能源加油站</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项目总占地面积3344.55</w:t>
      </w:r>
      <w:r>
        <w:rPr>
          <w:rFonts w:hint="eastAsia" w:ascii="仿宋_GB2312" w:hAnsi="仿宋_GB2312" w:eastAsia="仿宋_GB2312" w:cs="仿宋_GB2312"/>
          <w:color w:val="auto"/>
          <w:sz w:val="32"/>
          <w:szCs w:val="32"/>
          <w:highlight w:val="none"/>
        </w:rPr>
        <w:t>m</w:t>
      </w:r>
      <w:r>
        <w:rPr>
          <w:rFonts w:hint="eastAsia" w:ascii="仿宋_GB2312" w:hAnsi="仿宋_GB2312" w:eastAsia="仿宋_GB2312" w:cs="仿宋_GB2312"/>
          <w:color w:val="auto"/>
          <w:sz w:val="32"/>
          <w:szCs w:val="32"/>
          <w:highlight w:val="none"/>
          <w:vertAlign w:val="superscript"/>
        </w:rPr>
        <w:t>2</w:t>
      </w:r>
      <w:r>
        <w:rPr>
          <w:rFonts w:hint="eastAsia" w:ascii="仿宋_GB2312" w:hAnsi="仿宋_GB2312" w:eastAsia="仿宋_GB2312" w:cs="仿宋_GB2312"/>
          <w:color w:val="auto"/>
          <w:sz w:val="32"/>
          <w:szCs w:val="32"/>
          <w:lang w:eastAsia="zh-CN"/>
        </w:rPr>
        <w:t>，主要建设内容包括：(1)储油区：4个固定地下储油罐，分别是2个40</w:t>
      </w:r>
      <w:r>
        <w:rPr>
          <w:rFonts w:hint="eastAsia" w:ascii="仿宋_GB2312" w:hAnsi="仿宋_GB2312" w:eastAsia="仿宋_GB2312" w:cs="仿宋_GB2312"/>
          <w:color w:val="auto"/>
          <w:sz w:val="32"/>
          <w:szCs w:val="32"/>
          <w:highlight w:val="none"/>
        </w:rPr>
        <w:t>m</w:t>
      </w:r>
      <w:r>
        <w:rPr>
          <w:rFonts w:hint="eastAsia" w:ascii="仿宋_GB2312" w:hAnsi="仿宋_GB2312" w:eastAsia="仿宋_GB2312" w:cs="仿宋_GB2312"/>
          <w:color w:val="auto"/>
          <w:sz w:val="32"/>
          <w:szCs w:val="32"/>
          <w:highlight w:val="none"/>
          <w:vertAlign w:val="superscript"/>
        </w:rPr>
        <w:t>2</w:t>
      </w:r>
      <w:r>
        <w:rPr>
          <w:rFonts w:hint="eastAsia" w:ascii="仿宋_GB2312" w:hAnsi="仿宋_GB2312" w:eastAsia="仿宋_GB2312" w:cs="仿宋_GB2312"/>
          <w:color w:val="auto"/>
          <w:sz w:val="32"/>
          <w:szCs w:val="32"/>
          <w:lang w:eastAsia="zh-CN"/>
        </w:rPr>
        <w:t>的92#汽油罐，1个40m</w:t>
      </w:r>
      <w:r>
        <w:rPr>
          <w:rFonts w:hint="eastAsia" w:ascii="仿宋_GB2312" w:hAnsi="仿宋_GB2312" w:eastAsia="仿宋_GB2312" w:cs="仿宋_GB2312"/>
          <w:color w:val="auto"/>
          <w:sz w:val="32"/>
          <w:szCs w:val="32"/>
          <w:vertAlign w:val="superscript"/>
          <w:lang w:eastAsia="zh-CN"/>
        </w:rPr>
        <w:t>3</w:t>
      </w:r>
      <w:r>
        <w:rPr>
          <w:rFonts w:hint="eastAsia" w:ascii="仿宋_GB2312" w:hAnsi="仿宋_GB2312" w:eastAsia="仿宋_GB2312" w:cs="仿宋_GB2312"/>
          <w:color w:val="auto"/>
          <w:sz w:val="32"/>
          <w:szCs w:val="32"/>
          <w:lang w:eastAsia="zh-CN"/>
        </w:rPr>
        <w:t>的95#汽油罐和1个50m</w:t>
      </w:r>
      <w:r>
        <w:rPr>
          <w:rFonts w:hint="eastAsia" w:ascii="仿宋_GB2312" w:hAnsi="仿宋_GB2312" w:eastAsia="仿宋_GB2312" w:cs="仿宋_GB2312"/>
          <w:color w:val="auto"/>
          <w:sz w:val="32"/>
          <w:szCs w:val="32"/>
          <w:vertAlign w:val="superscript"/>
          <w:lang w:eastAsia="zh-CN"/>
        </w:rPr>
        <w:t>3</w:t>
      </w:r>
      <w:r>
        <w:rPr>
          <w:rFonts w:hint="eastAsia" w:ascii="仿宋_GB2312" w:hAnsi="仿宋_GB2312" w:eastAsia="仿宋_GB2312" w:cs="仿宋_GB2312"/>
          <w:color w:val="auto"/>
          <w:sz w:val="32"/>
          <w:szCs w:val="32"/>
          <w:lang w:eastAsia="zh-CN"/>
        </w:rPr>
        <w:t>的0#柴油罐，均为埋地内钢外玻璃纤维增强塑料双层油罐，设置在防渗池内；(2)加油岛：加油岛罩棚占地面积660</w:t>
      </w:r>
      <w:r>
        <w:rPr>
          <w:rFonts w:hint="eastAsia" w:ascii="仿宋_GB2312" w:hAnsi="仿宋_GB2312" w:eastAsia="仿宋_GB2312" w:cs="仿宋_GB2312"/>
          <w:color w:val="auto"/>
          <w:sz w:val="32"/>
          <w:szCs w:val="32"/>
          <w:highlight w:val="none"/>
        </w:rPr>
        <w:t>m</w:t>
      </w:r>
      <w:r>
        <w:rPr>
          <w:rFonts w:hint="eastAsia" w:ascii="仿宋_GB2312" w:hAnsi="仿宋_GB2312" w:eastAsia="仿宋_GB2312" w:cs="仿宋_GB2312"/>
          <w:color w:val="auto"/>
          <w:sz w:val="32"/>
          <w:szCs w:val="32"/>
          <w:highlight w:val="none"/>
          <w:vertAlign w:val="superscript"/>
        </w:rPr>
        <w:t>2</w:t>
      </w:r>
      <w:r>
        <w:rPr>
          <w:rFonts w:hint="eastAsia" w:ascii="仿宋_GB2312" w:hAnsi="仿宋_GB2312" w:eastAsia="仿宋_GB2312" w:cs="仿宋_GB2312"/>
          <w:color w:val="auto"/>
          <w:sz w:val="32"/>
          <w:szCs w:val="32"/>
          <w:lang w:eastAsia="zh-CN"/>
        </w:rPr>
        <w:t>，设4台潜泵加油机；(3)站房：占地面积240</w:t>
      </w:r>
      <w:r>
        <w:rPr>
          <w:rFonts w:hint="eastAsia" w:ascii="仿宋_GB2312" w:hAnsi="仿宋_GB2312" w:eastAsia="仿宋_GB2312" w:cs="仿宋_GB2312"/>
          <w:color w:val="auto"/>
          <w:sz w:val="32"/>
          <w:szCs w:val="32"/>
          <w:highlight w:val="none"/>
        </w:rPr>
        <w:t>m</w:t>
      </w:r>
      <w:r>
        <w:rPr>
          <w:rFonts w:hint="eastAsia" w:ascii="仿宋_GB2312" w:hAnsi="仿宋_GB2312" w:eastAsia="仿宋_GB2312" w:cs="仿宋_GB2312"/>
          <w:color w:val="auto"/>
          <w:sz w:val="32"/>
          <w:szCs w:val="32"/>
          <w:highlight w:val="none"/>
          <w:vertAlign w:val="superscript"/>
        </w:rPr>
        <w:t>2</w:t>
      </w:r>
      <w:r>
        <w:rPr>
          <w:rFonts w:hint="eastAsia" w:ascii="仿宋_GB2312" w:hAnsi="仿宋_GB2312" w:eastAsia="仿宋_GB2312" w:cs="仿宋_GB2312"/>
          <w:color w:val="auto"/>
          <w:sz w:val="32"/>
          <w:szCs w:val="32"/>
          <w:lang w:eastAsia="zh-CN"/>
        </w:rPr>
        <w:t>,建筑面积393.92</w:t>
      </w:r>
      <w:r>
        <w:rPr>
          <w:rFonts w:hint="eastAsia" w:ascii="仿宋_GB2312" w:hAnsi="仿宋_GB2312" w:eastAsia="仿宋_GB2312" w:cs="仿宋_GB2312"/>
          <w:color w:val="auto"/>
          <w:sz w:val="32"/>
          <w:szCs w:val="32"/>
          <w:highlight w:val="none"/>
        </w:rPr>
        <w:t>m</w:t>
      </w:r>
      <w:r>
        <w:rPr>
          <w:rFonts w:hint="eastAsia" w:ascii="仿宋_GB2312" w:hAnsi="仿宋_GB2312" w:eastAsia="仿宋_GB2312" w:cs="仿宋_GB2312"/>
          <w:color w:val="auto"/>
          <w:sz w:val="32"/>
          <w:szCs w:val="32"/>
          <w:highlight w:val="none"/>
          <w:vertAlign w:val="superscript"/>
        </w:rPr>
        <w:t>2</w:t>
      </w:r>
      <w:r>
        <w:rPr>
          <w:rFonts w:hint="eastAsia" w:ascii="仿宋_GB2312" w:hAnsi="仿宋_GB2312" w:eastAsia="仿宋_GB2312" w:cs="仿宋_GB2312"/>
          <w:color w:val="auto"/>
          <w:sz w:val="32"/>
          <w:szCs w:val="32"/>
          <w:lang w:eastAsia="zh-CN"/>
        </w:rPr>
        <w:t>，由营业厅、办公室、配电间组成、设便利店(主要销售水，零食，饮料，燃油宝等商品)等；(4)辅助用房：占地面积72</w:t>
      </w:r>
      <w:r>
        <w:rPr>
          <w:rFonts w:hint="eastAsia" w:ascii="仿宋_GB2312" w:hAnsi="仿宋_GB2312" w:eastAsia="仿宋_GB2312" w:cs="仿宋_GB2312"/>
          <w:color w:val="auto"/>
          <w:sz w:val="32"/>
          <w:szCs w:val="32"/>
          <w:highlight w:val="none"/>
        </w:rPr>
        <w:t>m</w:t>
      </w:r>
      <w:r>
        <w:rPr>
          <w:rFonts w:hint="eastAsia" w:ascii="仿宋_GB2312" w:hAnsi="仿宋_GB2312" w:eastAsia="仿宋_GB2312" w:cs="仿宋_GB2312"/>
          <w:color w:val="auto"/>
          <w:sz w:val="32"/>
          <w:szCs w:val="32"/>
          <w:highlight w:val="none"/>
          <w:vertAlign w:val="superscript"/>
        </w:rPr>
        <w:t>2</w:t>
      </w:r>
      <w:r>
        <w:rPr>
          <w:rFonts w:hint="eastAsia" w:ascii="仿宋_GB2312" w:hAnsi="仿宋_GB2312" w:eastAsia="仿宋_GB2312" w:cs="仿宋_GB2312"/>
          <w:color w:val="auto"/>
          <w:sz w:val="32"/>
          <w:szCs w:val="32"/>
          <w:lang w:eastAsia="zh-CN"/>
        </w:rPr>
        <w:t>，设卫生间等配套用房；(5)洗车房：占地面积24</w:t>
      </w:r>
      <w:r>
        <w:rPr>
          <w:rFonts w:hint="eastAsia" w:ascii="仿宋_GB2312" w:hAnsi="仿宋_GB2312" w:eastAsia="仿宋_GB2312" w:cs="仿宋_GB2312"/>
          <w:color w:val="auto"/>
          <w:sz w:val="32"/>
          <w:szCs w:val="32"/>
          <w:highlight w:val="none"/>
        </w:rPr>
        <w:t>m</w:t>
      </w:r>
      <w:r>
        <w:rPr>
          <w:rFonts w:hint="eastAsia" w:ascii="仿宋_GB2312" w:hAnsi="仿宋_GB2312" w:eastAsia="仿宋_GB2312" w:cs="仿宋_GB2312"/>
          <w:color w:val="auto"/>
          <w:sz w:val="32"/>
          <w:szCs w:val="32"/>
          <w:highlight w:val="none"/>
          <w:vertAlign w:val="superscript"/>
        </w:rPr>
        <w:t>2</w:t>
      </w:r>
      <w:r>
        <w:rPr>
          <w:rFonts w:hint="eastAsia" w:ascii="仿宋_GB2312" w:hAnsi="仿宋_GB2312" w:eastAsia="仿宋_GB2312" w:cs="仿宋_GB2312"/>
          <w:color w:val="auto"/>
          <w:sz w:val="32"/>
          <w:szCs w:val="32"/>
          <w:lang w:eastAsia="zh-CN"/>
        </w:rPr>
        <w:t>。项目年销售92#汽油1200t,95#汽油600t,0#柴油1000t</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本加油站属于</w:t>
      </w:r>
      <w:r>
        <w:rPr>
          <w:rFonts w:hint="eastAsia" w:ascii="仿宋_GB2312" w:hAnsi="仿宋_GB2312" w:eastAsia="仿宋_GB2312" w:cs="仿宋_GB2312"/>
          <w:color w:val="auto"/>
          <w:sz w:val="32"/>
          <w:szCs w:val="32"/>
          <w:lang w:eastAsia="zh-CN"/>
        </w:rPr>
        <w:t>二</w:t>
      </w:r>
      <w:r>
        <w:rPr>
          <w:rFonts w:hint="eastAsia" w:ascii="仿宋_GB2312" w:hAnsi="仿宋_GB2312" w:eastAsia="仿宋_GB2312" w:cs="仿宋_GB2312"/>
          <w:color w:val="auto"/>
          <w:sz w:val="32"/>
          <w:szCs w:val="32"/>
        </w:rPr>
        <w:t>级加油站</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该项目建设符合国家产业政策，选址基本合理。根据</w:t>
      </w:r>
      <w:r>
        <w:rPr>
          <w:rFonts w:hint="eastAsia" w:ascii="仿宋_GB2312" w:hAnsi="仿宋_GB2312" w:eastAsia="仿宋_GB2312" w:cs="仿宋_GB2312"/>
          <w:color w:val="auto"/>
          <w:sz w:val="32"/>
          <w:szCs w:val="32"/>
          <w:lang w:eastAsia="zh-CN"/>
        </w:rPr>
        <w:t>衡阳朗清环保科技</w:t>
      </w:r>
      <w:bookmarkStart w:id="0" w:name="_GoBack"/>
      <w:bookmarkEnd w:id="0"/>
      <w:r>
        <w:rPr>
          <w:rFonts w:hint="eastAsia" w:ascii="仿宋_GB2312" w:hAnsi="仿宋_GB2312" w:eastAsia="仿宋_GB2312" w:cs="仿宋_GB2312"/>
          <w:color w:val="auto"/>
          <w:sz w:val="32"/>
          <w:szCs w:val="32"/>
          <w:lang w:eastAsia="zh-CN"/>
        </w:rPr>
        <w:t>有限公司</w:t>
      </w:r>
      <w:r>
        <w:rPr>
          <w:rFonts w:hint="eastAsia" w:ascii="仿宋_GB2312" w:hAnsi="仿宋_GB2312" w:eastAsia="仿宋_GB2312" w:cs="仿宋_GB2312"/>
          <w:color w:val="auto"/>
          <w:sz w:val="32"/>
          <w:szCs w:val="32"/>
        </w:rPr>
        <w:t>编制的环境影响报告表的分析结论和专家组评审意见，在建设单位严格执行环保“三同时”制度，切实落实各项污染防治措施的情况下，从环保的角度分析，同意该项目建设。本《报告表》可作为项目建设和环境管理的依据。</w:t>
      </w:r>
    </w:p>
    <w:p w14:paraId="7272DB6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二、项目在建设和管理过程中必须按照环保“三同时”制度的要求，落实污染防治措施，并在项目建设和营运中应</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着重注意以下问题</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 xml:space="preserve">                   </w:t>
      </w:r>
    </w:p>
    <w:p w14:paraId="1D77659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(一)加强废气的污染防治。必须加强</w:t>
      </w:r>
      <w:r>
        <w:rPr>
          <w:rFonts w:hint="eastAsia" w:ascii="仿宋_GB2312" w:hAnsi="仿宋_GB2312" w:eastAsia="仿宋_GB2312" w:cs="仿宋_GB2312"/>
          <w:color w:val="auto"/>
          <w:sz w:val="32"/>
          <w:szCs w:val="32"/>
          <w:lang w:eastAsia="zh-CN"/>
        </w:rPr>
        <w:t>埋进式</w:t>
      </w:r>
      <w:r>
        <w:rPr>
          <w:rFonts w:hint="eastAsia" w:ascii="仿宋_GB2312" w:hAnsi="仿宋_GB2312" w:eastAsia="仿宋_GB2312" w:cs="仿宋_GB2312"/>
          <w:color w:val="auto"/>
          <w:sz w:val="32"/>
          <w:szCs w:val="32"/>
          <w:highlight w:val="none"/>
          <w:u w:val="none"/>
          <w:lang w:val="en-US" w:eastAsia="zh-CN"/>
        </w:rPr>
        <w:t>储油罐</w:t>
      </w:r>
      <w:r>
        <w:rPr>
          <w:rFonts w:hint="eastAsia" w:ascii="仿宋_GB2312" w:hAnsi="仿宋_GB2312" w:eastAsia="仿宋_GB2312" w:cs="仿宋_GB2312"/>
          <w:color w:val="auto"/>
          <w:sz w:val="32"/>
          <w:szCs w:val="32"/>
        </w:rPr>
        <w:t>的密闭性</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油罐车卸油采取密闭卸油方式</w:t>
      </w:r>
      <w:r>
        <w:rPr>
          <w:rFonts w:hint="eastAsia" w:ascii="仿宋_GB2312" w:hAnsi="仿宋_GB2312" w:eastAsia="仿宋_GB2312" w:cs="仿宋_GB2312"/>
          <w:color w:val="auto"/>
          <w:sz w:val="32"/>
          <w:szCs w:val="32"/>
          <w:lang w:eastAsia="zh-CN"/>
        </w:rPr>
        <w:t>；卸油、加油、储油过程中产生的废气</w:t>
      </w:r>
      <w:r>
        <w:rPr>
          <w:rFonts w:hint="eastAsia" w:ascii="仿宋_GB2312" w:hAnsi="仿宋_GB2312" w:eastAsia="仿宋_GB2312" w:cs="仿宋_GB2312"/>
          <w:color w:val="auto"/>
          <w:sz w:val="32"/>
          <w:szCs w:val="32"/>
        </w:rPr>
        <w:t>必须通过油气回收装置进行收集处理。</w:t>
      </w:r>
    </w:p>
    <w:p w14:paraId="0246B31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(二)加强废水的污染防治。应采取雨污分流制，地面清洁废水经隔油池预处理</w:t>
      </w:r>
      <w:r>
        <w:rPr>
          <w:rFonts w:hint="eastAsia" w:ascii="仿宋_GB2312" w:hAnsi="仿宋_GB2312" w:eastAsia="仿宋_GB2312" w:cs="仿宋_GB2312"/>
          <w:color w:val="auto"/>
          <w:sz w:val="32"/>
          <w:szCs w:val="32"/>
          <w:lang w:eastAsia="zh-CN"/>
        </w:rPr>
        <w:t>后</w:t>
      </w:r>
      <w:r>
        <w:rPr>
          <w:rFonts w:hint="eastAsia" w:ascii="仿宋_GB2312" w:hAnsi="仿宋_GB2312" w:eastAsia="仿宋_GB2312" w:cs="仿宋_GB2312"/>
          <w:color w:val="auto"/>
          <w:sz w:val="32"/>
          <w:szCs w:val="32"/>
        </w:rPr>
        <w:t>，通过水封井排入市政污水管网</w:t>
      </w:r>
      <w:r>
        <w:rPr>
          <w:rFonts w:hint="eastAsia" w:ascii="仿宋_GB2312" w:hAnsi="仿宋_GB2312" w:eastAsia="仿宋_GB2312" w:cs="仿宋_GB2312"/>
          <w:color w:val="auto"/>
          <w:sz w:val="32"/>
          <w:szCs w:val="32"/>
          <w:lang w:eastAsia="zh-CN"/>
        </w:rPr>
        <w:t>，经</w:t>
      </w:r>
      <w:r>
        <w:rPr>
          <w:rFonts w:hint="eastAsia" w:ascii="仿宋_GB2312" w:hAnsi="仿宋_GB2312" w:eastAsia="仿宋_GB2312" w:cs="仿宋_GB2312"/>
          <w:color w:val="auto"/>
          <w:sz w:val="32"/>
          <w:szCs w:val="32"/>
        </w:rPr>
        <w:t>衡阳西渡</w:t>
      </w:r>
      <w:r>
        <w:rPr>
          <w:rFonts w:hint="eastAsia" w:ascii="仿宋_GB2312" w:hAnsi="仿宋_GB2312" w:eastAsia="仿宋_GB2312" w:cs="仿宋_GB2312"/>
          <w:color w:val="auto"/>
          <w:sz w:val="32"/>
          <w:szCs w:val="32"/>
          <w:lang w:eastAsia="zh-CN"/>
        </w:rPr>
        <w:t>高新技术产业开发区</w:t>
      </w:r>
      <w:r>
        <w:rPr>
          <w:rFonts w:hint="eastAsia" w:ascii="仿宋_GB2312" w:hAnsi="仿宋_GB2312" w:eastAsia="仿宋_GB2312" w:cs="仿宋_GB2312"/>
          <w:color w:val="auto"/>
          <w:sz w:val="32"/>
          <w:szCs w:val="32"/>
        </w:rPr>
        <w:t>污水处理厂处理</w:t>
      </w:r>
      <w:r>
        <w:rPr>
          <w:rFonts w:hint="eastAsia" w:ascii="仿宋_GB2312" w:hAnsi="仿宋_GB2312" w:eastAsia="仿宋_GB2312" w:cs="仿宋_GB2312"/>
          <w:color w:val="auto"/>
          <w:sz w:val="32"/>
          <w:szCs w:val="32"/>
          <w:lang w:eastAsia="zh-CN"/>
        </w:rPr>
        <w:t>达标后排至蒸水；</w:t>
      </w:r>
      <w:r>
        <w:rPr>
          <w:rFonts w:hint="eastAsia" w:ascii="仿宋_GB2312" w:hAnsi="仿宋_GB2312" w:eastAsia="仿宋_GB2312" w:cs="仿宋_GB2312"/>
          <w:color w:val="auto"/>
          <w:sz w:val="32"/>
          <w:szCs w:val="32"/>
        </w:rPr>
        <w:t>经化粪池预处理达标后</w:t>
      </w:r>
      <w:r>
        <w:rPr>
          <w:rFonts w:hint="eastAsia" w:ascii="仿宋_GB2312" w:hAnsi="仿宋_GB2312" w:eastAsia="仿宋_GB2312" w:cs="仿宋_GB2312"/>
          <w:color w:val="auto"/>
          <w:sz w:val="32"/>
          <w:szCs w:val="32"/>
          <w:lang w:eastAsia="zh-CN"/>
        </w:rPr>
        <w:t>的</w:t>
      </w:r>
      <w:r>
        <w:rPr>
          <w:rFonts w:hint="eastAsia" w:ascii="仿宋_GB2312" w:hAnsi="仿宋_GB2312" w:eastAsia="仿宋_GB2312" w:cs="仿宋_GB2312"/>
          <w:color w:val="auto"/>
          <w:sz w:val="32"/>
          <w:szCs w:val="32"/>
        </w:rPr>
        <w:t>生活污水</w:t>
      </w:r>
      <w:r>
        <w:rPr>
          <w:rFonts w:hint="eastAsia" w:ascii="仿宋_GB2312" w:hAnsi="仿宋_GB2312" w:eastAsia="仿宋_GB2312" w:cs="仿宋_GB2312"/>
          <w:color w:val="auto"/>
          <w:sz w:val="32"/>
          <w:szCs w:val="32"/>
          <w:lang w:eastAsia="zh-CN"/>
        </w:rPr>
        <w:t>与</w:t>
      </w:r>
      <w:r>
        <w:rPr>
          <w:rFonts w:hint="eastAsia" w:ascii="仿宋_GB2312" w:hAnsi="仿宋_GB2312" w:eastAsia="仿宋_GB2312" w:cs="仿宋_GB2312"/>
          <w:color w:val="auto"/>
          <w:sz w:val="32"/>
          <w:szCs w:val="32"/>
        </w:rPr>
        <w:t>经洗车隔油沉淀池预处理后</w:t>
      </w:r>
      <w:r>
        <w:rPr>
          <w:rFonts w:hint="eastAsia" w:ascii="仿宋_GB2312" w:hAnsi="仿宋_GB2312" w:eastAsia="仿宋_GB2312" w:cs="仿宋_GB2312"/>
          <w:color w:val="auto"/>
          <w:sz w:val="32"/>
          <w:szCs w:val="32"/>
          <w:lang w:eastAsia="zh-CN"/>
        </w:rPr>
        <w:t>的</w:t>
      </w:r>
      <w:r>
        <w:rPr>
          <w:rFonts w:hint="eastAsia" w:ascii="仿宋_GB2312" w:hAnsi="仿宋_GB2312" w:eastAsia="仿宋_GB2312" w:cs="仿宋_GB2312"/>
          <w:color w:val="auto"/>
          <w:sz w:val="32"/>
          <w:szCs w:val="32"/>
        </w:rPr>
        <w:t>洗车废水排入市政污水管网</w:t>
      </w:r>
      <w:r>
        <w:rPr>
          <w:rFonts w:hint="eastAsia" w:ascii="仿宋_GB2312" w:hAnsi="仿宋_GB2312" w:eastAsia="仿宋_GB2312" w:cs="仿宋_GB2312"/>
          <w:color w:val="auto"/>
          <w:sz w:val="32"/>
          <w:szCs w:val="32"/>
          <w:lang w:eastAsia="zh-CN"/>
        </w:rPr>
        <w:t>经</w:t>
      </w:r>
      <w:r>
        <w:rPr>
          <w:rFonts w:hint="eastAsia" w:ascii="仿宋_GB2312" w:hAnsi="仿宋_GB2312" w:eastAsia="仿宋_GB2312" w:cs="仿宋_GB2312"/>
          <w:color w:val="auto"/>
          <w:sz w:val="32"/>
          <w:szCs w:val="32"/>
        </w:rPr>
        <w:t>衡阳西渡</w:t>
      </w:r>
      <w:r>
        <w:rPr>
          <w:rFonts w:hint="eastAsia" w:ascii="仿宋_GB2312" w:hAnsi="仿宋_GB2312" w:eastAsia="仿宋_GB2312" w:cs="仿宋_GB2312"/>
          <w:color w:val="auto"/>
          <w:sz w:val="32"/>
          <w:szCs w:val="32"/>
          <w:lang w:eastAsia="zh-CN"/>
        </w:rPr>
        <w:t>高新技术产业开发区</w:t>
      </w:r>
      <w:r>
        <w:rPr>
          <w:rFonts w:hint="eastAsia" w:ascii="仿宋_GB2312" w:hAnsi="仿宋_GB2312" w:eastAsia="仿宋_GB2312" w:cs="仿宋_GB2312"/>
          <w:color w:val="auto"/>
          <w:sz w:val="32"/>
          <w:szCs w:val="32"/>
        </w:rPr>
        <w:t>污水处理厂处理</w:t>
      </w:r>
      <w:r>
        <w:rPr>
          <w:rFonts w:hint="eastAsia" w:ascii="仿宋_GB2312" w:hAnsi="仿宋_GB2312" w:eastAsia="仿宋_GB2312" w:cs="仿宋_GB2312"/>
          <w:color w:val="auto"/>
          <w:sz w:val="32"/>
          <w:szCs w:val="32"/>
          <w:lang w:eastAsia="zh-CN"/>
        </w:rPr>
        <w:t>达标后排至蒸水</w:t>
      </w:r>
      <w:r>
        <w:rPr>
          <w:rFonts w:hint="eastAsia" w:ascii="仿宋_GB2312" w:hAnsi="仿宋_GB2312" w:eastAsia="仿宋_GB2312" w:cs="仿宋_GB2312"/>
          <w:color w:val="auto"/>
          <w:sz w:val="32"/>
          <w:szCs w:val="32"/>
        </w:rPr>
        <w:t>。</w:t>
      </w:r>
    </w:p>
    <w:p w14:paraId="0CFB0A18">
      <w:pPr>
        <w:pStyle w:val="9"/>
        <w:keepNext w:val="0"/>
        <w:keepLines w:val="0"/>
        <w:pageBreakBefore w:val="0"/>
        <w:kinsoku/>
        <w:wordWrap/>
        <w:overflowPunct/>
        <w:topLinePunct w:val="0"/>
        <w:autoSpaceDE/>
        <w:autoSpaceDN/>
        <w:bidi w:val="0"/>
        <w:spacing w:line="600" w:lineRule="exact"/>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(三)加强固体废弃物的污染防治。油罐清洗废油渣和隔油池泥</w:t>
      </w:r>
      <w:r>
        <w:rPr>
          <w:rFonts w:hint="eastAsia" w:ascii="仿宋_GB2312" w:hAnsi="仿宋_GB2312" w:eastAsia="仿宋_GB2312" w:cs="仿宋_GB2312"/>
          <w:color w:val="auto"/>
          <w:sz w:val="32"/>
          <w:szCs w:val="32"/>
          <w:lang w:eastAsia="zh-CN"/>
        </w:rPr>
        <w:t>与有资质单位签订清运协议，即清即运，厂区不暂存；</w:t>
      </w:r>
      <w:r>
        <w:rPr>
          <w:rFonts w:hint="eastAsia" w:ascii="仿宋_GB2312" w:hAnsi="仿宋_GB2312" w:eastAsia="仿宋_GB2312" w:cs="仿宋_GB2312"/>
          <w:color w:val="auto"/>
          <w:sz w:val="32"/>
          <w:szCs w:val="32"/>
          <w:lang w:val="en-US" w:eastAsia="zh-CN"/>
        </w:rPr>
        <w:t>洗车机废滚刷外售物资公司回收利用；废弃含油抹布和手套、燃油宝等添加剂废包装物、油气回收废膜等属于危废，应按相关要求做好暂存工作，并定期交由有资质的单位处置；洗车沉淀池沉渣</w:t>
      </w:r>
      <w:r>
        <w:rPr>
          <w:rFonts w:hint="default" w:ascii="仿宋_GB2312" w:hAnsi="仿宋_GB2312" w:eastAsia="仿宋_GB2312" w:cs="仿宋_GB2312"/>
          <w:color w:val="auto"/>
          <w:sz w:val="32"/>
          <w:szCs w:val="32"/>
          <w:lang w:val="en-US" w:eastAsia="zh-CN"/>
        </w:rPr>
        <w:t>沥干后由环卫部门清运处置</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生活垃圾集中收集</w:t>
      </w:r>
      <w:r>
        <w:rPr>
          <w:rFonts w:hint="eastAsia" w:ascii="仿宋_GB2312" w:hAnsi="仿宋_GB2312" w:eastAsia="仿宋_GB2312" w:cs="仿宋_GB2312"/>
          <w:color w:val="auto"/>
          <w:sz w:val="32"/>
          <w:szCs w:val="32"/>
          <w:lang w:eastAsia="zh-CN"/>
        </w:rPr>
        <w:t>后</w:t>
      </w:r>
      <w:r>
        <w:rPr>
          <w:rFonts w:hint="eastAsia" w:ascii="仿宋_GB2312" w:hAnsi="仿宋_GB2312" w:eastAsia="仿宋_GB2312" w:cs="仿宋_GB2312"/>
          <w:color w:val="auto"/>
          <w:sz w:val="32"/>
          <w:szCs w:val="32"/>
        </w:rPr>
        <w:t>由环卫部门统一收集处理。</w:t>
      </w:r>
    </w:p>
    <w:p w14:paraId="180CD20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(四)加强噪声污染防治。选用低噪声设备，加强设备维护、合理布局，同时采取减震及降噪等措施减少噪声对周边声环境的影响，确保项目营运噪声达标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w:t>
      </w:r>
    </w:p>
    <w:p w14:paraId="32875894">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rPr>
        <w:t>三、项目建设必须严格执行配套的环境保护设施与主体工程同时设计、同时施工、同时投产使用的环境保护“三同时”制度。建设单位应按照《建设项目环境保护管理条例》的规定，及时开展建设项目竣工环境保护自主验收，并将建设项目竣工环境保护验收监测报告和验收意见报送我局备案；在启动生产设施或实际排污之前应依法取得排污许可证。</w:t>
      </w:r>
    </w:p>
    <w:p w14:paraId="6CEA6428">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lang w:eastAsia="zh-CN"/>
        </w:rPr>
        <w:t>四、</w:t>
      </w:r>
      <w:r>
        <w:rPr>
          <w:rFonts w:hint="eastAsia" w:ascii="仿宋_GB2312" w:hAnsi="仿宋_GB2312" w:eastAsia="仿宋_GB2312" w:cs="仿宋_GB2312"/>
          <w:b w:val="0"/>
          <w:bCs/>
          <w:color w:val="auto"/>
          <w:sz w:val="32"/>
          <w:szCs w:val="32"/>
          <w:u w:val="none" w:color="auto"/>
        </w:rPr>
        <w:t>环境影响报告表经批准后，该项目的性质、规模、地点、生产工艺和环境保护措施发生重大变动的，须重新报批环境影响报告表。自环境影响报告表批复文件批准之日起，如超过5年决定工程开工建设的，环境影响报告表应当报我局重新审核。</w:t>
      </w:r>
    </w:p>
    <w:p w14:paraId="698BEF7E">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color w:val="auto"/>
          <w:sz w:val="32"/>
          <w:szCs w:val="32"/>
          <w:u w:val="none" w:color="auto"/>
          <w:lang w:eastAsia="zh-CN"/>
        </w:rPr>
        <w:t>五</w:t>
      </w:r>
      <w:r>
        <w:rPr>
          <w:rFonts w:hint="eastAsia" w:ascii="仿宋_GB2312" w:hAnsi="仿宋_GB2312" w:eastAsia="仿宋_GB2312" w:cs="仿宋_GB2312"/>
          <w:b w:val="0"/>
          <w:bCs/>
          <w:color w:val="auto"/>
          <w:sz w:val="32"/>
          <w:szCs w:val="32"/>
          <w:u w:val="none" w:color="auto"/>
        </w:rPr>
        <w:t xml:space="preserve">、衡阳县生态环境保护综合行政执法大队将该项目纳入日常监管并履行项目建设及运营后现场监管职责。 </w:t>
      </w:r>
    </w:p>
    <w:p w14:paraId="3DA72402">
      <w:pPr>
        <w:keepNext w:val="0"/>
        <w:keepLines w:val="0"/>
        <w:pageBreakBefore w:val="0"/>
        <w:kinsoku/>
        <w:wordWrap/>
        <w:overflowPunct/>
        <w:topLinePunct w:val="0"/>
        <w:autoSpaceDE/>
        <w:autoSpaceDN/>
        <w:bidi w:val="0"/>
        <w:adjustRightInd w:val="0"/>
        <w:snapToGrid w:val="0"/>
        <w:spacing w:line="600" w:lineRule="exact"/>
        <w:jc w:val="right"/>
        <w:textAlignment w:val="auto"/>
        <w:rPr>
          <w:rFonts w:hint="eastAsia" w:ascii="仿宋_GB2312" w:hAnsi="仿宋_GB2312" w:eastAsia="仿宋_GB2312" w:cs="仿宋_GB2312"/>
          <w:color w:val="auto"/>
          <w:sz w:val="32"/>
          <w:szCs w:val="32"/>
        </w:rPr>
      </w:pPr>
      <w:r>
        <w:rPr>
          <w:rStyle w:val="8"/>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 xml:space="preserve">        衡阳市生态环境局</w:t>
      </w:r>
    </w:p>
    <w:p w14:paraId="07E034D1">
      <w:pPr>
        <w:keepNext w:val="0"/>
        <w:keepLines w:val="0"/>
        <w:pageBreakBefore w:val="0"/>
        <w:kinsoku/>
        <w:wordWrap/>
        <w:overflowPunct/>
        <w:topLinePunct w:val="0"/>
        <w:autoSpaceDE/>
        <w:autoSpaceDN/>
        <w:bidi w:val="0"/>
        <w:spacing w:line="600" w:lineRule="exact"/>
        <w:jc w:val="right"/>
        <w:textAlignment w:val="auto"/>
        <w:rPr>
          <w:rFonts w:hint="default" w:ascii="Times New Roman" w:hAnsi="Times New Roman" w:cs="Times New Roman"/>
          <w:color w:val="auto"/>
          <w:sz w:val="32"/>
          <w:szCs w:val="32"/>
        </w:rPr>
      </w:pPr>
      <w:r>
        <w:rPr>
          <w:rFonts w:hint="eastAsia" w:ascii="仿宋_GB2312" w:hAnsi="仿宋_GB2312" w:eastAsia="仿宋_GB2312" w:cs="仿宋_GB2312"/>
          <w:color w:val="auto"/>
          <w:sz w:val="32"/>
          <w:szCs w:val="32"/>
        </w:rPr>
        <w:t xml:space="preserve">                        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12</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22</w:t>
      </w:r>
      <w:r>
        <w:rPr>
          <w:rFonts w:hint="eastAsia" w:ascii="仿宋_GB2312" w:hAnsi="仿宋_GB2312" w:eastAsia="仿宋_GB2312" w:cs="仿宋_GB2312"/>
          <w:color w:val="auto"/>
          <w:sz w:val="32"/>
          <w:szCs w:val="32"/>
        </w:rPr>
        <w:t>日</w:t>
      </w: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9F5822">
    <w:pPr>
      <w:pStyle w:val="2"/>
      <w:jc w:val="center"/>
    </w:pPr>
    <w:r>
      <w:fldChar w:fldCharType="begin"/>
    </w:r>
    <w:r>
      <w:instrText xml:space="preserve"> PAGE   \* MERGEFORMAT </w:instrText>
    </w:r>
    <w:r>
      <w:fldChar w:fldCharType="separate"/>
    </w:r>
    <w:r>
      <w:rPr>
        <w:lang w:val="zh-CN"/>
      </w:rPr>
      <w:t>2</w:t>
    </w:r>
    <w:r>
      <w:fldChar w:fldCharType="end"/>
    </w:r>
  </w:p>
  <w:p w14:paraId="7E66BB3F">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9379C8">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A068E6"/>
    <w:rsid w:val="0650776D"/>
    <w:rsid w:val="0BE22367"/>
    <w:rsid w:val="10456CEC"/>
    <w:rsid w:val="12CD6F7B"/>
    <w:rsid w:val="16CD621A"/>
    <w:rsid w:val="27FD7EEB"/>
    <w:rsid w:val="2FD12A28"/>
    <w:rsid w:val="32BE08C6"/>
    <w:rsid w:val="42AA01C6"/>
    <w:rsid w:val="4B071F4E"/>
    <w:rsid w:val="4D133F5B"/>
    <w:rsid w:val="64856BBB"/>
    <w:rsid w:val="648D1E6B"/>
    <w:rsid w:val="6AA068E6"/>
    <w:rsid w:val="6AED793D"/>
    <w:rsid w:val="73FB54A5"/>
    <w:rsid w:val="75FF38DE"/>
    <w:rsid w:val="771C1600"/>
    <w:rsid w:val="795156B6"/>
    <w:rsid w:val="7F475C10"/>
    <w:rsid w:val="7FFDB5DE"/>
    <w:rsid w:val="B57DBD50"/>
    <w:rsid w:val="B77D15E8"/>
    <w:rsid w:val="DFE69632"/>
    <w:rsid w:val="EDAF8B9E"/>
    <w:rsid w:val="F67ECB7B"/>
    <w:rsid w:val="FEEBAFA6"/>
    <w:rsid w:val="FF7633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Calibri"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toc 2"/>
    <w:basedOn w:val="1"/>
    <w:next w:val="1"/>
    <w:unhideWhenUsed/>
    <w:qFormat/>
    <w:uiPriority w:val="39"/>
    <w:pPr>
      <w:ind w:left="420" w:leftChars="200"/>
    </w:pPr>
  </w:style>
  <w:style w:type="paragraph" w:customStyle="1" w:styleId="7">
    <w:name w:val="涂娟"/>
    <w:basedOn w:val="1"/>
    <w:qFormat/>
    <w:uiPriority w:val="0"/>
    <w:pPr>
      <w:spacing w:before="120" w:line="360" w:lineRule="auto"/>
      <w:ind w:left="236" w:right="236" w:firstLine="480" w:firstLineChars="200"/>
    </w:pPr>
    <w:rPr>
      <w:rFonts w:hAnsi="宋体" w:cs="宋体"/>
      <w:szCs w:val="20"/>
    </w:rPr>
  </w:style>
  <w:style w:type="character" w:customStyle="1" w:styleId="8">
    <w:name w:val="content1"/>
    <w:basedOn w:val="6"/>
    <w:qFormat/>
    <w:uiPriority w:val="0"/>
    <w:rPr>
      <w:color w:val="000000"/>
      <w:sz w:val="20"/>
      <w:szCs w:val="20"/>
    </w:rPr>
  </w:style>
  <w:style w:type="paragraph" w:customStyle="1" w:styleId="9">
    <w:name w:val="正文-清北加油站"/>
    <w:qFormat/>
    <w:uiPriority w:val="0"/>
    <w:pPr>
      <w:wordWrap/>
      <w:spacing w:before="0" w:after="0" w:line="360" w:lineRule="auto"/>
      <w:ind w:right="0" w:firstLine="200" w:firstLineChars="200"/>
    </w:pPr>
    <w:rPr>
      <w:rFonts w:ascii="Times New Roman" w:hAnsi="Times New Roman" w:eastAsia="宋体" w:cs="Times New Roman"/>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TotalTime>
  <ScaleCrop>false</ScaleCrop>
  <LinksUpToDate>false</LinksUpToDate>
  <CharactersWithSpaces>0</CharactersWithSpaces>
  <Application>WPS Office_12.8.2.1114_F1E327BC-269C-435d-A152-05C5408002CA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2020-09-26T07:12:00Z</dcterms:created>
  <dc:creator>般若1404286340</dc:creator>
  <cp:lastModifiedBy>kylin</cp:lastModifiedBy>
  <cp:lastPrinted>2021-01-17T02:52:00Z</cp:lastPrinted>
  <dcterms:modified xsi:type="dcterms:W3CDTF">2025-12-22T16:07:05Z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2052-12.8.2.1114</vt:lpwstr>
  </property>
  <property fmtid="{D5CDD505-2E9C-101B-9397-08002B2CF9AE}" pid="3" name="ICV">
    <vt:lpwstr>D203C5F248F8175E670C4269DFA9584A_42</vt:lpwstr>
  </property>
</Properties>
</file>