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997C2">
      <w:pPr>
        <w:spacing w:line="800" w:lineRule="exact"/>
        <w:rPr>
          <w:rFonts w:hint="eastAsia" w:ascii="仿宋_GB2312" w:hAnsi="宋体" w:eastAsia="仿宋_GB2312"/>
          <w:sz w:val="32"/>
          <w:szCs w:val="32"/>
        </w:rPr>
      </w:pPr>
    </w:p>
    <w:p w14:paraId="1D57C560">
      <w:pPr>
        <w:ind w:firstLine="5280" w:firstLineChars="1650"/>
        <w:rPr>
          <w:rFonts w:hint="default" w:ascii="Times New Roman" w:hAnsi="Times New Roman" w:eastAsia="仿宋_GB2312" w:cs="Times New Roman"/>
          <w:color w:val="auto"/>
          <w:sz w:val="32"/>
          <w:szCs w:val="32"/>
        </w:rPr>
      </w:pPr>
    </w:p>
    <w:p w14:paraId="1F785449">
      <w:pPr>
        <w:jc w:val="right"/>
        <w:rPr>
          <w:rFonts w:hint="default" w:ascii="Times New Roman" w:hAnsi="Times New Roman" w:eastAsia="仿宋_GB2312" w:cs="Times New Roman"/>
          <w:color w:val="auto"/>
          <w:sz w:val="32"/>
          <w:szCs w:val="32"/>
        </w:rPr>
      </w:pPr>
      <w:r>
        <w:rPr>
          <w:rFonts w:hint="eastAsia" w:ascii="仿宋_GB2312" w:hAnsi="仿宋_GB2312" w:eastAsia="仿宋_GB2312" w:cs="仿宋_GB2312"/>
          <w:color w:val="auto"/>
          <w:sz w:val="32"/>
          <w:szCs w:val="32"/>
        </w:rPr>
        <w:t>蒸环评函〔202</w:t>
      </w:r>
      <w:r>
        <w:rPr>
          <w:rFonts w:hint="eastAsia" w:ascii="仿宋_GB2312" w:hAnsi="仿宋_GB2312" w:eastAsia="仿宋_GB2312" w:cs="仿宋_GB2312"/>
          <w:color w:val="auto"/>
          <w:sz w:val="32"/>
          <w:szCs w:val="32"/>
          <w:lang w:val="en-US" w:eastAsia="zh-CN"/>
        </w:rPr>
        <w:t>5〕23</w:t>
      </w:r>
      <w:r>
        <w:rPr>
          <w:rFonts w:hint="eastAsia" w:ascii="仿宋_GB2312" w:hAnsi="仿宋_GB2312" w:eastAsia="仿宋_GB2312" w:cs="仿宋_GB2312"/>
          <w:color w:val="auto"/>
          <w:sz w:val="32"/>
          <w:szCs w:val="32"/>
        </w:rPr>
        <w:t>号</w:t>
      </w:r>
    </w:p>
    <w:p w14:paraId="671939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4641056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衡阳市生态环境局</w:t>
      </w:r>
    </w:p>
    <w:p w14:paraId="7E2367C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 xml:space="preserve">关于《衡阳鑫诺复合材料有限公司年产玻璃钢瓦 </w:t>
      </w:r>
      <w:r>
        <w:rPr>
          <w:rFonts w:hint="default" w:ascii="方正小标宋简体" w:hAnsi="方正小标宋简体" w:eastAsia="方正小标宋简体" w:cs="方正小标宋简体"/>
          <w:b/>
          <w:bCs w:val="0"/>
          <w:color w:val="auto"/>
          <w:sz w:val="44"/>
          <w:szCs w:val="44"/>
          <w:lang w:val="en-US" w:eastAsia="zh-CN"/>
        </w:rPr>
        <w:t>540</w:t>
      </w:r>
      <w:r>
        <w:rPr>
          <w:rFonts w:hint="eastAsia" w:ascii="方正小标宋简体" w:hAnsi="方正小标宋简体" w:eastAsia="方正小标宋简体" w:cs="方正小标宋简体"/>
          <w:b/>
          <w:bCs w:val="0"/>
          <w:color w:val="auto"/>
          <w:sz w:val="44"/>
          <w:szCs w:val="44"/>
          <w:lang w:val="en-US" w:eastAsia="zh-CN"/>
        </w:rPr>
        <w:t xml:space="preserve"> 吨、</w:t>
      </w:r>
      <w:r>
        <w:rPr>
          <w:rFonts w:hint="default" w:ascii="方正小标宋简体" w:hAnsi="方正小标宋简体" w:eastAsia="方正小标宋简体" w:cs="方正小标宋简体"/>
          <w:b/>
          <w:bCs w:val="0"/>
          <w:color w:val="auto"/>
          <w:sz w:val="44"/>
          <w:szCs w:val="44"/>
          <w:lang w:val="en-US" w:eastAsia="zh-CN"/>
        </w:rPr>
        <w:t>PET</w:t>
      </w:r>
      <w:r>
        <w:rPr>
          <w:rFonts w:hint="eastAsia" w:ascii="方正小标宋简体" w:hAnsi="方正小标宋简体" w:eastAsia="方正小标宋简体" w:cs="方正小标宋简体"/>
          <w:b/>
          <w:bCs w:val="0"/>
          <w:color w:val="auto"/>
          <w:sz w:val="44"/>
          <w:szCs w:val="44"/>
          <w:lang w:val="en-US" w:eastAsia="zh-CN"/>
        </w:rPr>
        <w:t xml:space="preserve"> 透明瓦 </w:t>
      </w:r>
      <w:r>
        <w:rPr>
          <w:rFonts w:hint="default" w:ascii="方正小标宋简体" w:hAnsi="方正小标宋简体" w:eastAsia="方正小标宋简体" w:cs="方正小标宋简体"/>
          <w:b/>
          <w:bCs w:val="0"/>
          <w:color w:val="auto"/>
          <w:sz w:val="44"/>
          <w:szCs w:val="44"/>
          <w:lang w:val="en-US" w:eastAsia="zh-CN"/>
        </w:rPr>
        <w:t>20</w:t>
      </w:r>
      <w:r>
        <w:rPr>
          <w:rFonts w:hint="eastAsia" w:ascii="方正小标宋简体" w:hAnsi="方正小标宋简体" w:eastAsia="方正小标宋简体" w:cs="方正小标宋简体"/>
          <w:b/>
          <w:bCs w:val="0"/>
          <w:color w:val="auto"/>
          <w:sz w:val="44"/>
          <w:szCs w:val="44"/>
          <w:lang w:val="en-US" w:eastAsia="zh-CN"/>
        </w:rPr>
        <w:t xml:space="preserve"> 吨建设项目环境影响报告表》的批复</w:t>
      </w:r>
    </w:p>
    <w:p w14:paraId="679DDC6A">
      <w:pPr>
        <w:keepNext w:val="0"/>
        <w:keepLines w:val="0"/>
        <w:pageBreakBefore w:val="0"/>
        <w:widowControl w:val="0"/>
        <w:kinsoku/>
        <w:wordWrap/>
        <w:overflowPunct/>
        <w:topLinePunct w:val="0"/>
        <w:autoSpaceDE/>
        <w:autoSpaceDN/>
        <w:bidi w:val="0"/>
        <w:adjustRightInd/>
        <w:snapToGrid/>
        <w:spacing w:line="360" w:lineRule="exact"/>
        <w:textAlignment w:val="auto"/>
        <w:rPr>
          <w:rStyle w:val="49"/>
          <w:rFonts w:ascii="仿宋" w:hAnsi="仿宋" w:eastAsia="仿宋" w:cs="仿宋"/>
          <w:color w:val="auto"/>
          <w:sz w:val="32"/>
          <w:szCs w:val="32"/>
        </w:rPr>
      </w:pPr>
    </w:p>
    <w:p w14:paraId="7C7E6792">
      <w:pPr>
        <w:spacing w:line="600" w:lineRule="exact"/>
        <w:rPr>
          <w:rStyle w:val="49"/>
          <w:rFonts w:hint="eastAsia" w:ascii="仿宋_GB2312" w:hAnsi="仿宋_GB2312" w:eastAsia="仿宋_GB2312" w:cs="仿宋_GB2312"/>
          <w:color w:val="auto"/>
          <w:sz w:val="32"/>
          <w:szCs w:val="32"/>
          <w:highlight w:val="none"/>
          <w:lang w:val="en-US" w:eastAsia="zh-CN"/>
        </w:rPr>
      </w:pPr>
      <w:r>
        <w:rPr>
          <w:rStyle w:val="49"/>
          <w:rFonts w:hint="eastAsia" w:ascii="仿宋_GB2312" w:hAnsi="仿宋_GB2312" w:eastAsia="仿宋_GB2312" w:cs="仿宋_GB2312"/>
          <w:color w:val="auto"/>
          <w:sz w:val="32"/>
          <w:szCs w:val="32"/>
          <w:highlight w:val="none"/>
          <w:lang w:val="en-US" w:eastAsia="zh-CN"/>
        </w:rPr>
        <w:t>衡阳鑫诺复合材料有限公司</w:t>
      </w:r>
      <w:r>
        <w:rPr>
          <w:rStyle w:val="49"/>
          <w:rFonts w:hint="eastAsia" w:ascii="仿宋_GB2312" w:hAnsi="仿宋_GB2312" w:eastAsia="仿宋_GB2312" w:cs="仿宋_GB2312"/>
          <w:color w:val="auto"/>
          <w:sz w:val="32"/>
          <w:szCs w:val="32"/>
          <w:highlight w:val="none"/>
        </w:rPr>
        <w:t>：</w:t>
      </w:r>
      <w:r>
        <w:rPr>
          <w:rStyle w:val="49"/>
          <w:rFonts w:hint="eastAsia" w:ascii="仿宋_GB2312" w:hAnsi="仿宋_GB2312" w:eastAsia="仿宋_GB2312" w:cs="仿宋_GB2312"/>
          <w:color w:val="auto"/>
          <w:sz w:val="32"/>
          <w:szCs w:val="32"/>
          <w:highlight w:val="none"/>
          <w:lang w:val="en-US" w:eastAsia="zh-CN"/>
        </w:rPr>
        <w:t xml:space="preserve"> </w:t>
      </w:r>
    </w:p>
    <w:p w14:paraId="74AD9EA6">
      <w:pPr>
        <w:widowControl/>
        <w:spacing w:line="600" w:lineRule="exact"/>
        <w:ind w:firstLine="640" w:firstLineChars="200"/>
        <w:rPr>
          <w:rStyle w:val="49"/>
          <w:rFonts w:hint="eastAsia" w:ascii="仿宋_GB2312" w:hAnsi="仿宋_GB2312" w:eastAsia="仿宋_GB2312" w:cs="仿宋_GB2312"/>
          <w:color w:val="auto"/>
          <w:sz w:val="32"/>
          <w:szCs w:val="32"/>
          <w:highlight w:val="none"/>
        </w:rPr>
      </w:pPr>
      <w:r>
        <w:rPr>
          <w:rStyle w:val="49"/>
          <w:rFonts w:hint="eastAsia" w:ascii="仿宋_GB2312" w:hAnsi="仿宋_GB2312" w:eastAsia="仿宋_GB2312" w:cs="仿宋_GB2312"/>
          <w:sz w:val="32"/>
          <w:szCs w:val="32"/>
          <w:highlight w:val="none"/>
        </w:rPr>
        <w:t>你公司</w:t>
      </w:r>
      <w:r>
        <w:rPr>
          <w:rStyle w:val="49"/>
          <w:rFonts w:hint="eastAsia" w:ascii="仿宋_GB2312" w:hAnsi="仿宋_GB2312" w:eastAsia="仿宋_GB2312" w:cs="仿宋_GB2312"/>
          <w:sz w:val="32"/>
          <w:szCs w:val="32"/>
          <w:highlight w:val="none"/>
          <w:lang w:val="en-US" w:eastAsia="zh-CN"/>
        </w:rPr>
        <w:t>报送</w:t>
      </w:r>
      <w:r>
        <w:rPr>
          <w:rStyle w:val="49"/>
          <w:rFonts w:hint="eastAsia" w:ascii="仿宋_GB2312" w:hAnsi="仿宋_GB2312" w:eastAsia="仿宋_GB2312" w:cs="仿宋_GB2312"/>
          <w:sz w:val="32"/>
          <w:szCs w:val="32"/>
          <w:highlight w:val="none"/>
        </w:rPr>
        <w:t>的《</w:t>
      </w:r>
      <w:r>
        <w:rPr>
          <w:rStyle w:val="49"/>
          <w:rFonts w:hint="eastAsia" w:ascii="仿宋_GB2312" w:hAnsi="仿宋_GB2312" w:eastAsia="仿宋_GB2312" w:cs="仿宋_GB2312"/>
          <w:sz w:val="32"/>
          <w:szCs w:val="32"/>
          <w:highlight w:val="none"/>
          <w:lang w:val="en-US" w:eastAsia="zh-CN"/>
        </w:rPr>
        <w:t>衡阳鑫诺复合材料有限公司年产玻璃钢瓦 540 吨、PET 透明瓦 20 吨建设项目环境影响报告表</w:t>
      </w:r>
      <w:r>
        <w:rPr>
          <w:rStyle w:val="49"/>
          <w:rFonts w:hint="eastAsia" w:ascii="仿宋_GB2312" w:hAnsi="仿宋_GB2312" w:eastAsia="仿宋_GB2312" w:cs="仿宋_GB2312"/>
          <w:sz w:val="32"/>
          <w:szCs w:val="32"/>
          <w:highlight w:val="none"/>
        </w:rPr>
        <w:t>》（报批稿）及专家组评审意见均已收悉，经研究，批复如</w:t>
      </w:r>
      <w:r>
        <w:rPr>
          <w:rStyle w:val="49"/>
          <w:rFonts w:hint="eastAsia" w:ascii="仿宋_GB2312" w:hAnsi="仿宋_GB2312" w:eastAsia="仿宋_GB2312" w:cs="仿宋_GB2312"/>
          <w:color w:val="auto"/>
          <w:sz w:val="32"/>
          <w:szCs w:val="32"/>
          <w:highlight w:val="none"/>
        </w:rPr>
        <w:t>下：</w:t>
      </w:r>
    </w:p>
    <w:p w14:paraId="16901B63">
      <w:pPr>
        <w:pStyle w:val="12"/>
        <w:keepNext w:val="0"/>
        <w:keepLines w:val="0"/>
        <w:pageBreakBefore w:val="0"/>
        <w:widowControl w:val="0"/>
        <w:kinsoku/>
        <w:wordWrap/>
        <w:overflowPunct w:val="0"/>
        <w:topLinePunct w:val="0"/>
        <w:autoSpaceDE w:val="0"/>
        <w:autoSpaceDN w:val="0"/>
        <w:bidi w:val="0"/>
        <w:adjustRightInd/>
        <w:snapToGrid/>
        <w:spacing w:line="360" w:lineRule="auto"/>
        <w:ind w:right="0" w:rightChars="0" w:firstLine="640" w:firstLineChars="200"/>
        <w:jc w:val="both"/>
        <w:textAlignment w:val="auto"/>
        <w:rPr>
          <w:rStyle w:val="49"/>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一、</w:t>
      </w:r>
      <w:r>
        <w:rPr>
          <w:rStyle w:val="49"/>
          <w:rFonts w:hint="eastAsia" w:ascii="仿宋_GB2312" w:hAnsi="仿宋_GB2312" w:eastAsia="仿宋_GB2312" w:cs="仿宋_GB2312"/>
          <w:color w:val="auto"/>
          <w:kern w:val="2"/>
          <w:sz w:val="32"/>
          <w:szCs w:val="32"/>
          <w:highlight w:val="none"/>
          <w:lang w:val="en-US" w:eastAsia="zh-CN" w:bidi="ar-SA"/>
        </w:rPr>
        <w:t>衡阳鑫诺复合材料有限公司拟投资500万元租赁湖南衡阳西渡高新区湖南衡利丰陶瓷有限公司原成型二车间 E8 区建设年产玻璃钢瓦 540 吨、PET 透明瓦 20 吨建设项目</w:t>
      </w:r>
      <w:r>
        <w:rPr>
          <w:rStyle w:val="49"/>
          <w:rFonts w:hint="eastAsia" w:ascii="仿宋_GB2312" w:hAnsi="仿宋_GB2312" w:eastAsia="仿宋_GB2312" w:cs="仿宋_GB2312"/>
          <w:color w:val="auto"/>
          <w:sz w:val="32"/>
          <w:szCs w:val="32"/>
          <w:highlight w:val="none"/>
          <w:lang w:eastAsia="zh-CN"/>
        </w:rPr>
        <w:t>，</w:t>
      </w:r>
      <w:r>
        <w:rPr>
          <w:rStyle w:val="49"/>
          <w:rFonts w:hint="eastAsia" w:ascii="仿宋_GB2312" w:hAnsi="仿宋_GB2312" w:eastAsia="仿宋_GB2312" w:cs="仿宋_GB2312"/>
          <w:color w:val="auto"/>
          <w:kern w:val="2"/>
          <w:sz w:val="32"/>
          <w:szCs w:val="32"/>
          <w:highlight w:val="none"/>
          <w:lang w:val="en-US" w:eastAsia="zh-CN" w:bidi="ar-SA"/>
        </w:rPr>
        <w:t>总占地面积约2270m</w:t>
      </w:r>
      <w:r>
        <w:rPr>
          <w:rStyle w:val="49"/>
          <w:rFonts w:hint="eastAsia" w:ascii="仿宋_GB2312" w:hAnsi="仿宋_GB2312" w:eastAsia="仿宋_GB2312" w:cs="仿宋_GB2312"/>
          <w:color w:val="auto"/>
          <w:kern w:val="2"/>
          <w:sz w:val="32"/>
          <w:szCs w:val="32"/>
          <w:highlight w:val="none"/>
          <w:vertAlign w:val="superscript"/>
          <w:lang w:val="en-US" w:eastAsia="zh-CN" w:bidi="ar-SA"/>
        </w:rPr>
        <w:t>2</w:t>
      </w:r>
      <w:r>
        <w:rPr>
          <w:rStyle w:val="49"/>
          <w:rFonts w:hint="eastAsia" w:ascii="仿宋_GB2312" w:hAnsi="仿宋_GB2312" w:eastAsia="仿宋_GB2312" w:cs="仿宋_GB2312"/>
          <w:color w:val="auto"/>
          <w:kern w:val="2"/>
          <w:sz w:val="32"/>
          <w:szCs w:val="32"/>
          <w:highlight w:val="none"/>
          <w:vertAlign w:val="baseline"/>
          <w:lang w:val="en-US" w:eastAsia="zh-CN" w:bidi="ar-SA"/>
        </w:rPr>
        <w:t>，</w:t>
      </w:r>
      <w:r>
        <w:rPr>
          <w:rStyle w:val="49"/>
          <w:rFonts w:hint="eastAsia" w:ascii="仿宋_GB2312" w:hAnsi="仿宋_GB2312" w:eastAsia="仿宋_GB2312" w:cs="仿宋_GB2312"/>
          <w:color w:val="auto"/>
          <w:kern w:val="2"/>
          <w:sz w:val="32"/>
          <w:szCs w:val="32"/>
          <w:highlight w:val="none"/>
          <w:lang w:val="en-US" w:eastAsia="zh-CN" w:bidi="ar-SA"/>
        </w:rPr>
        <w:t>总建筑面积约2270m</w:t>
      </w:r>
      <w:r>
        <w:rPr>
          <w:rStyle w:val="49"/>
          <w:rFonts w:hint="eastAsia" w:ascii="仿宋_GB2312" w:hAnsi="仿宋_GB2312" w:eastAsia="仿宋_GB2312" w:cs="仿宋_GB2312"/>
          <w:color w:val="auto"/>
          <w:kern w:val="2"/>
          <w:sz w:val="32"/>
          <w:szCs w:val="32"/>
          <w:highlight w:val="none"/>
          <w:vertAlign w:val="superscript"/>
          <w:lang w:val="en-US" w:eastAsia="zh-CN" w:bidi="ar-SA"/>
        </w:rPr>
        <w:t>2</w:t>
      </w:r>
      <w:r>
        <w:rPr>
          <w:rStyle w:val="49"/>
          <w:rFonts w:hint="eastAsia" w:ascii="仿宋_GB2312" w:hAnsi="仿宋_GB2312" w:eastAsia="仿宋_GB2312" w:cs="仿宋_GB2312"/>
          <w:color w:val="auto"/>
          <w:kern w:val="2"/>
          <w:sz w:val="32"/>
          <w:szCs w:val="32"/>
          <w:highlight w:val="none"/>
          <w:vertAlign w:val="baseline"/>
          <w:lang w:val="en-US" w:eastAsia="zh-CN" w:bidi="ar-SA"/>
        </w:rPr>
        <w:t>。项目</w:t>
      </w:r>
      <w:r>
        <w:rPr>
          <w:rStyle w:val="49"/>
          <w:rFonts w:hint="eastAsia" w:ascii="仿宋_GB2312" w:hAnsi="仿宋_GB2312" w:eastAsia="仿宋_GB2312" w:cs="仿宋_GB2312"/>
          <w:color w:val="auto"/>
          <w:kern w:val="2"/>
          <w:sz w:val="32"/>
          <w:szCs w:val="32"/>
          <w:highlight w:val="none"/>
          <w:lang w:val="en-US" w:eastAsia="zh-CN" w:bidi="ar-SA"/>
        </w:rPr>
        <w:t>主要建设内容包括：生产车间、办公室、原料贮存区、辅料贮存区、成品贮存区</w:t>
      </w:r>
      <w:r>
        <w:rPr>
          <w:rStyle w:val="49"/>
          <w:rFonts w:hint="eastAsia" w:ascii="仿宋_GB2312" w:hAnsi="仿宋_GB2312" w:eastAsia="仿宋_GB2312" w:cs="仿宋_GB2312"/>
          <w:color w:val="auto"/>
          <w:sz w:val="32"/>
          <w:szCs w:val="32"/>
          <w:highlight w:val="none"/>
        </w:rPr>
        <w:t>及</w:t>
      </w:r>
      <w:r>
        <w:rPr>
          <w:rStyle w:val="49"/>
          <w:rFonts w:hint="eastAsia" w:ascii="仿宋_GB2312" w:hAnsi="仿宋_GB2312" w:eastAsia="仿宋_GB2312" w:cs="仿宋_GB2312"/>
          <w:color w:val="auto"/>
          <w:sz w:val="32"/>
          <w:szCs w:val="32"/>
          <w:highlight w:val="none"/>
          <w:lang w:val="en-US" w:eastAsia="zh-CN"/>
        </w:rPr>
        <w:t>其他</w:t>
      </w:r>
      <w:r>
        <w:rPr>
          <w:rStyle w:val="49"/>
          <w:rFonts w:hint="eastAsia" w:ascii="仿宋_GB2312" w:hAnsi="仿宋_GB2312" w:eastAsia="仿宋_GB2312" w:cs="仿宋_GB2312"/>
          <w:color w:val="auto"/>
          <w:sz w:val="32"/>
          <w:szCs w:val="32"/>
          <w:highlight w:val="none"/>
        </w:rPr>
        <w:t>配套设施。</w:t>
      </w:r>
      <w:r>
        <w:rPr>
          <w:rFonts w:hint="eastAsia" w:ascii="仿宋_GB2312" w:hAnsi="仿宋_GB2312" w:eastAsia="仿宋_GB2312" w:cs="仿宋_GB2312"/>
          <w:snapToGrid w:val="0"/>
          <w:color w:val="auto"/>
          <w:sz w:val="32"/>
          <w:szCs w:val="32"/>
          <w:u w:val="none" w:color="auto"/>
          <w:lang w:eastAsia="zh-CN"/>
        </w:rPr>
        <w:t>本项目符合国家产业政策，根据长沙楚清环保科技有限公司编制的环境影响报告表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p>
    <w:p w14:paraId="70A4F948">
      <w:pPr>
        <w:keepNext w:val="0"/>
        <w:keepLines w:val="0"/>
        <w:pageBreakBefore w:val="0"/>
        <w:widowControl w:val="0"/>
        <w:kinsoku/>
        <w:wordWrap/>
        <w:overflowPunct w:val="0"/>
        <w:topLinePunct w:val="0"/>
        <w:autoSpaceDE w:val="0"/>
        <w:autoSpaceDN w:val="0"/>
        <w:bidi w:val="0"/>
        <w:spacing w:line="360" w:lineRule="auto"/>
        <w:ind w:firstLine="640" w:firstLineChars="200"/>
        <w:jc w:val="both"/>
        <w:textAlignment w:val="auto"/>
        <w:rPr>
          <w:rFonts w:hint="eastAsia" w:ascii="仿宋_GB2312" w:hAnsi="仿宋_GB2312" w:eastAsia="仿宋_GB2312" w:cs="仿宋_GB2312"/>
          <w:snapToGrid w:val="0"/>
          <w:color w:val="auto"/>
          <w:sz w:val="32"/>
          <w:szCs w:val="32"/>
          <w:u w:val="none" w:color="auto"/>
        </w:rPr>
      </w:pPr>
      <w:r>
        <w:rPr>
          <w:rFonts w:hint="eastAsia" w:ascii="仿宋_GB2312" w:hAnsi="仿宋_GB2312" w:eastAsia="仿宋_GB2312" w:cs="仿宋_GB2312"/>
          <w:snapToGrid w:val="0"/>
          <w:color w:val="auto"/>
          <w:sz w:val="32"/>
          <w:szCs w:val="32"/>
          <w:u w:val="none" w:color="auto"/>
        </w:rPr>
        <w:t>二、项目在工程设计、建设和管理中，应按照污染物达标排放要求，认真落实《报告表》中提出的各项污染防治措施，重点做好以下工作：</w:t>
      </w:r>
    </w:p>
    <w:p w14:paraId="3AAB5C55">
      <w:pPr>
        <w:adjustRightInd w:val="0"/>
        <w:snapToGrid w:val="0"/>
        <w:spacing w:line="600" w:lineRule="exact"/>
        <w:ind w:firstLine="640" w:firstLineChars="200"/>
        <w:rPr>
          <w:rStyle w:val="49"/>
          <w:rFonts w:hint="eastAsia" w:ascii="仿宋_GB2312" w:hAnsi="仿宋_GB2312" w:eastAsia="仿宋_GB2312" w:cs="仿宋_GB2312"/>
          <w:color w:val="auto"/>
          <w:sz w:val="32"/>
          <w:szCs w:val="32"/>
          <w:highlight w:val="none"/>
          <w:lang w:val="en-US" w:eastAsia="zh-CN"/>
        </w:rPr>
      </w:pPr>
      <w:r>
        <w:rPr>
          <w:rStyle w:val="49"/>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b w:val="0"/>
          <w:bCs w:val="0"/>
          <w:snapToGrid w:val="0"/>
          <w:color w:val="auto"/>
          <w:sz w:val="32"/>
          <w:szCs w:val="32"/>
          <w:u w:val="none" w:color="auto"/>
        </w:rPr>
        <w:t>加强废气的污染防治工作。</w:t>
      </w:r>
      <w:r>
        <w:rPr>
          <w:rStyle w:val="49"/>
          <w:rFonts w:hint="eastAsia" w:ascii="仿宋_GB2312" w:hAnsi="仿宋_GB2312" w:eastAsia="仿宋_GB2312" w:cs="仿宋_GB2312"/>
          <w:color w:val="auto"/>
          <w:sz w:val="32"/>
          <w:szCs w:val="32"/>
          <w:highlight w:val="none"/>
          <w:lang w:val="en-US" w:eastAsia="zh-CN"/>
        </w:rPr>
        <w:t>采取封闭式生产厂房，加强车间通风，项目搅拌、平铺、挤压、固化等工序产生的废气收集后经二级活性炭吸附装置+15m高排气筒处理达标后排放；切割工序产生的颗粒物收集后经布袋除尘器处理达标后无组织排放；涉VOCs物料应储存于密闭的容器中；盛装 VOCs 物料的容器或包装袋应存放于室内，或存放于设置有雨棚、遮阳和防渗设施的专用场地；盛装 VOCs 物料的容器或包装袋在非取用状态时应加盖、封口，保持密闭，减少异味对周边环境的影响。</w:t>
      </w:r>
    </w:p>
    <w:p w14:paraId="1F7060D4">
      <w:pPr>
        <w:spacing w:line="600" w:lineRule="exact"/>
        <w:ind w:firstLine="640" w:firstLineChars="200"/>
        <w:rPr>
          <w:rStyle w:val="49"/>
          <w:rFonts w:hint="eastAsia" w:ascii="仿宋_GB2312" w:hAnsi="仿宋_GB2312" w:eastAsia="仿宋_GB2312" w:cs="仿宋_GB2312"/>
          <w:sz w:val="32"/>
          <w:szCs w:val="32"/>
          <w:lang w:val="en-US" w:eastAsia="zh-CN"/>
        </w:rPr>
      </w:pPr>
      <w:bookmarkStart w:id="0" w:name="OLE_LINK1"/>
      <w:r>
        <w:rPr>
          <w:rStyle w:val="49"/>
          <w:rFonts w:hint="eastAsia" w:ascii="仿宋_GB2312" w:hAnsi="仿宋_GB2312" w:eastAsia="仿宋_GB2312" w:cs="仿宋_GB2312"/>
          <w:sz w:val="32"/>
          <w:szCs w:val="32"/>
        </w:rPr>
        <w:t>（二）</w:t>
      </w:r>
      <w:bookmarkEnd w:id="0"/>
      <w:r>
        <w:rPr>
          <w:rFonts w:hint="eastAsia" w:ascii="仿宋_GB2312" w:hAnsi="仿宋_GB2312" w:eastAsia="仿宋_GB2312" w:cs="仿宋_GB2312"/>
          <w:b w:val="0"/>
          <w:bCs w:val="0"/>
          <w:snapToGrid w:val="0"/>
          <w:color w:val="auto"/>
          <w:sz w:val="32"/>
          <w:szCs w:val="32"/>
          <w:u w:val="none" w:color="auto"/>
        </w:rPr>
        <w:t>加强废水的污染防治工作。</w:t>
      </w:r>
      <w:r>
        <w:rPr>
          <w:rFonts w:hint="eastAsia" w:ascii="仿宋_GB2312" w:hAnsi="仿宋_GB2312" w:eastAsia="仿宋_GB2312" w:cs="仿宋_GB2312"/>
          <w:b w:val="0"/>
          <w:bCs w:val="0"/>
          <w:snapToGrid w:val="0"/>
          <w:color w:val="auto"/>
          <w:sz w:val="32"/>
          <w:szCs w:val="32"/>
          <w:u w:val="none" w:color="auto"/>
          <w:lang w:eastAsia="zh-CN"/>
        </w:rPr>
        <w:t>项目无生产废水产生，</w:t>
      </w:r>
      <w:r>
        <w:rPr>
          <w:rStyle w:val="49"/>
          <w:rFonts w:hint="eastAsia" w:ascii="仿宋_GB2312" w:hAnsi="仿宋_GB2312" w:eastAsia="仿宋_GB2312" w:cs="仿宋_GB2312"/>
          <w:sz w:val="32"/>
          <w:szCs w:val="32"/>
          <w:lang w:val="en-US" w:eastAsia="zh-CN"/>
        </w:rPr>
        <w:t>生活污水经化粪池处理达标后经市政污水管网排入衡阳西渡高新区污水处理厂处理。</w:t>
      </w:r>
    </w:p>
    <w:p w14:paraId="18F445CF">
      <w:pPr>
        <w:spacing w:line="600" w:lineRule="exact"/>
        <w:ind w:firstLine="640" w:firstLineChars="200"/>
        <w:rPr>
          <w:rStyle w:val="49"/>
          <w:rFonts w:hint="eastAsia" w:ascii="仿宋_GB2312" w:hAnsi="仿宋_GB2312" w:eastAsia="仿宋_GB2312" w:cs="仿宋_GB2312"/>
          <w:sz w:val="32"/>
          <w:szCs w:val="32"/>
          <w:lang w:eastAsia="zh-CN"/>
        </w:rPr>
      </w:pPr>
      <w:r>
        <w:rPr>
          <w:rStyle w:val="49"/>
          <w:rFonts w:hint="eastAsia" w:ascii="仿宋_GB2312" w:hAnsi="仿宋_GB2312" w:eastAsia="仿宋_GB2312" w:cs="仿宋_GB2312"/>
          <w:sz w:val="32"/>
          <w:szCs w:val="32"/>
        </w:rPr>
        <w:t>（三）</w:t>
      </w:r>
      <w:r>
        <w:rPr>
          <w:rFonts w:hint="eastAsia" w:ascii="仿宋_GB2312" w:hAnsi="仿宋_GB2312" w:eastAsia="仿宋_GB2312" w:cs="仿宋_GB2312"/>
          <w:b w:val="0"/>
          <w:bCs w:val="0"/>
          <w:snapToGrid w:val="0"/>
          <w:color w:val="auto"/>
          <w:sz w:val="32"/>
          <w:szCs w:val="32"/>
          <w:u w:val="none" w:color="auto"/>
        </w:rPr>
        <w:t>加强固体废物的污染防治工作。</w:t>
      </w:r>
      <w:r>
        <w:rPr>
          <w:rStyle w:val="49"/>
          <w:rFonts w:hint="eastAsia" w:ascii="仿宋_GB2312" w:hAnsi="仿宋_GB2312" w:eastAsia="仿宋_GB2312" w:cs="仿宋_GB2312"/>
          <w:sz w:val="32"/>
          <w:szCs w:val="32"/>
          <w:lang w:eastAsia="zh-CN"/>
        </w:rPr>
        <w:t>玻璃钢瓦废边角料、不合格玻璃钢瓦定期外售给物资回收单位；PET 废边角料、不合格品经破碎机破碎后作为废料由废弃资源回收单位进行回收；废包装材料、布袋除尘器收集粉尘交由废弃资源回收单位进行回收；废包装桶、废润滑油、废清洁工具、废活性炭</w:t>
      </w:r>
      <w:r>
        <w:rPr>
          <w:rStyle w:val="49"/>
          <w:rFonts w:hint="eastAsia" w:ascii="仿宋_GB2312" w:hAnsi="仿宋_GB2312" w:eastAsia="仿宋_GB2312" w:cs="仿宋_GB2312"/>
          <w:sz w:val="32"/>
          <w:szCs w:val="32"/>
          <w:lang w:val="en-US" w:eastAsia="zh-CN"/>
        </w:rPr>
        <w:t>等危险废物按相关规定做好</w:t>
      </w:r>
      <w:r>
        <w:rPr>
          <w:rStyle w:val="49"/>
          <w:rFonts w:hint="eastAsia" w:ascii="仿宋_GB2312" w:hAnsi="仿宋_GB2312" w:eastAsia="仿宋_GB2312" w:cs="仿宋_GB2312"/>
          <w:sz w:val="32"/>
          <w:szCs w:val="32"/>
        </w:rPr>
        <w:t>暂存</w:t>
      </w:r>
      <w:r>
        <w:rPr>
          <w:rStyle w:val="49"/>
          <w:rFonts w:hint="eastAsia" w:ascii="仿宋_GB2312" w:hAnsi="仿宋_GB2312" w:eastAsia="仿宋_GB2312" w:cs="仿宋_GB2312"/>
          <w:sz w:val="32"/>
          <w:szCs w:val="32"/>
          <w:lang w:eastAsia="zh-CN"/>
        </w:rPr>
        <w:t>工作</w:t>
      </w:r>
      <w:r>
        <w:rPr>
          <w:rStyle w:val="49"/>
          <w:rFonts w:hint="eastAsia" w:ascii="仿宋_GB2312" w:hAnsi="仿宋_GB2312" w:eastAsia="仿宋_GB2312" w:cs="仿宋_GB2312"/>
          <w:sz w:val="32"/>
          <w:szCs w:val="32"/>
        </w:rPr>
        <w:t>，</w:t>
      </w:r>
      <w:r>
        <w:rPr>
          <w:rStyle w:val="49"/>
          <w:rFonts w:hint="eastAsia" w:ascii="仿宋_GB2312" w:hAnsi="仿宋_GB2312" w:eastAsia="仿宋_GB2312" w:cs="仿宋_GB2312"/>
          <w:sz w:val="32"/>
          <w:szCs w:val="32"/>
          <w:lang w:eastAsia="zh-CN"/>
        </w:rPr>
        <w:t>并定期</w:t>
      </w:r>
      <w:r>
        <w:rPr>
          <w:rFonts w:hint="eastAsia" w:ascii="仿宋_GB2312" w:hAnsi="仿宋_GB2312" w:eastAsia="仿宋_GB2312" w:cs="仿宋_GB2312"/>
          <w:b w:val="0"/>
          <w:bCs/>
          <w:color w:val="000000"/>
          <w:sz w:val="32"/>
          <w:szCs w:val="32"/>
        </w:rPr>
        <w:t>交由有资质的单位处置</w:t>
      </w:r>
      <w:r>
        <w:rPr>
          <w:rStyle w:val="49"/>
          <w:rFonts w:hint="eastAsia" w:ascii="仿宋_GB2312" w:hAnsi="仿宋_GB2312" w:eastAsia="仿宋_GB2312" w:cs="仿宋_GB2312"/>
          <w:sz w:val="32"/>
          <w:szCs w:val="32"/>
          <w:lang w:eastAsia="zh-CN"/>
        </w:rPr>
        <w:t>；生活垃圾交由环卫部门清运处理。</w:t>
      </w:r>
    </w:p>
    <w:p w14:paraId="44A54526">
      <w:pPr>
        <w:spacing w:line="600" w:lineRule="exact"/>
        <w:ind w:firstLine="640" w:firstLineChars="200"/>
        <w:rPr>
          <w:rStyle w:val="49"/>
          <w:rFonts w:hint="eastAsia" w:ascii="仿宋_GB2312" w:hAnsi="仿宋_GB2312" w:eastAsia="仿宋_GB2312" w:cs="仿宋_GB2312"/>
          <w:sz w:val="32"/>
          <w:szCs w:val="32"/>
          <w:lang w:val="en-US" w:eastAsia="zh-CN"/>
        </w:rPr>
      </w:pPr>
      <w:r>
        <w:rPr>
          <w:rStyle w:val="49"/>
          <w:rFonts w:hint="eastAsia" w:ascii="仿宋_GB2312" w:hAnsi="仿宋_GB2312" w:eastAsia="仿宋_GB2312" w:cs="仿宋_GB2312"/>
          <w:sz w:val="32"/>
          <w:szCs w:val="32"/>
        </w:rPr>
        <w:t>（四）</w:t>
      </w:r>
      <w:r>
        <w:rPr>
          <w:rFonts w:hint="eastAsia" w:ascii="仿宋_GB2312" w:hAnsi="仿宋_GB2312" w:eastAsia="仿宋_GB2312" w:cs="仿宋_GB2312"/>
          <w:b w:val="0"/>
          <w:bCs/>
          <w:color w:val="auto"/>
          <w:sz w:val="32"/>
          <w:szCs w:val="32"/>
        </w:rPr>
        <w:t>加强噪声污染防治工作。合理布局，选用低噪声设备，采取厂房隔声、减震降噪等降噪措施，确保厂界噪声达到</w:t>
      </w:r>
      <w:r>
        <w:rPr>
          <w:rStyle w:val="49"/>
          <w:rFonts w:hint="eastAsia" w:ascii="仿宋_GB2312" w:hAnsi="仿宋_GB2312" w:eastAsia="仿宋_GB2312" w:cs="仿宋_GB2312"/>
          <w:sz w:val="32"/>
          <w:szCs w:val="32"/>
        </w:rPr>
        <w:t>《工业企业厂界环境噪声排放标准》(GB12348-2008)中</w:t>
      </w:r>
      <w:r>
        <w:rPr>
          <w:rStyle w:val="49"/>
          <w:rFonts w:hint="eastAsia" w:ascii="仿宋_GB2312" w:hAnsi="仿宋_GB2312" w:eastAsia="仿宋_GB2312" w:cs="仿宋_GB2312"/>
          <w:sz w:val="32"/>
          <w:szCs w:val="32"/>
          <w:lang w:eastAsia="zh-CN"/>
        </w:rPr>
        <w:t>的</w:t>
      </w:r>
      <w:r>
        <w:rPr>
          <w:rStyle w:val="49"/>
          <w:rFonts w:hint="eastAsia" w:ascii="仿宋_GB2312" w:hAnsi="仿宋_GB2312" w:eastAsia="仿宋_GB2312" w:cs="仿宋_GB2312"/>
          <w:sz w:val="32"/>
          <w:szCs w:val="32"/>
          <w:lang w:val="en-US" w:eastAsia="zh-CN"/>
        </w:rPr>
        <w:t>3</w:t>
      </w:r>
      <w:r>
        <w:rPr>
          <w:rStyle w:val="49"/>
          <w:rFonts w:hint="eastAsia" w:ascii="仿宋_GB2312" w:hAnsi="仿宋_GB2312" w:eastAsia="仿宋_GB2312" w:cs="仿宋_GB2312"/>
          <w:sz w:val="32"/>
          <w:szCs w:val="32"/>
        </w:rPr>
        <w:t>类标准限值要求。</w:t>
      </w:r>
      <w:r>
        <w:rPr>
          <w:rStyle w:val="49"/>
          <w:rFonts w:hint="eastAsia" w:ascii="仿宋_GB2312" w:hAnsi="仿宋_GB2312" w:eastAsia="仿宋_GB2312" w:cs="仿宋_GB2312"/>
          <w:sz w:val="32"/>
          <w:szCs w:val="32"/>
          <w:lang w:val="en-US" w:eastAsia="zh-CN"/>
        </w:rPr>
        <w:t xml:space="preserve"> </w:t>
      </w:r>
    </w:p>
    <w:p w14:paraId="7A215C4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决定工程开工建设的，环境影响报告表应当报我局重新审核。</w:t>
      </w:r>
    </w:p>
    <w:p w14:paraId="4744D4B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 xml:space="preserve">、衡阳县生态环境保护综合行政执法大队将该项目纳入日常监管并履行项目建设及运营后现场监管职责。 </w:t>
      </w:r>
    </w:p>
    <w:p w14:paraId="68BB6E71">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_GB2312" w:hAnsi="仿宋_GB2312" w:eastAsia="仿宋_GB2312" w:cs="仿宋_GB2312"/>
          <w:b w:val="0"/>
          <w:bCs/>
          <w:color w:val="auto"/>
          <w:sz w:val="32"/>
          <w:szCs w:val="32"/>
          <w:u w:val="none" w:color="auto"/>
        </w:rPr>
      </w:pPr>
      <w:bookmarkStart w:id="1" w:name="_GoBack"/>
      <w:bookmarkEnd w:id="1"/>
    </w:p>
    <w:p w14:paraId="34D695E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w:t>
      </w:r>
    </w:p>
    <w:p w14:paraId="08230E5A">
      <w:pPr>
        <w:keepNext w:val="0"/>
        <w:keepLines w:val="0"/>
        <w:pageBreakBefore w:val="0"/>
        <w:widowControl w:val="0"/>
        <w:kinsoku/>
        <w:wordWrap/>
        <w:overflowPunct/>
        <w:topLinePunct w:val="0"/>
        <w:autoSpaceDE/>
        <w:autoSpaceDN/>
        <w:bidi w:val="0"/>
        <w:spacing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9</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10</w:t>
      </w:r>
      <w:r>
        <w:rPr>
          <w:rFonts w:hint="eastAsia" w:ascii="仿宋_GB2312" w:hAnsi="仿宋_GB2312" w:eastAsia="仿宋_GB2312" w:cs="仿宋_GB2312"/>
          <w:b w:val="0"/>
          <w:bCs/>
          <w:color w:val="auto"/>
          <w:sz w:val="32"/>
          <w:szCs w:val="32"/>
          <w:u w:val="none" w:color="auto"/>
        </w:rPr>
        <w:t>日</w:t>
      </w:r>
    </w:p>
    <w:p w14:paraId="694F717B"/>
    <w:sectPr>
      <w:footerReference r:id="rId3" w:type="default"/>
      <w:pgSz w:w="11906" w:h="16838"/>
      <w:pgMar w:top="1440"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EDD25">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65337E">
                          <w:pPr>
                            <w:pStyle w:val="1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C65337E">
                    <w:pPr>
                      <w:pStyle w:val="1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E4CA2"/>
    <w:multiLevelType w:val="singleLevel"/>
    <w:tmpl w:val="A51E4CA2"/>
    <w:lvl w:ilvl="0" w:tentative="0">
      <w:start w:val="1"/>
      <w:numFmt w:val="decimal"/>
      <w:pStyle w:val="48"/>
      <w:suff w:val="nothing"/>
      <w:lvlText w:val="%1、"/>
      <w:lvlJc w:val="left"/>
    </w:lvl>
  </w:abstractNum>
  <w:abstractNum w:abstractNumId="1">
    <w:nsid w:val="0000000C"/>
    <w:multiLevelType w:val="singleLevel"/>
    <w:tmpl w:val="0000000C"/>
    <w:lvl w:ilvl="0" w:tentative="0">
      <w:start w:val="1"/>
      <w:numFmt w:val="bullet"/>
      <w:pStyle w:val="14"/>
      <w:lvlText w:val=""/>
      <w:lvlJc w:val="left"/>
      <w:pPr>
        <w:tabs>
          <w:tab w:val="left" w:pos="2040"/>
        </w:tabs>
        <w:ind w:left="2040" w:hanging="360"/>
      </w:pPr>
      <w:rPr>
        <w:rFonts w:hint="default" w:ascii="Wingdings" w:hAnsi="Wingdings"/>
      </w:rPr>
    </w:lvl>
  </w:abstractNum>
  <w:abstractNum w:abstractNumId="2">
    <w:nsid w:val="1ECBA01E"/>
    <w:multiLevelType w:val="multilevel"/>
    <w:tmpl w:val="1ECBA01E"/>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Restart w:val="1"/>
      <w:lvlText w:val="表%1-%5 "/>
      <w:lvlJc w:val="left"/>
      <w:pPr>
        <w:ind w:left="1008" w:hanging="1008"/>
      </w:pPr>
      <w:rPr>
        <w:rFonts w:hint="default" w:ascii="宋体" w:hAnsi="宋体" w:eastAsia="宋体" w:cs="宋体"/>
      </w:rPr>
    </w:lvl>
    <w:lvl w:ilvl="5" w:tentative="0">
      <w:start w:val="1"/>
      <w:numFmt w:val="decimal"/>
      <w:pStyle w:val="7"/>
      <w:lvlText w:val="图%1-%6 "/>
      <w:lvlJc w:val="left"/>
      <w:pPr>
        <w:ind w:left="1151" w:hanging="1151"/>
      </w:pPr>
      <w:rPr>
        <w:rFonts w:hint="default" w:ascii="宋体" w:hAnsi="宋体" w:eastAsia="宋体" w:cs="宋体"/>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hZjczMjcxYTc2ZGRiZDU1NDg1NmNhODRhNjlkOTEifQ=="/>
  </w:docVars>
  <w:rsids>
    <w:rsidRoot w:val="006013A8"/>
    <w:rsid w:val="00235E53"/>
    <w:rsid w:val="00283568"/>
    <w:rsid w:val="002F6FD1"/>
    <w:rsid w:val="003D4A11"/>
    <w:rsid w:val="004B23E3"/>
    <w:rsid w:val="005D2854"/>
    <w:rsid w:val="005D2EA4"/>
    <w:rsid w:val="006013A8"/>
    <w:rsid w:val="006D6F3B"/>
    <w:rsid w:val="0079429C"/>
    <w:rsid w:val="0079570F"/>
    <w:rsid w:val="00796200"/>
    <w:rsid w:val="007B4753"/>
    <w:rsid w:val="007F0C19"/>
    <w:rsid w:val="00862629"/>
    <w:rsid w:val="009A0971"/>
    <w:rsid w:val="00DE40FF"/>
    <w:rsid w:val="00E530A6"/>
    <w:rsid w:val="00F35EC2"/>
    <w:rsid w:val="019B1DDE"/>
    <w:rsid w:val="01A85D51"/>
    <w:rsid w:val="027D71DE"/>
    <w:rsid w:val="03836A76"/>
    <w:rsid w:val="040000C7"/>
    <w:rsid w:val="04B67105"/>
    <w:rsid w:val="05023789"/>
    <w:rsid w:val="05C50C80"/>
    <w:rsid w:val="06BC6527"/>
    <w:rsid w:val="074D53D1"/>
    <w:rsid w:val="08386A4E"/>
    <w:rsid w:val="08C6543B"/>
    <w:rsid w:val="08FA6E92"/>
    <w:rsid w:val="09D52596"/>
    <w:rsid w:val="0A082B14"/>
    <w:rsid w:val="0A5A6230"/>
    <w:rsid w:val="0AA44D6C"/>
    <w:rsid w:val="0B42115D"/>
    <w:rsid w:val="0C197F77"/>
    <w:rsid w:val="0CAF4438"/>
    <w:rsid w:val="0CC06645"/>
    <w:rsid w:val="0D844F92"/>
    <w:rsid w:val="0E06277D"/>
    <w:rsid w:val="0E124C7E"/>
    <w:rsid w:val="0F975044"/>
    <w:rsid w:val="10240C99"/>
    <w:rsid w:val="10594E8F"/>
    <w:rsid w:val="10887908"/>
    <w:rsid w:val="11701DE5"/>
    <w:rsid w:val="1184029C"/>
    <w:rsid w:val="119500A0"/>
    <w:rsid w:val="12015736"/>
    <w:rsid w:val="12575356"/>
    <w:rsid w:val="1351179E"/>
    <w:rsid w:val="13960100"/>
    <w:rsid w:val="13E42C19"/>
    <w:rsid w:val="13FA68E0"/>
    <w:rsid w:val="141C6857"/>
    <w:rsid w:val="14524026"/>
    <w:rsid w:val="14D7452C"/>
    <w:rsid w:val="15567B46"/>
    <w:rsid w:val="17935E01"/>
    <w:rsid w:val="186E164B"/>
    <w:rsid w:val="19112B5C"/>
    <w:rsid w:val="19121FD6"/>
    <w:rsid w:val="195B6F6F"/>
    <w:rsid w:val="19E576EB"/>
    <w:rsid w:val="1A1678A4"/>
    <w:rsid w:val="1A46462D"/>
    <w:rsid w:val="1B027E29"/>
    <w:rsid w:val="1BA3160C"/>
    <w:rsid w:val="1BC51582"/>
    <w:rsid w:val="1C627277"/>
    <w:rsid w:val="1CAB5593"/>
    <w:rsid w:val="1CB91635"/>
    <w:rsid w:val="1E676920"/>
    <w:rsid w:val="1EA8395A"/>
    <w:rsid w:val="1F024C69"/>
    <w:rsid w:val="1F1E2EEA"/>
    <w:rsid w:val="1F460C2C"/>
    <w:rsid w:val="1FC41B50"/>
    <w:rsid w:val="214271D1"/>
    <w:rsid w:val="21A734D8"/>
    <w:rsid w:val="223B07F0"/>
    <w:rsid w:val="22CF2CE6"/>
    <w:rsid w:val="23AB72AF"/>
    <w:rsid w:val="23C40371"/>
    <w:rsid w:val="23C860B3"/>
    <w:rsid w:val="23CE7442"/>
    <w:rsid w:val="26B02E2F"/>
    <w:rsid w:val="26BB3CAD"/>
    <w:rsid w:val="26F251F5"/>
    <w:rsid w:val="27363334"/>
    <w:rsid w:val="29CA2459"/>
    <w:rsid w:val="2A930A9D"/>
    <w:rsid w:val="2ADC2444"/>
    <w:rsid w:val="2B0D5C53"/>
    <w:rsid w:val="2C5F1EDC"/>
    <w:rsid w:val="2CAC3AE0"/>
    <w:rsid w:val="2CD4140F"/>
    <w:rsid w:val="2D23266F"/>
    <w:rsid w:val="2DD37B2E"/>
    <w:rsid w:val="2DD461B9"/>
    <w:rsid w:val="2EEB60EF"/>
    <w:rsid w:val="2F594063"/>
    <w:rsid w:val="32DF6F75"/>
    <w:rsid w:val="336376A2"/>
    <w:rsid w:val="336A2CE3"/>
    <w:rsid w:val="33CB12A8"/>
    <w:rsid w:val="349D0E96"/>
    <w:rsid w:val="34BB2335"/>
    <w:rsid w:val="357939D6"/>
    <w:rsid w:val="364A22F7"/>
    <w:rsid w:val="364D2735"/>
    <w:rsid w:val="365B6913"/>
    <w:rsid w:val="36804696"/>
    <w:rsid w:val="37433C2C"/>
    <w:rsid w:val="384A4E91"/>
    <w:rsid w:val="385E26EA"/>
    <w:rsid w:val="386121DB"/>
    <w:rsid w:val="3897299A"/>
    <w:rsid w:val="39352385"/>
    <w:rsid w:val="39352CB6"/>
    <w:rsid w:val="399B34CA"/>
    <w:rsid w:val="3A622E28"/>
    <w:rsid w:val="3B5F50F7"/>
    <w:rsid w:val="3C5A141B"/>
    <w:rsid w:val="3DCC6348"/>
    <w:rsid w:val="3DD84CED"/>
    <w:rsid w:val="3E2D5529"/>
    <w:rsid w:val="3E703177"/>
    <w:rsid w:val="3EBE3F32"/>
    <w:rsid w:val="3EE14075"/>
    <w:rsid w:val="3F161F71"/>
    <w:rsid w:val="3F6820A1"/>
    <w:rsid w:val="3F6F2327"/>
    <w:rsid w:val="40D23C76"/>
    <w:rsid w:val="40DC76E9"/>
    <w:rsid w:val="4230334A"/>
    <w:rsid w:val="42A86388"/>
    <w:rsid w:val="42B0448A"/>
    <w:rsid w:val="45336CAD"/>
    <w:rsid w:val="470703F1"/>
    <w:rsid w:val="4715337D"/>
    <w:rsid w:val="47364206"/>
    <w:rsid w:val="474D04FA"/>
    <w:rsid w:val="477C0DDF"/>
    <w:rsid w:val="478D4D9A"/>
    <w:rsid w:val="47FA2BB3"/>
    <w:rsid w:val="48B1336A"/>
    <w:rsid w:val="49415E3C"/>
    <w:rsid w:val="499B5D1C"/>
    <w:rsid w:val="4A0A4480"/>
    <w:rsid w:val="4A0B01F8"/>
    <w:rsid w:val="4A6F0787"/>
    <w:rsid w:val="4B7A73E4"/>
    <w:rsid w:val="4C40062D"/>
    <w:rsid w:val="4CE511D4"/>
    <w:rsid w:val="4D8409ED"/>
    <w:rsid w:val="4DE47A25"/>
    <w:rsid w:val="4F6C798B"/>
    <w:rsid w:val="4FB70E0D"/>
    <w:rsid w:val="4FD03A76"/>
    <w:rsid w:val="503E4E84"/>
    <w:rsid w:val="50597F0F"/>
    <w:rsid w:val="50FD4E06"/>
    <w:rsid w:val="516A7EFA"/>
    <w:rsid w:val="52195BA8"/>
    <w:rsid w:val="526A6404"/>
    <w:rsid w:val="52CA50F4"/>
    <w:rsid w:val="52D9249A"/>
    <w:rsid w:val="52EC6E19"/>
    <w:rsid w:val="53545E36"/>
    <w:rsid w:val="53F71F19"/>
    <w:rsid w:val="543401D7"/>
    <w:rsid w:val="54607E55"/>
    <w:rsid w:val="54676C88"/>
    <w:rsid w:val="54B47E80"/>
    <w:rsid w:val="559612BE"/>
    <w:rsid w:val="55D0001D"/>
    <w:rsid w:val="5838665C"/>
    <w:rsid w:val="58497B76"/>
    <w:rsid w:val="589651AD"/>
    <w:rsid w:val="58BF5B9C"/>
    <w:rsid w:val="59101387"/>
    <w:rsid w:val="59701E26"/>
    <w:rsid w:val="59D85410"/>
    <w:rsid w:val="5A4C2893"/>
    <w:rsid w:val="5AE50331"/>
    <w:rsid w:val="5B8B2F47"/>
    <w:rsid w:val="5CAB6A0D"/>
    <w:rsid w:val="5D9E1657"/>
    <w:rsid w:val="5E371164"/>
    <w:rsid w:val="5E912ACB"/>
    <w:rsid w:val="5EF01A3F"/>
    <w:rsid w:val="5F137003"/>
    <w:rsid w:val="5F6708A7"/>
    <w:rsid w:val="5FAD5B82"/>
    <w:rsid w:val="60FF065F"/>
    <w:rsid w:val="6103342B"/>
    <w:rsid w:val="6225281C"/>
    <w:rsid w:val="62326812"/>
    <w:rsid w:val="627500D5"/>
    <w:rsid w:val="629D0130"/>
    <w:rsid w:val="636F2CBC"/>
    <w:rsid w:val="63B817C1"/>
    <w:rsid w:val="65B42225"/>
    <w:rsid w:val="65BA2DA7"/>
    <w:rsid w:val="66690CAE"/>
    <w:rsid w:val="67C73559"/>
    <w:rsid w:val="68C06BF6"/>
    <w:rsid w:val="68E048CD"/>
    <w:rsid w:val="69685F62"/>
    <w:rsid w:val="69E01B76"/>
    <w:rsid w:val="6A3D5D54"/>
    <w:rsid w:val="6B427AC6"/>
    <w:rsid w:val="6C5545BD"/>
    <w:rsid w:val="6CFD0BBD"/>
    <w:rsid w:val="6CFE6228"/>
    <w:rsid w:val="6D016666"/>
    <w:rsid w:val="6D8A5754"/>
    <w:rsid w:val="6DCC7B1B"/>
    <w:rsid w:val="6E0E5912"/>
    <w:rsid w:val="6EDC5B3C"/>
    <w:rsid w:val="6F836B40"/>
    <w:rsid w:val="712F522C"/>
    <w:rsid w:val="71C31235"/>
    <w:rsid w:val="71CA25C3"/>
    <w:rsid w:val="720430D3"/>
    <w:rsid w:val="739E1612"/>
    <w:rsid w:val="748C3B60"/>
    <w:rsid w:val="74AC17A2"/>
    <w:rsid w:val="75F64EBF"/>
    <w:rsid w:val="760360A4"/>
    <w:rsid w:val="765C68EA"/>
    <w:rsid w:val="78026173"/>
    <w:rsid w:val="784919DE"/>
    <w:rsid w:val="78544995"/>
    <w:rsid w:val="78656BA2"/>
    <w:rsid w:val="78E81581"/>
    <w:rsid w:val="7948380E"/>
    <w:rsid w:val="7A50632D"/>
    <w:rsid w:val="7A9F7EE5"/>
    <w:rsid w:val="7B8070B8"/>
    <w:rsid w:val="7B81203D"/>
    <w:rsid w:val="7D9F66B2"/>
    <w:rsid w:val="7DA14E2F"/>
    <w:rsid w:val="7DEB4A41"/>
    <w:rsid w:val="7DFD75B9"/>
    <w:rsid w:val="7E81400A"/>
    <w:rsid w:val="7F0D2529"/>
    <w:rsid w:val="7F240D37"/>
    <w:rsid w:val="7F742B8D"/>
    <w:rsid w:val="7FD9A3DB"/>
    <w:rsid w:val="AFFFC1DE"/>
    <w:rsid w:val="BEFE3036"/>
    <w:rsid w:val="FADE4B3B"/>
    <w:rsid w:val="FDFD6F59"/>
    <w:rsid w:val="FF9DD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0"/>
    <w:autoRedefine/>
    <w:qFormat/>
    <w:uiPriority w:val="0"/>
    <w:pPr>
      <w:keepNext/>
      <w:keepLines/>
      <w:spacing w:line="360" w:lineRule="auto"/>
      <w:jc w:val="left"/>
      <w:outlineLvl w:val="0"/>
    </w:pPr>
    <w:rPr>
      <w:rFonts w:ascii="Times New Roman" w:hAnsi="Times New Roman" w:eastAsia="宋体" w:cs="Times New Roman"/>
      <w:b/>
      <w:bCs/>
      <w:kern w:val="44"/>
      <w:sz w:val="30"/>
      <w:szCs w:val="44"/>
    </w:rPr>
  </w:style>
  <w:style w:type="paragraph" w:styleId="3">
    <w:name w:val="heading 2"/>
    <w:basedOn w:val="1"/>
    <w:next w:val="1"/>
    <w:link w:val="25"/>
    <w:autoRedefine/>
    <w:unhideWhenUsed/>
    <w:qFormat/>
    <w:uiPriority w:val="0"/>
    <w:pPr>
      <w:keepLines/>
      <w:spacing w:line="413" w:lineRule="auto"/>
      <w:jc w:val="left"/>
      <w:outlineLvl w:val="1"/>
    </w:pPr>
    <w:rPr>
      <w:rFonts w:ascii="Times New Roman" w:hAnsi="Times New Roman" w:eastAsia="宋体" w:cs="Times New Roman"/>
      <w:b/>
      <w:sz w:val="28"/>
      <w:szCs w:val="22"/>
    </w:rPr>
  </w:style>
  <w:style w:type="paragraph" w:styleId="4">
    <w:name w:val="heading 3"/>
    <w:basedOn w:val="1"/>
    <w:next w:val="1"/>
    <w:link w:val="26"/>
    <w:autoRedefine/>
    <w:unhideWhenUsed/>
    <w:qFormat/>
    <w:uiPriority w:val="0"/>
    <w:pPr>
      <w:keepNext/>
      <w:keepLines/>
      <w:jc w:val="left"/>
      <w:outlineLvl w:val="2"/>
    </w:pPr>
    <w:rPr>
      <w:rFonts w:ascii="Times New Roman" w:hAnsi="Times New Roman" w:eastAsia="宋体" w:cs="Times New Roman"/>
      <w:b/>
      <w:sz w:val="24"/>
      <w:szCs w:val="22"/>
    </w:rPr>
  </w:style>
  <w:style w:type="paragraph" w:styleId="5">
    <w:name w:val="heading 4"/>
    <w:basedOn w:val="1"/>
    <w:next w:val="1"/>
    <w:autoRedefine/>
    <w:unhideWhenUsed/>
    <w:qFormat/>
    <w:uiPriority w:val="0"/>
    <w:pPr>
      <w:keepNext/>
      <w:keepLines/>
      <w:spacing w:before="140" w:after="140"/>
      <w:ind w:left="864" w:hanging="864"/>
      <w:jc w:val="left"/>
      <w:outlineLvl w:val="3"/>
    </w:pPr>
    <w:rPr>
      <w:rFonts w:ascii="Times New Roman" w:hAnsi="Times New Roman" w:eastAsia="宋体"/>
      <w:b/>
      <w:sz w:val="24"/>
    </w:rPr>
  </w:style>
  <w:style w:type="paragraph" w:styleId="6">
    <w:name w:val="heading 5"/>
    <w:basedOn w:val="1"/>
    <w:next w:val="1"/>
    <w:autoRedefine/>
    <w:unhideWhenUsed/>
    <w:qFormat/>
    <w:uiPriority w:val="0"/>
    <w:pPr>
      <w:keepNext/>
      <w:keepLines/>
      <w:spacing w:line="360" w:lineRule="auto"/>
      <w:ind w:firstLine="1044" w:firstLineChars="200"/>
      <w:jc w:val="left"/>
      <w:outlineLvl w:val="4"/>
    </w:pPr>
    <w:rPr>
      <w:rFonts w:ascii="Times New Roman" w:hAnsi="Times New Roman" w:eastAsia="宋体" w:cs="Times New Roman"/>
      <w:b/>
      <w:sz w:val="24"/>
    </w:rPr>
  </w:style>
  <w:style w:type="paragraph" w:styleId="7">
    <w:name w:val="heading 6"/>
    <w:basedOn w:val="1"/>
    <w:next w:val="1"/>
    <w:autoRedefine/>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autoRedefine/>
    <w:unhideWhenUsed/>
    <w:qFormat/>
    <w:uiPriority w:val="0"/>
    <w:pPr>
      <w:keepNext/>
      <w:keepLines/>
      <w:numPr>
        <w:ilvl w:val="6"/>
        <w:numId w:val="1"/>
      </w:numPr>
      <w:spacing w:before="240" w:after="64" w:line="317" w:lineRule="auto"/>
      <w:outlineLvl w:val="6"/>
    </w:pPr>
    <w:rPr>
      <w:b/>
      <w:sz w:val="24"/>
    </w:rPr>
  </w:style>
  <w:style w:type="paragraph" w:styleId="9">
    <w:name w:val="heading 8"/>
    <w:basedOn w:val="1"/>
    <w:next w:val="1"/>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autoRedefine/>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3">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11">
    <w:name w:val="Normal Indent"/>
    <w:basedOn w:val="1"/>
    <w:autoRedefine/>
    <w:qFormat/>
    <w:uiPriority w:val="0"/>
    <w:pPr>
      <w:ind w:firstLine="420" w:firstLineChars="200"/>
    </w:pPr>
  </w:style>
  <w:style w:type="paragraph" w:styleId="12">
    <w:name w:val="annotation text"/>
    <w:basedOn w:val="1"/>
    <w:semiHidden/>
    <w:qFormat/>
    <w:uiPriority w:val="0"/>
    <w:pPr>
      <w:jc w:val="left"/>
    </w:pPr>
    <w:rPr>
      <w:kern w:val="0"/>
      <w:sz w:val="24"/>
      <w:szCs w:val="20"/>
    </w:rPr>
  </w:style>
  <w:style w:type="paragraph" w:styleId="13">
    <w:name w:val="Body Text"/>
    <w:basedOn w:val="1"/>
    <w:next w:val="14"/>
    <w:link w:val="24"/>
    <w:autoRedefine/>
    <w:qFormat/>
    <w:uiPriority w:val="0"/>
    <w:pPr>
      <w:widowControl/>
      <w:snapToGrid w:val="0"/>
      <w:spacing w:line="260" w:lineRule="auto"/>
      <w:ind w:right="113"/>
    </w:pPr>
    <w:rPr>
      <w:rFonts w:ascii="Times New Roman" w:hAnsi="Times New Roman" w:eastAsia="宋体"/>
      <w:kern w:val="0"/>
      <w:sz w:val="18"/>
      <w:szCs w:val="20"/>
    </w:rPr>
  </w:style>
  <w:style w:type="paragraph" w:styleId="14">
    <w:name w:val="List Bullet 5"/>
    <w:basedOn w:val="1"/>
    <w:autoRedefine/>
    <w:qFormat/>
    <w:uiPriority w:val="0"/>
    <w:pPr>
      <w:numPr>
        <w:ilvl w:val="0"/>
        <w:numId w:val="2"/>
      </w:numPr>
    </w:pPr>
  </w:style>
  <w:style w:type="paragraph" w:styleId="15">
    <w:name w:val="Body Text Indent"/>
    <w:basedOn w:val="1"/>
    <w:autoRedefine/>
    <w:qFormat/>
    <w:uiPriority w:val="0"/>
    <w:pPr>
      <w:spacing w:after="120"/>
      <w:ind w:left="420" w:leftChars="200"/>
    </w:pPr>
  </w:style>
  <w:style w:type="paragraph" w:styleId="16">
    <w:name w:val="Body Text Indent 2"/>
    <w:basedOn w:val="1"/>
    <w:next w:val="1"/>
    <w:link w:val="39"/>
    <w:autoRedefine/>
    <w:qFormat/>
    <w:uiPriority w:val="0"/>
    <w:pPr>
      <w:tabs>
        <w:tab w:val="left" w:pos="0"/>
      </w:tabs>
      <w:spacing w:line="360" w:lineRule="auto"/>
      <w:jc w:val="center"/>
    </w:pPr>
    <w:rPr>
      <w:rFonts w:ascii="Times New Roman" w:hAnsi="Times New Roman" w:eastAsia="宋体" w:cs="Times New Roman"/>
      <w:b/>
      <w:szCs w:val="22"/>
    </w:rPr>
  </w:style>
  <w:style w:type="paragraph" w:styleId="17">
    <w:name w:val="footer"/>
    <w:basedOn w:val="1"/>
    <w:autoRedefine/>
    <w:qFormat/>
    <w:uiPriority w:val="0"/>
    <w:pPr>
      <w:tabs>
        <w:tab w:val="center" w:pos="4153"/>
        <w:tab w:val="right" w:pos="8306"/>
      </w:tabs>
      <w:snapToGrid w:val="0"/>
      <w:jc w:val="left"/>
    </w:pPr>
    <w:rPr>
      <w:sz w:val="18"/>
    </w:rPr>
  </w:style>
  <w:style w:type="paragraph" w:styleId="18">
    <w:name w:val="header"/>
    <w:basedOn w:val="1"/>
    <w:link w:val="41"/>
    <w:autoRedefine/>
    <w:qFormat/>
    <w:uiPriority w:val="0"/>
    <w:pPr>
      <w:pBdr>
        <w:bottom w:val="single" w:color="auto" w:sz="6" w:space="1"/>
      </w:pBdr>
      <w:tabs>
        <w:tab w:val="center" w:pos="4153"/>
        <w:tab w:val="right" w:pos="8306"/>
      </w:tabs>
      <w:jc w:val="center"/>
    </w:pPr>
    <w:rPr>
      <w:rFonts w:ascii="Times New Roman" w:hAnsi="Times New Roman" w:eastAsia="宋体"/>
      <w:sz w:val="18"/>
      <w:szCs w:val="18"/>
    </w:rPr>
  </w:style>
  <w:style w:type="paragraph" w:styleId="19">
    <w:name w:val="table of figures"/>
    <w:basedOn w:val="1"/>
    <w:next w:val="1"/>
    <w:autoRedefine/>
    <w:qFormat/>
    <w:uiPriority w:val="0"/>
    <w:pPr>
      <w:ind w:left="200" w:leftChars="200" w:hanging="200" w:hangingChars="200"/>
    </w:pPr>
  </w:style>
  <w:style w:type="paragraph" w:styleId="20">
    <w:name w:val="Title"/>
    <w:basedOn w:val="1"/>
    <w:autoRedefine/>
    <w:qFormat/>
    <w:uiPriority w:val="0"/>
    <w:pPr>
      <w:spacing w:before="240" w:after="60"/>
      <w:jc w:val="center"/>
      <w:outlineLvl w:val="0"/>
    </w:pPr>
    <w:rPr>
      <w:rFonts w:ascii="Arial" w:hAnsi="Arial"/>
      <w:b/>
      <w:sz w:val="32"/>
    </w:rPr>
  </w:style>
  <w:style w:type="paragraph" w:styleId="21">
    <w:name w:val="Body Text First Indent 2"/>
    <w:basedOn w:val="15"/>
    <w:autoRedefine/>
    <w:qFormat/>
    <w:uiPriority w:val="0"/>
    <w:pPr>
      <w:spacing w:line="360" w:lineRule="auto"/>
      <w:ind w:left="0" w:leftChars="0"/>
    </w:pPr>
    <w:rPr>
      <w:rFonts w:ascii="Times New Roman" w:hAnsi="Times New Roman" w:eastAsia="宋体"/>
    </w:rPr>
  </w:style>
  <w:style w:type="character" w:customStyle="1" w:styleId="24">
    <w:name w:val="正文文本 Char"/>
    <w:link w:val="13"/>
    <w:autoRedefine/>
    <w:qFormat/>
    <w:locked/>
    <w:uiPriority w:val="0"/>
    <w:rPr>
      <w:rFonts w:ascii="Times New Roman" w:hAnsi="Times New Roman" w:eastAsia="宋体"/>
      <w:sz w:val="18"/>
    </w:rPr>
  </w:style>
  <w:style w:type="character" w:customStyle="1" w:styleId="25">
    <w:name w:val="标题 2 Char"/>
    <w:link w:val="3"/>
    <w:autoRedefine/>
    <w:qFormat/>
    <w:uiPriority w:val="0"/>
    <w:rPr>
      <w:rFonts w:ascii="Times New Roman" w:hAnsi="Times New Roman" w:eastAsia="宋体" w:cs="Times New Roman"/>
      <w:b/>
      <w:sz w:val="28"/>
      <w:szCs w:val="22"/>
    </w:rPr>
  </w:style>
  <w:style w:type="character" w:customStyle="1" w:styleId="26">
    <w:name w:val="标题 3 Char"/>
    <w:link w:val="4"/>
    <w:autoRedefine/>
    <w:qFormat/>
    <w:uiPriority w:val="0"/>
    <w:rPr>
      <w:rFonts w:ascii="Times New Roman" w:hAnsi="Times New Roman" w:eastAsia="宋体" w:cs="Times New Roman"/>
      <w:b/>
      <w:sz w:val="28"/>
      <w:szCs w:val="30"/>
    </w:rPr>
  </w:style>
  <w:style w:type="paragraph" w:customStyle="1" w:styleId="27">
    <w:name w:val="0正文唐"/>
    <w:basedOn w:val="1"/>
    <w:link w:val="42"/>
    <w:autoRedefine/>
    <w:qFormat/>
    <w:uiPriority w:val="0"/>
    <w:pPr>
      <w:spacing w:line="360" w:lineRule="auto"/>
      <w:ind w:firstLine="720" w:firstLineChars="200"/>
      <w:jc w:val="left"/>
    </w:pPr>
    <w:rPr>
      <w:rFonts w:ascii="Times New Roman" w:hAnsi="Times New Roman" w:eastAsia="宋体" w:cs="Times New Roman"/>
      <w:sz w:val="28"/>
    </w:rPr>
  </w:style>
  <w:style w:type="paragraph" w:customStyle="1" w:styleId="28">
    <w:name w:val="Default"/>
    <w:basedOn w:val="29"/>
    <w:autoRedefine/>
    <w:qFormat/>
    <w:uiPriority w:val="0"/>
    <w:pPr>
      <w:autoSpaceDE w:val="0"/>
      <w:autoSpaceDN w:val="0"/>
      <w:adjustRightInd w:val="0"/>
      <w:spacing w:line="360" w:lineRule="auto"/>
    </w:pPr>
    <w:rPr>
      <w:rFonts w:hint="eastAsia" w:ascii="宋体" w:hAnsi="宋体" w:eastAsia="宋体"/>
      <w:color w:val="000000"/>
    </w:rPr>
  </w:style>
  <w:style w:type="paragraph" w:customStyle="1" w:styleId="29">
    <w:name w:val="纯文本1"/>
    <w:basedOn w:val="1"/>
    <w:qFormat/>
    <w:uiPriority w:val="0"/>
    <w:rPr>
      <w:rFonts w:hint="eastAsia" w:ascii="宋体" w:hAnsi="Courier New"/>
      <w:szCs w:val="24"/>
    </w:rPr>
  </w:style>
  <w:style w:type="character" w:customStyle="1" w:styleId="30">
    <w:name w:val="标题 1 Char"/>
    <w:link w:val="2"/>
    <w:autoRedefine/>
    <w:qFormat/>
    <w:uiPriority w:val="99"/>
    <w:rPr>
      <w:rFonts w:ascii="Times New Roman" w:hAnsi="Times New Roman" w:eastAsia="宋体" w:cs="Times New Roman"/>
      <w:b/>
      <w:kern w:val="44"/>
      <w:sz w:val="30"/>
    </w:rPr>
  </w:style>
  <w:style w:type="paragraph" w:customStyle="1" w:styleId="31">
    <w:name w:val="正文5号"/>
    <w:basedOn w:val="1"/>
    <w:autoRedefine/>
    <w:qFormat/>
    <w:uiPriority w:val="0"/>
    <w:pPr>
      <w:spacing w:line="360" w:lineRule="auto"/>
      <w:ind w:firstLine="422" w:firstLineChars="200"/>
    </w:pPr>
    <w:rPr>
      <w:rFonts w:ascii="Times New Roman" w:hAnsi="Times New Roman"/>
      <w:bCs/>
      <w:kern w:val="24"/>
      <w:szCs w:val="21"/>
    </w:rPr>
  </w:style>
  <w:style w:type="paragraph" w:customStyle="1" w:styleId="32">
    <w:name w:val="正文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cs="宋体"/>
      <w:kern w:val="0"/>
      <w:szCs w:val="21"/>
    </w:rPr>
  </w:style>
  <w:style w:type="paragraph" w:customStyle="1" w:styleId="33">
    <w:name w:val="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eastAsia="宋体" w:cs="宋体"/>
      <w:kern w:val="0"/>
      <w:szCs w:val="21"/>
    </w:rPr>
  </w:style>
  <w:style w:type="paragraph" w:customStyle="1" w:styleId="34">
    <w:name w:val="5号居中"/>
    <w:basedOn w:val="1"/>
    <w:autoRedefine/>
    <w:qFormat/>
    <w:uiPriority w:val="0"/>
    <w:pPr>
      <w:adjustRightInd w:val="0"/>
      <w:snapToGrid w:val="0"/>
      <w:jc w:val="center"/>
    </w:pPr>
    <w:rPr>
      <w:rFonts w:ascii="Times New Roman" w:hAnsi="Times New Roman" w:cs="宋体"/>
      <w:szCs w:val="21"/>
    </w:rPr>
  </w:style>
  <w:style w:type="paragraph" w:customStyle="1" w:styleId="35">
    <w:name w:val="表头"/>
    <w:basedOn w:val="11"/>
    <w:next w:val="1"/>
    <w:autoRedefine/>
    <w:qFormat/>
    <w:uiPriority w:val="0"/>
    <w:pPr>
      <w:autoSpaceDE w:val="0"/>
      <w:autoSpaceDN w:val="0"/>
      <w:adjustRightInd w:val="0"/>
      <w:spacing w:before="50" w:beforeLines="50"/>
      <w:ind w:firstLine="0" w:firstLineChars="0"/>
      <w:jc w:val="center"/>
      <w:textAlignment w:val="baseline"/>
    </w:pPr>
    <w:rPr>
      <w:rFonts w:ascii="Times New Roman" w:hAnsi="Times New Roman" w:eastAsia="宋体" w:cs="Times New Roman"/>
      <w:b/>
      <w:color w:val="000000"/>
      <w:szCs w:val="21"/>
    </w:rPr>
  </w:style>
  <w:style w:type="paragraph" w:customStyle="1" w:styleId="36">
    <w:name w:val="表头5号"/>
    <w:basedOn w:val="1"/>
    <w:autoRedefine/>
    <w:qFormat/>
    <w:uiPriority w:val="0"/>
    <w:pPr>
      <w:spacing w:before="50" w:beforeLines="50"/>
      <w:jc w:val="center"/>
    </w:pPr>
    <w:rPr>
      <w:rFonts w:ascii="Times New Roman" w:hAnsi="Times New Roman" w:eastAsia="宋体" w:cs="Times New Roman"/>
      <w:b/>
      <w:bCs/>
      <w:szCs w:val="21"/>
      <w:lang w:bidi="en-US"/>
    </w:rPr>
  </w:style>
  <w:style w:type="paragraph" w:customStyle="1" w:styleId="37">
    <w:name w:val="0正文"/>
    <w:basedOn w:val="1"/>
    <w:autoRedefine/>
    <w:qFormat/>
    <w:uiPriority w:val="0"/>
    <w:pPr>
      <w:spacing w:line="360" w:lineRule="auto"/>
      <w:ind w:firstLine="1040" w:firstLineChars="200"/>
    </w:pPr>
    <w:rPr>
      <w:rFonts w:ascii="Times New Roman" w:hAnsi="Times New Roman" w:cs="Times New Roman"/>
      <w:sz w:val="24"/>
    </w:rPr>
  </w:style>
  <w:style w:type="paragraph" w:customStyle="1" w:styleId="38">
    <w:name w:val="表 标题"/>
    <w:basedOn w:val="19"/>
    <w:autoRedefine/>
    <w:qFormat/>
    <w:uiPriority w:val="0"/>
    <w:pPr>
      <w:spacing w:before="50" w:beforeLines="50"/>
      <w:ind w:left="0" w:leftChars="0" w:firstLine="0" w:firstLineChars="0"/>
      <w:jc w:val="center"/>
    </w:pPr>
    <w:rPr>
      <w:rFonts w:ascii="Times New Roman" w:hAnsi="Times New Roman" w:eastAsia="宋体" w:cs="Times New Roman"/>
      <w:b/>
      <w:szCs w:val="20"/>
    </w:rPr>
  </w:style>
  <w:style w:type="character" w:customStyle="1" w:styleId="39">
    <w:name w:val="正文文本缩进 2 Char"/>
    <w:link w:val="16"/>
    <w:autoRedefine/>
    <w:qFormat/>
    <w:uiPriority w:val="0"/>
    <w:rPr>
      <w:rFonts w:ascii="Times New Roman" w:hAnsi="Times New Roman" w:eastAsia="宋体" w:cs="Times New Roman"/>
      <w:b/>
      <w:sz w:val="21"/>
      <w:szCs w:val="22"/>
    </w:rPr>
  </w:style>
  <w:style w:type="paragraph" w:customStyle="1" w:styleId="40">
    <w:name w:val="正  文"/>
    <w:autoRedefine/>
    <w:qFormat/>
    <w:uiPriority w:val="0"/>
    <w:pPr>
      <w:widowControl w:val="0"/>
      <w:spacing w:line="360" w:lineRule="auto"/>
      <w:ind w:firstLine="200" w:firstLineChars="200"/>
    </w:pPr>
    <w:rPr>
      <w:rFonts w:ascii="Times New Roman" w:hAnsi="Times New Roman" w:eastAsia="宋体" w:cs="Times New Roman"/>
      <w:kern w:val="2"/>
      <w:sz w:val="24"/>
      <w:szCs w:val="28"/>
      <w:lang w:val="en-US" w:eastAsia="zh-CN" w:bidi="ar-SA"/>
    </w:rPr>
  </w:style>
  <w:style w:type="character" w:customStyle="1" w:styleId="41">
    <w:name w:val="页眉 Char"/>
    <w:link w:val="18"/>
    <w:autoRedefine/>
    <w:qFormat/>
    <w:uiPriority w:val="99"/>
    <w:rPr>
      <w:rFonts w:ascii="Times New Roman" w:hAnsi="Times New Roman" w:eastAsia="宋体"/>
      <w:kern w:val="2"/>
      <w:sz w:val="18"/>
      <w:szCs w:val="18"/>
    </w:rPr>
  </w:style>
  <w:style w:type="character" w:customStyle="1" w:styleId="42">
    <w:name w:val="0正文唐 Char"/>
    <w:link w:val="27"/>
    <w:autoRedefine/>
    <w:qFormat/>
    <w:uiPriority w:val="0"/>
    <w:rPr>
      <w:rFonts w:ascii="Times New Roman" w:hAnsi="Times New Roman" w:eastAsia="宋体" w:cs="Times New Roman"/>
      <w:sz w:val="28"/>
    </w:rPr>
  </w:style>
  <w:style w:type="paragraph" w:customStyle="1" w:styleId="43">
    <w:name w:val="正文-唐"/>
    <w:basedOn w:val="27"/>
    <w:autoRedefine/>
    <w:qFormat/>
    <w:uiPriority w:val="0"/>
    <w:pPr>
      <w:ind w:firstLine="600"/>
    </w:pPr>
    <w:rPr>
      <w:szCs w:val="22"/>
    </w:rPr>
  </w:style>
  <w:style w:type="paragraph" w:customStyle="1" w:styleId="44">
    <w:name w:val="自编-正文"/>
    <w:basedOn w:val="1"/>
    <w:autoRedefine/>
    <w:qFormat/>
    <w:uiPriority w:val="0"/>
    <w:pPr>
      <w:spacing w:line="360" w:lineRule="auto"/>
      <w:ind w:firstLine="480" w:firstLineChars="200"/>
      <w:jc w:val="left"/>
    </w:pPr>
    <w:rPr>
      <w:rFonts w:ascii="Times New Roman" w:hAnsi="Times New Roman" w:eastAsia="宋体" w:cs="宋体"/>
      <w:sz w:val="24"/>
    </w:rPr>
  </w:style>
  <w:style w:type="paragraph" w:customStyle="1" w:styleId="45">
    <w:name w:val="报告正文"/>
    <w:basedOn w:val="1"/>
    <w:link w:val="46"/>
    <w:autoRedefine/>
    <w:qFormat/>
    <w:uiPriority w:val="0"/>
    <w:pPr>
      <w:spacing w:line="360" w:lineRule="auto"/>
      <w:textAlignment w:val="baseline"/>
    </w:pPr>
    <w:rPr>
      <w:rFonts w:ascii="Times New Roman" w:hAnsi="Times New Roman" w:eastAsia="宋体"/>
      <w:kern w:val="24"/>
      <w:sz w:val="24"/>
    </w:rPr>
  </w:style>
  <w:style w:type="character" w:customStyle="1" w:styleId="46">
    <w:name w:val="报告正文 Char"/>
    <w:link w:val="45"/>
    <w:autoRedefine/>
    <w:qFormat/>
    <w:uiPriority w:val="0"/>
    <w:rPr>
      <w:rFonts w:ascii="Times New Roman" w:hAnsi="Times New Roman" w:eastAsia="宋体"/>
      <w:kern w:val="24"/>
      <w:sz w:val="24"/>
      <w:szCs w:val="24"/>
    </w:rPr>
  </w:style>
  <w:style w:type="paragraph" w:customStyle="1" w:styleId="47">
    <w:name w:val="表内文字"/>
    <w:basedOn w:val="1"/>
    <w:autoRedefine/>
    <w:qFormat/>
    <w:uiPriority w:val="0"/>
    <w:pPr>
      <w:jc w:val="center"/>
    </w:pPr>
    <w:rPr>
      <w:rFonts w:ascii="Times New Roman" w:hAnsi="Times New Roman" w:eastAsia="宋体" w:cs="Times New Roman"/>
      <w:bCs/>
      <w:szCs w:val="21"/>
    </w:rPr>
  </w:style>
  <w:style w:type="paragraph" w:customStyle="1" w:styleId="48">
    <w:name w:val="0验收正文"/>
    <w:basedOn w:val="27"/>
    <w:next w:val="27"/>
    <w:autoRedefine/>
    <w:qFormat/>
    <w:uiPriority w:val="0"/>
    <w:pPr>
      <w:numPr>
        <w:ilvl w:val="0"/>
        <w:numId w:val="3"/>
      </w:numPr>
      <w:jc w:val="both"/>
    </w:pPr>
    <w:rPr>
      <w:bCs/>
    </w:rPr>
  </w:style>
  <w:style w:type="character" w:customStyle="1" w:styleId="49">
    <w:name w:val="content1"/>
    <w:basedOn w:val="23"/>
    <w:autoRedefine/>
    <w:qFormat/>
    <w:uiPriority w:val="0"/>
    <w:rPr>
      <w:color w:val="000000"/>
      <w:sz w:val="20"/>
      <w:szCs w:val="20"/>
    </w:rPr>
  </w:style>
  <w:style w:type="paragraph" w:customStyle="1" w:styleId="50">
    <w:name w:val="列出段落1"/>
    <w:basedOn w:val="1"/>
    <w:autoRedefine/>
    <w:unhideWhenUsed/>
    <w:qFormat/>
    <w:uiPriority w:val="99"/>
    <w:pPr>
      <w:ind w:firstLine="420" w:firstLineChars="200"/>
    </w:pPr>
  </w:style>
  <w:style w:type="paragraph" w:customStyle="1" w:styleId="51">
    <w:name w:val="正文文本-彩路"/>
    <w:link w:val="52"/>
    <w:qFormat/>
    <w:uiPriority w:val="0"/>
    <w:pPr>
      <w:spacing w:before="0" w:after="0" w:line="360" w:lineRule="auto"/>
      <w:ind w:right="0" w:firstLine="200" w:firstLineChars="200"/>
    </w:pPr>
    <w:rPr>
      <w:rFonts w:ascii="Times New Roman" w:hAnsi="Times New Roman" w:eastAsia="宋体" w:cs="Times New Roman"/>
      <w:sz w:val="21"/>
    </w:rPr>
  </w:style>
  <w:style w:type="character" w:customStyle="1" w:styleId="52">
    <w:name w:val="正文文本-彩路 Char"/>
    <w:link w:val="51"/>
    <w:qFormat/>
    <w:uiPriority w:val="0"/>
    <w:rPr>
      <w:rFonts w:ascii="Times New Roman" w:hAnsi="Times New Roman" w:eastAsia="宋体"/>
      <w:sz w:val="21"/>
    </w:rPr>
  </w:style>
  <w:style w:type="paragraph" w:customStyle="1" w:styleId="53">
    <w:name w:val="正文-大梦"/>
    <w:link w:val="54"/>
    <w:qFormat/>
    <w:uiPriority w:val="0"/>
    <w:pPr>
      <w:wordWrap/>
      <w:spacing w:before="0" w:after="0" w:line="360" w:lineRule="auto"/>
      <w:ind w:right="0" w:firstLine="200" w:firstLineChars="200"/>
    </w:pPr>
    <w:rPr>
      <w:rFonts w:ascii="Times New Roman" w:hAnsi="Times New Roman" w:eastAsia="宋体" w:cs="Times New Roman"/>
      <w:sz w:val="21"/>
    </w:rPr>
  </w:style>
  <w:style w:type="character" w:customStyle="1" w:styleId="54">
    <w:name w:val="正文-湘她他 Char"/>
    <w:link w:val="53"/>
    <w:qFormat/>
    <w:uiPriority w:val="0"/>
    <w:rPr>
      <w:rFonts w:ascii="Times New Roman" w:hAnsi="Times New Roman" w:eastAsia="宋体"/>
      <w:sz w:val="21"/>
    </w:rPr>
  </w:style>
  <w:style w:type="paragraph" w:customStyle="1" w:styleId="55">
    <w:name w:val="文本表格"/>
    <w:basedOn w:val="1"/>
    <w:qFormat/>
    <w:uiPriority w:val="0"/>
    <w:pPr>
      <w:adjustRightInd/>
      <w:snapToGrid/>
      <w:spacing w:line="240" w:lineRule="auto"/>
      <w:ind w:firstLine="0" w:firstLineChars="0"/>
      <w:jc w:val="center"/>
    </w:pPr>
    <w:rPr>
      <w:rFonts w:hint="eastAsia" w:ascii="宋体" w:hAnsi="宋体" w:eastAsia="宋体" w:cs="宋体"/>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1268</Words>
  <Characters>1366</Characters>
  <Lines>10</Lines>
  <Paragraphs>2</Paragraphs>
  <TotalTime>4</TotalTime>
  <ScaleCrop>false</ScaleCrop>
  <LinksUpToDate>false</LinksUpToDate>
  <CharactersWithSpaces>1482</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2024-04-02T02:17:00Z</dcterms:created>
  <dc:creator>fm</dc:creator>
  <cp:lastModifiedBy>kylin</cp:lastModifiedBy>
  <dcterms:modified xsi:type="dcterms:W3CDTF">2025-09-16T10:34:04Z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AF0C39C2316F47BD9CD1C38064828510_13</vt:lpwstr>
  </property>
  <property fmtid="{D5CDD505-2E9C-101B-9397-08002B2CF9AE}" pid="4" name="KSOTemplateDocerSaveRecord">
    <vt:lpwstr>eyJoZGlkIjoiNDM0Yzg1ZjA2NjZlNjVjODM2YzY0ZDNiOTljODgzNGMiLCJ1c2VySWQiOiI3MzI5NDk3In0=</vt:lpwstr>
  </property>
</Properties>
</file>