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997C2">
      <w:pPr>
        <w:spacing w:line="800" w:lineRule="exact"/>
        <w:rPr>
          <w:rFonts w:hint="eastAsia" w:ascii="仿宋_GB2312" w:hAnsi="宋体" w:eastAsia="仿宋_GB2312"/>
          <w:sz w:val="32"/>
          <w:szCs w:val="32"/>
        </w:rPr>
      </w:pPr>
    </w:p>
    <w:p w14:paraId="1D57C560">
      <w:pPr>
        <w:ind w:firstLine="5280" w:firstLineChars="1650"/>
        <w:rPr>
          <w:rFonts w:hint="default" w:ascii="Times New Roman" w:hAnsi="Times New Roman" w:eastAsia="仿宋_GB2312" w:cs="Times New Roman"/>
          <w:color w:val="auto"/>
          <w:sz w:val="32"/>
          <w:szCs w:val="32"/>
        </w:rPr>
      </w:pPr>
    </w:p>
    <w:p w14:paraId="1F785449">
      <w:pPr>
        <w:jc w:val="right"/>
        <w:rPr>
          <w:rFonts w:hint="default" w:ascii="Times New Roman" w:hAnsi="Times New Roman" w:eastAsia="仿宋_GB2312" w:cs="Times New Roman"/>
          <w:color w:val="auto"/>
          <w:sz w:val="32"/>
          <w:szCs w:val="32"/>
        </w:rPr>
      </w:pPr>
      <w:r>
        <w:rPr>
          <w:rFonts w:hint="eastAsia" w:ascii="仿宋_GB2312" w:hAnsi="仿宋_GB2312" w:eastAsia="仿宋_GB2312" w:cs="仿宋_GB2312"/>
          <w:color w:val="auto"/>
          <w:sz w:val="32"/>
          <w:szCs w:val="32"/>
        </w:rPr>
        <w:t>蒸环评函〔202</w:t>
      </w:r>
      <w:r>
        <w:rPr>
          <w:rFonts w:hint="eastAsia" w:ascii="仿宋_GB2312" w:hAnsi="仿宋_GB2312" w:eastAsia="仿宋_GB2312" w:cs="仿宋_GB2312"/>
          <w:color w:val="auto"/>
          <w:sz w:val="32"/>
          <w:szCs w:val="32"/>
          <w:lang w:val="en-US" w:eastAsia="zh-CN"/>
        </w:rPr>
        <w:t>5〕26</w:t>
      </w:r>
      <w:r>
        <w:rPr>
          <w:rFonts w:hint="eastAsia" w:ascii="仿宋_GB2312" w:hAnsi="仿宋_GB2312" w:eastAsia="仿宋_GB2312" w:cs="仿宋_GB2312"/>
          <w:color w:val="auto"/>
          <w:sz w:val="32"/>
          <w:szCs w:val="32"/>
        </w:rPr>
        <w:t>号</w:t>
      </w:r>
    </w:p>
    <w:p w14:paraId="671939F3">
      <w:pPr>
        <w:spacing w:line="280" w:lineRule="exact"/>
        <w:ind w:firstLine="5280" w:firstLineChars="1650"/>
        <w:rPr>
          <w:rFonts w:hint="eastAsia" w:ascii="仿宋_GB2312" w:hAnsi="宋体" w:eastAsia="仿宋_GB2312"/>
          <w:color w:val="auto"/>
          <w:sz w:val="44"/>
          <w:szCs w:val="44"/>
        </w:rPr>
      </w:pPr>
      <w:r>
        <w:rPr>
          <w:rFonts w:hint="eastAsia" w:ascii="仿宋_GB2312" w:hAnsi="宋体" w:eastAsia="仿宋_GB2312"/>
          <w:color w:val="auto"/>
          <w:sz w:val="32"/>
          <w:szCs w:val="32"/>
        </w:rPr>
        <w:t xml:space="preserve">  </w:t>
      </w:r>
    </w:p>
    <w:p w14:paraId="4641056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lang w:val="en-US" w:eastAsia="zh-CN"/>
        </w:rPr>
      </w:pPr>
      <w:bookmarkStart w:id="1" w:name="_GoBack"/>
      <w:r>
        <w:rPr>
          <w:rFonts w:hint="eastAsia" w:ascii="方正小标宋简体" w:hAnsi="方正小标宋简体" w:eastAsia="方正小标宋简体" w:cs="方正小标宋简体"/>
          <w:b/>
          <w:bCs w:val="0"/>
          <w:color w:val="auto"/>
          <w:sz w:val="36"/>
          <w:szCs w:val="36"/>
          <w:lang w:val="en-US" w:eastAsia="zh-CN"/>
        </w:rPr>
        <w:t>衡阳市生态环境局</w:t>
      </w:r>
    </w:p>
    <w:p w14:paraId="6253E74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val="0"/>
          <w:color w:val="auto"/>
          <w:sz w:val="36"/>
          <w:szCs w:val="36"/>
          <w:lang w:val="en-US" w:eastAsia="zh-CN"/>
        </w:rPr>
      </w:pPr>
      <w:r>
        <w:rPr>
          <w:rFonts w:hint="eastAsia" w:ascii="方正小标宋简体" w:hAnsi="方正小标宋简体" w:eastAsia="方正小标宋简体" w:cs="方正小标宋简体"/>
          <w:b/>
          <w:bCs w:val="0"/>
          <w:color w:val="auto"/>
          <w:sz w:val="36"/>
          <w:szCs w:val="36"/>
          <w:lang w:val="en-US" w:eastAsia="zh-CN"/>
        </w:rPr>
        <w:t>关于湖南思缘渣江米粉科技发展有限公司年产424吨米粉生产线项目环境影响报告表的批复</w:t>
      </w:r>
      <w:bookmarkEnd w:id="1"/>
    </w:p>
    <w:p w14:paraId="58F69684">
      <w:pPr>
        <w:keepNext w:val="0"/>
        <w:keepLines w:val="0"/>
        <w:pageBreakBefore w:val="0"/>
        <w:widowControl w:val="0"/>
        <w:kinsoku/>
        <w:wordWrap/>
        <w:overflowPunct/>
        <w:topLinePunct w:val="0"/>
        <w:autoSpaceDE/>
        <w:autoSpaceDN/>
        <w:bidi w:val="0"/>
        <w:adjustRightInd/>
        <w:snapToGrid/>
        <w:spacing w:line="360" w:lineRule="exact"/>
        <w:textAlignment w:val="auto"/>
        <w:rPr>
          <w:rStyle w:val="48"/>
          <w:rFonts w:hint="eastAsia" w:ascii="仿宋_GB2312" w:hAnsi="仿宋_GB2312" w:eastAsia="仿宋_GB2312" w:cs="仿宋_GB2312"/>
          <w:color w:val="auto"/>
          <w:sz w:val="32"/>
          <w:szCs w:val="32"/>
        </w:rPr>
      </w:pPr>
    </w:p>
    <w:p w14:paraId="6064668B">
      <w:pPr>
        <w:keepNext w:val="0"/>
        <w:keepLines w:val="0"/>
        <w:pageBreakBefore w:val="0"/>
        <w:kinsoku/>
        <w:wordWrap/>
        <w:overflowPunct/>
        <w:topLinePunct w:val="0"/>
        <w:autoSpaceDE/>
        <w:autoSpaceDN/>
        <w:bidi w:val="0"/>
        <w:spacing w:line="360" w:lineRule="auto"/>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湖南思缘渣江米粉科技发展有限公司：</w:t>
      </w:r>
    </w:p>
    <w:p w14:paraId="6B87833E">
      <w:pPr>
        <w:keepNext w:val="0"/>
        <w:keepLines w:val="0"/>
        <w:pageBreakBefore w:val="0"/>
        <w:widowControl/>
        <w:kinsoku/>
        <w:wordWrap/>
        <w:overflowPunct/>
        <w:topLinePunct w:val="0"/>
        <w:autoSpaceDE/>
        <w:autoSpaceDN/>
        <w:bidi w:val="0"/>
        <w:spacing w:line="360" w:lineRule="auto"/>
        <w:ind w:firstLine="640" w:firstLineChars="200"/>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你</w:t>
      </w:r>
      <w:r>
        <w:rPr>
          <w:rStyle w:val="48"/>
          <w:rFonts w:hint="eastAsia" w:ascii="仿宋_GB2312" w:hAnsi="仿宋_GB2312" w:eastAsia="仿宋_GB2312" w:cs="仿宋_GB2312"/>
          <w:color w:val="auto"/>
          <w:sz w:val="32"/>
          <w:szCs w:val="32"/>
          <w:lang w:eastAsia="zh-CN"/>
        </w:rPr>
        <w:t>单位报送</w:t>
      </w:r>
      <w:r>
        <w:rPr>
          <w:rStyle w:val="48"/>
          <w:rFonts w:hint="eastAsia" w:ascii="仿宋_GB2312" w:hAnsi="仿宋_GB2312" w:eastAsia="仿宋_GB2312" w:cs="仿宋_GB2312"/>
          <w:color w:val="auto"/>
          <w:sz w:val="32"/>
          <w:szCs w:val="32"/>
        </w:rPr>
        <w:t>的《湖南思缘渣江米粉科技发展有限公司年产424吨米粉生产线项目</w:t>
      </w:r>
      <w:r>
        <w:rPr>
          <w:rStyle w:val="48"/>
          <w:rFonts w:hint="eastAsia" w:ascii="仿宋_GB2312" w:hAnsi="仿宋_GB2312" w:eastAsia="仿宋_GB2312" w:cs="仿宋_GB2312"/>
          <w:color w:val="auto"/>
          <w:sz w:val="32"/>
          <w:szCs w:val="32"/>
          <w:lang w:eastAsia="zh-CN"/>
        </w:rPr>
        <w:t>环境影响报告表</w:t>
      </w:r>
      <w:r>
        <w:rPr>
          <w:rStyle w:val="48"/>
          <w:rFonts w:hint="eastAsia" w:ascii="仿宋_GB2312" w:hAnsi="仿宋_GB2312" w:eastAsia="仿宋_GB2312" w:cs="仿宋_GB2312"/>
          <w:color w:val="auto"/>
          <w:sz w:val="32"/>
          <w:szCs w:val="32"/>
        </w:rPr>
        <w:t>》（报批稿）及专家组评审意见均已收悉，经研究，批复如下：</w:t>
      </w:r>
    </w:p>
    <w:p w14:paraId="2D339D1B">
      <w:pPr>
        <w:keepNext w:val="0"/>
        <w:keepLines w:val="0"/>
        <w:pageBreakBefore w:val="0"/>
        <w:widowControl w:val="0"/>
        <w:kinsoku/>
        <w:wordWrap/>
        <w:overflowPunct/>
        <w:topLinePunct w:val="0"/>
        <w:autoSpaceDE/>
        <w:autoSpaceDN/>
        <w:bidi w:val="0"/>
        <w:spacing w:line="360" w:lineRule="auto"/>
        <w:ind w:firstLine="640" w:firstLineChars="200"/>
        <w:jc w:val="left"/>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一、湖南思缘渣江米粉科技发展有限公司拟投资</w:t>
      </w:r>
      <w:r>
        <w:rPr>
          <w:rStyle w:val="48"/>
          <w:rFonts w:hint="eastAsia" w:ascii="仿宋_GB2312" w:hAnsi="仿宋_GB2312" w:eastAsia="仿宋_GB2312" w:cs="仿宋_GB2312"/>
          <w:color w:val="auto"/>
          <w:sz w:val="32"/>
          <w:szCs w:val="32"/>
          <w:lang w:val="en-US" w:eastAsia="zh-CN"/>
        </w:rPr>
        <w:t>3</w:t>
      </w:r>
      <w:r>
        <w:rPr>
          <w:rStyle w:val="48"/>
          <w:rFonts w:hint="eastAsia" w:ascii="仿宋_GB2312" w:hAnsi="仿宋_GB2312" w:eastAsia="仿宋_GB2312" w:cs="仿宋_GB2312"/>
          <w:color w:val="auto"/>
          <w:sz w:val="32"/>
          <w:szCs w:val="32"/>
        </w:rPr>
        <w:t>0万元</w:t>
      </w:r>
      <w:r>
        <w:rPr>
          <w:rStyle w:val="48"/>
          <w:rFonts w:hint="eastAsia" w:ascii="仿宋_GB2312" w:hAnsi="仿宋_GB2312" w:eastAsia="仿宋_GB2312" w:cs="仿宋_GB2312"/>
          <w:color w:val="auto"/>
          <w:sz w:val="32"/>
          <w:szCs w:val="32"/>
          <w:lang w:eastAsia="zh-CN"/>
        </w:rPr>
        <w:t>，</w:t>
      </w:r>
      <w:r>
        <w:rPr>
          <w:rStyle w:val="48"/>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rPr>
        <w:t>衡阳县渣江镇沐林村孟公嘴组</w:t>
      </w:r>
      <w:r>
        <w:rPr>
          <w:rFonts w:hint="eastAsia" w:ascii="仿宋_GB2312" w:hAnsi="仿宋_GB2312" w:eastAsia="仿宋_GB2312" w:cs="仿宋_GB2312"/>
          <w:color w:val="auto"/>
          <w:sz w:val="32"/>
          <w:szCs w:val="32"/>
          <w:lang w:eastAsia="zh-CN"/>
        </w:rPr>
        <w:t>一条</w:t>
      </w:r>
      <w:r>
        <w:rPr>
          <w:rStyle w:val="48"/>
          <w:rFonts w:hint="eastAsia" w:ascii="仿宋_GB2312" w:hAnsi="仿宋_GB2312" w:eastAsia="仿宋_GB2312" w:cs="仿宋_GB2312"/>
          <w:color w:val="auto"/>
          <w:sz w:val="32"/>
          <w:szCs w:val="32"/>
        </w:rPr>
        <w:t>年产424吨米粉生产线</w:t>
      </w:r>
      <w:r>
        <w:rPr>
          <w:rStyle w:val="48"/>
          <w:rFonts w:hint="eastAsia" w:ascii="仿宋_GB2312" w:hAnsi="仿宋_GB2312" w:eastAsia="仿宋_GB2312" w:cs="仿宋_GB2312"/>
          <w:color w:val="auto"/>
          <w:sz w:val="32"/>
          <w:szCs w:val="32"/>
          <w:lang w:val="en-US" w:eastAsia="zh-CN"/>
        </w:rPr>
        <w:t>，项目</w:t>
      </w:r>
      <w:r>
        <w:rPr>
          <w:rStyle w:val="48"/>
          <w:rFonts w:hint="eastAsia" w:ascii="仿宋_GB2312" w:hAnsi="仿宋_GB2312" w:eastAsia="仿宋_GB2312" w:cs="仿宋_GB2312"/>
          <w:color w:val="auto"/>
          <w:sz w:val="32"/>
          <w:szCs w:val="32"/>
        </w:rPr>
        <w:t>占地面积</w:t>
      </w:r>
      <w:r>
        <w:rPr>
          <w:rFonts w:hint="eastAsia" w:ascii="仿宋_GB2312" w:hAnsi="仿宋_GB2312" w:eastAsia="仿宋_GB2312" w:cs="仿宋_GB2312"/>
          <w:color w:val="auto"/>
          <w:sz w:val="32"/>
          <w:szCs w:val="32"/>
        </w:rPr>
        <w:t>1869.3</w:t>
      </w:r>
      <w:r>
        <w:rPr>
          <w:rStyle w:val="48"/>
          <w:rFonts w:hint="eastAsia" w:ascii="仿宋_GB2312" w:hAnsi="仿宋_GB2312" w:eastAsia="仿宋_GB2312" w:cs="仿宋_GB2312"/>
          <w:color w:val="auto"/>
          <w:sz w:val="32"/>
          <w:szCs w:val="32"/>
        </w:rPr>
        <w:t>m</w:t>
      </w:r>
      <w:r>
        <w:rPr>
          <w:rStyle w:val="48"/>
          <w:rFonts w:hint="eastAsia" w:ascii="仿宋_GB2312" w:hAnsi="仿宋_GB2312" w:eastAsia="仿宋_GB2312" w:cs="仿宋_GB2312"/>
          <w:color w:val="auto"/>
          <w:sz w:val="32"/>
          <w:szCs w:val="32"/>
          <w:vertAlign w:val="superscript"/>
        </w:rPr>
        <w:t>2</w:t>
      </w:r>
      <w:r>
        <w:rPr>
          <w:rStyle w:val="48"/>
          <w:rFonts w:hint="eastAsia" w:ascii="仿宋_GB2312" w:hAnsi="仿宋_GB2312" w:eastAsia="仿宋_GB2312" w:cs="仿宋_GB2312"/>
          <w:color w:val="auto"/>
          <w:sz w:val="32"/>
          <w:szCs w:val="32"/>
          <w:lang w:eastAsia="zh-CN"/>
        </w:rPr>
        <w:t>，主要</w:t>
      </w:r>
      <w:r>
        <w:rPr>
          <w:rStyle w:val="48"/>
          <w:rFonts w:hint="eastAsia" w:ascii="仿宋_GB2312" w:hAnsi="仿宋_GB2312" w:eastAsia="仿宋_GB2312" w:cs="仿宋_GB2312"/>
          <w:color w:val="auto"/>
          <w:sz w:val="32"/>
          <w:szCs w:val="32"/>
          <w:lang w:val="en-US" w:eastAsia="zh-CN"/>
        </w:rPr>
        <w:t>建设内容包括米粉生产车间（</w:t>
      </w:r>
      <w:r>
        <w:rPr>
          <w:rFonts w:hint="eastAsia" w:ascii="仿宋_GB2312" w:hAnsi="仿宋_GB2312" w:eastAsia="仿宋_GB2312" w:cs="仿宋_GB2312"/>
          <w:color w:val="auto"/>
          <w:sz w:val="32"/>
          <w:szCs w:val="32"/>
        </w:rPr>
        <w:t>洗米浸泡区、磨粉区、搅拌区、熟化区、挤丝区、晾干车间、湿粉老化车间、烤房、原料库、成品库、包装车间等</w:t>
      </w:r>
      <w:r>
        <w:rPr>
          <w:rStyle w:val="48"/>
          <w:rFonts w:hint="eastAsia" w:ascii="仿宋_GB2312" w:hAnsi="仿宋_GB2312" w:eastAsia="仿宋_GB2312" w:cs="仿宋_GB2312"/>
          <w:color w:val="auto"/>
          <w:sz w:val="32"/>
          <w:szCs w:val="32"/>
          <w:lang w:val="en-US" w:eastAsia="zh-CN"/>
        </w:rPr>
        <w:t>）、原料仓、包装车间、成品仓、综合楼等。</w:t>
      </w:r>
      <w:r>
        <w:rPr>
          <w:rFonts w:hint="eastAsia" w:ascii="仿宋_GB2312" w:hAnsi="仿宋_GB2312" w:eastAsia="仿宋_GB2312" w:cs="仿宋_GB2312"/>
          <w:color w:val="auto"/>
          <w:sz w:val="32"/>
          <w:szCs w:val="32"/>
          <w:u w:val="none"/>
        </w:rPr>
        <w:t>本项目符合国家产业政策，根据</w:t>
      </w:r>
      <w:r>
        <w:rPr>
          <w:rFonts w:hint="eastAsia" w:ascii="仿宋_GB2312" w:hAnsi="仿宋_GB2312" w:eastAsia="仿宋_GB2312" w:cs="仿宋_GB2312"/>
          <w:color w:val="auto"/>
          <w:sz w:val="32"/>
          <w:szCs w:val="32"/>
          <w:lang w:eastAsia="zh-CN"/>
        </w:rPr>
        <w:t>湖南聚星励志环保科技有限公司</w:t>
      </w:r>
      <w:r>
        <w:rPr>
          <w:rFonts w:hint="eastAsia" w:ascii="仿宋_GB2312" w:hAnsi="仿宋_GB2312" w:eastAsia="仿宋_GB2312" w:cs="仿宋_GB2312"/>
          <w:color w:val="auto"/>
          <w:sz w:val="32"/>
          <w:szCs w:val="32"/>
          <w:u w:val="none"/>
        </w:rPr>
        <w:t>所编制的环境影响报告表</w:t>
      </w:r>
      <w:r>
        <w:rPr>
          <w:rFonts w:hint="eastAsia" w:ascii="仿宋_GB2312" w:hAnsi="仿宋_GB2312" w:eastAsia="仿宋_GB2312" w:cs="仿宋_GB2312"/>
          <w:color w:val="auto"/>
          <w:sz w:val="32"/>
          <w:szCs w:val="32"/>
        </w:rPr>
        <w:t>的分析结论和专家组评审意见，在建设单位严格执行环保“三同时”制度，切实落实报告表中提出的各项污染防治措施，确保各类污染物达标排放的情况下，从环保的角度分析，同意该项目建设。本《报告表》可作为项目建设和环境管理的依据</w:t>
      </w:r>
      <w:r>
        <w:rPr>
          <w:rFonts w:hint="eastAsia" w:ascii="仿宋_GB2312" w:hAnsi="仿宋_GB2312" w:eastAsia="仿宋_GB2312" w:cs="仿宋_GB2312"/>
          <w:color w:val="auto"/>
          <w:sz w:val="32"/>
          <w:szCs w:val="32"/>
          <w:lang w:eastAsia="zh-CN"/>
        </w:rPr>
        <w:t>。</w:t>
      </w:r>
    </w:p>
    <w:p w14:paraId="56F89719">
      <w:pPr>
        <w:keepNext w:val="0"/>
        <w:keepLines w:val="0"/>
        <w:pageBreakBefore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rPr>
        <w:t>在项目建设和运行中，必须严格执行环保法律法规，认真落实报告表提出的各项污染防治措施，并着重做好以下工作：</w:t>
      </w:r>
    </w:p>
    <w:p w14:paraId="3919A435">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Style w:val="48"/>
          <w:rFonts w:hint="eastAsia" w:ascii="仿宋_GB2312" w:hAnsi="仿宋_GB2312" w:eastAsia="仿宋_GB2312" w:cs="仿宋_GB2312"/>
          <w:color w:val="auto"/>
          <w:sz w:val="32"/>
          <w:szCs w:val="32"/>
          <w:lang w:eastAsia="zh-CN"/>
        </w:rPr>
      </w:pPr>
      <w:r>
        <w:rPr>
          <w:rStyle w:val="48"/>
          <w:rFonts w:hint="eastAsia" w:ascii="仿宋_GB2312" w:hAnsi="仿宋_GB2312" w:eastAsia="仿宋_GB2312" w:cs="仿宋_GB2312"/>
          <w:color w:val="auto"/>
          <w:sz w:val="32"/>
          <w:szCs w:val="32"/>
        </w:rPr>
        <w:t>（一）做好大气污染防治工作。</w:t>
      </w:r>
      <w:r>
        <w:rPr>
          <w:rStyle w:val="48"/>
          <w:rFonts w:hint="eastAsia" w:ascii="仿宋_GB2312" w:hAnsi="仿宋_GB2312" w:eastAsia="仿宋_GB2312" w:cs="仿宋_GB2312"/>
          <w:color w:val="auto"/>
          <w:sz w:val="32"/>
          <w:szCs w:val="32"/>
          <w:lang w:eastAsia="zh-CN"/>
        </w:rPr>
        <w:t>项目</w:t>
      </w:r>
      <w:r>
        <w:rPr>
          <w:rStyle w:val="48"/>
          <w:rFonts w:hint="eastAsia" w:ascii="仿宋_GB2312" w:hAnsi="仿宋_GB2312" w:eastAsia="仿宋_GB2312" w:cs="仿宋_GB2312"/>
          <w:color w:val="auto"/>
          <w:sz w:val="32"/>
          <w:szCs w:val="32"/>
        </w:rPr>
        <w:t>开包、投料、提升</w:t>
      </w:r>
      <w:r>
        <w:rPr>
          <w:rStyle w:val="48"/>
          <w:rFonts w:hint="eastAsia" w:ascii="仿宋_GB2312" w:hAnsi="仿宋_GB2312" w:eastAsia="仿宋_GB2312" w:cs="仿宋_GB2312"/>
          <w:color w:val="auto"/>
          <w:sz w:val="32"/>
          <w:szCs w:val="32"/>
          <w:lang w:eastAsia="zh-CN"/>
        </w:rPr>
        <w:t>等工序产生的</w:t>
      </w:r>
      <w:r>
        <w:rPr>
          <w:rStyle w:val="48"/>
          <w:rFonts w:hint="eastAsia" w:ascii="仿宋_GB2312" w:hAnsi="仿宋_GB2312" w:eastAsia="仿宋_GB2312" w:cs="仿宋_GB2312"/>
          <w:color w:val="auto"/>
          <w:sz w:val="32"/>
          <w:szCs w:val="32"/>
        </w:rPr>
        <w:t>粉尘</w:t>
      </w:r>
      <w:r>
        <w:rPr>
          <w:rStyle w:val="48"/>
          <w:rFonts w:hint="eastAsia" w:ascii="仿宋_GB2312" w:hAnsi="仿宋_GB2312" w:eastAsia="仿宋_GB2312" w:cs="仿宋_GB2312"/>
          <w:color w:val="auto"/>
          <w:sz w:val="32"/>
          <w:szCs w:val="32"/>
          <w:lang w:eastAsia="zh-CN"/>
        </w:rPr>
        <w:t>经</w:t>
      </w:r>
      <w:r>
        <w:rPr>
          <w:rStyle w:val="48"/>
          <w:rFonts w:hint="eastAsia" w:ascii="仿宋_GB2312" w:hAnsi="仿宋_GB2312" w:eastAsia="仿宋_GB2312" w:cs="仿宋_GB2312"/>
          <w:color w:val="auto"/>
          <w:sz w:val="32"/>
          <w:szCs w:val="32"/>
        </w:rPr>
        <w:t>双沙克龙除尘器</w:t>
      </w:r>
      <w:r>
        <w:rPr>
          <w:rStyle w:val="48"/>
          <w:rFonts w:hint="eastAsia" w:ascii="仿宋_GB2312" w:hAnsi="仿宋_GB2312" w:eastAsia="仿宋_GB2312" w:cs="仿宋_GB2312"/>
          <w:color w:val="auto"/>
          <w:sz w:val="32"/>
          <w:szCs w:val="32"/>
          <w:lang w:eastAsia="zh-CN"/>
        </w:rPr>
        <w:t>处理后在</w:t>
      </w:r>
      <w:r>
        <w:rPr>
          <w:rStyle w:val="48"/>
          <w:rFonts w:hint="eastAsia" w:ascii="仿宋_GB2312" w:hAnsi="仿宋_GB2312" w:eastAsia="仿宋_GB2312" w:cs="仿宋_GB2312"/>
          <w:color w:val="auto"/>
          <w:sz w:val="32"/>
          <w:szCs w:val="32"/>
        </w:rPr>
        <w:t>封闭式车间</w:t>
      </w:r>
      <w:r>
        <w:rPr>
          <w:rStyle w:val="48"/>
          <w:rFonts w:hint="eastAsia" w:ascii="仿宋_GB2312" w:hAnsi="仿宋_GB2312" w:eastAsia="仿宋_GB2312" w:cs="仿宋_GB2312"/>
          <w:color w:val="auto"/>
          <w:sz w:val="32"/>
          <w:szCs w:val="32"/>
          <w:lang w:eastAsia="zh-CN"/>
        </w:rPr>
        <w:t>内达标排放；</w:t>
      </w:r>
      <w:r>
        <w:rPr>
          <w:rStyle w:val="48"/>
          <w:rFonts w:hint="eastAsia" w:ascii="仿宋_GB2312" w:hAnsi="仿宋_GB2312" w:eastAsia="仿宋_GB2312" w:cs="仿宋_GB2312"/>
          <w:color w:val="auto"/>
          <w:sz w:val="32"/>
          <w:szCs w:val="32"/>
        </w:rPr>
        <w:t>食堂油烟</w:t>
      </w:r>
      <w:r>
        <w:rPr>
          <w:rStyle w:val="48"/>
          <w:rFonts w:hint="eastAsia" w:ascii="仿宋_GB2312" w:hAnsi="仿宋_GB2312" w:eastAsia="仿宋_GB2312" w:cs="仿宋_GB2312"/>
          <w:color w:val="auto"/>
          <w:sz w:val="32"/>
          <w:szCs w:val="32"/>
          <w:lang w:eastAsia="zh-CN"/>
        </w:rPr>
        <w:t>经</w:t>
      </w:r>
      <w:r>
        <w:rPr>
          <w:rStyle w:val="48"/>
          <w:rFonts w:hint="eastAsia" w:ascii="仿宋_GB2312" w:hAnsi="仿宋_GB2312" w:eastAsia="仿宋_GB2312" w:cs="仿宋_GB2312"/>
          <w:color w:val="auto"/>
          <w:sz w:val="32"/>
          <w:szCs w:val="32"/>
        </w:rPr>
        <w:t>油烟净化器</w:t>
      </w:r>
      <w:r>
        <w:rPr>
          <w:rStyle w:val="48"/>
          <w:rFonts w:hint="eastAsia" w:ascii="仿宋_GB2312" w:hAnsi="仿宋_GB2312" w:eastAsia="仿宋_GB2312" w:cs="仿宋_GB2312"/>
          <w:color w:val="auto"/>
          <w:sz w:val="32"/>
          <w:szCs w:val="32"/>
          <w:lang w:eastAsia="zh-CN"/>
        </w:rPr>
        <w:t>处理达标后经</w:t>
      </w:r>
      <w:r>
        <w:rPr>
          <w:rStyle w:val="48"/>
          <w:rFonts w:hint="eastAsia" w:ascii="仿宋_GB2312" w:hAnsi="仿宋_GB2312" w:eastAsia="仿宋_GB2312" w:cs="仿宋_GB2312"/>
          <w:color w:val="auto"/>
          <w:sz w:val="32"/>
          <w:szCs w:val="32"/>
        </w:rPr>
        <w:t>屋顶排放</w:t>
      </w:r>
      <w:r>
        <w:rPr>
          <w:rStyle w:val="48"/>
          <w:rFonts w:hint="eastAsia" w:ascii="仿宋_GB2312" w:hAnsi="仿宋_GB2312" w:eastAsia="仿宋_GB2312" w:cs="仿宋_GB2312"/>
          <w:color w:val="auto"/>
          <w:sz w:val="32"/>
          <w:szCs w:val="32"/>
          <w:lang w:eastAsia="zh-CN"/>
        </w:rPr>
        <w:t>；加强车间通风、日常环境卫生管理，对污水处理设施采取</w:t>
      </w:r>
      <w:r>
        <w:rPr>
          <w:rStyle w:val="48"/>
          <w:rFonts w:hint="eastAsia" w:ascii="仿宋_GB2312" w:hAnsi="仿宋_GB2312" w:eastAsia="仿宋_GB2312" w:cs="仿宋_GB2312"/>
          <w:color w:val="auto"/>
          <w:sz w:val="32"/>
          <w:szCs w:val="32"/>
        </w:rPr>
        <w:t>加盖密闭、定期清理沉渣、喷除臭剂</w:t>
      </w:r>
      <w:r>
        <w:rPr>
          <w:rStyle w:val="48"/>
          <w:rFonts w:hint="eastAsia" w:ascii="仿宋_GB2312" w:hAnsi="仿宋_GB2312" w:eastAsia="仿宋_GB2312" w:cs="仿宋_GB2312"/>
          <w:color w:val="auto"/>
          <w:sz w:val="32"/>
          <w:szCs w:val="32"/>
          <w:lang w:eastAsia="zh-CN"/>
        </w:rPr>
        <w:t>等措施，减少恶臭对周边环境的影响。</w:t>
      </w:r>
    </w:p>
    <w:p w14:paraId="6DFF2FAC">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Style w:val="48"/>
          <w:rFonts w:hint="eastAsia" w:ascii="仿宋_GB2312" w:hAnsi="仿宋_GB2312" w:eastAsia="仿宋_GB2312" w:cs="仿宋_GB2312"/>
          <w:color w:val="auto"/>
          <w:sz w:val="32"/>
          <w:szCs w:val="32"/>
          <w:lang w:eastAsia="zh-CN"/>
        </w:rPr>
      </w:pPr>
      <w:bookmarkStart w:id="0" w:name="OLE_LINK1"/>
      <w:r>
        <w:rPr>
          <w:rStyle w:val="48"/>
          <w:rFonts w:hint="eastAsia" w:ascii="仿宋_GB2312" w:hAnsi="仿宋_GB2312" w:eastAsia="仿宋_GB2312" w:cs="仿宋_GB2312"/>
          <w:color w:val="auto"/>
          <w:sz w:val="32"/>
          <w:szCs w:val="32"/>
        </w:rPr>
        <w:t>（二）</w:t>
      </w:r>
      <w:bookmarkEnd w:id="0"/>
      <w:r>
        <w:rPr>
          <w:rFonts w:hint="eastAsia" w:ascii="仿宋_GB2312" w:hAnsi="仿宋_GB2312" w:eastAsia="仿宋_GB2312" w:cs="仿宋_GB2312"/>
          <w:sz w:val="32"/>
          <w:szCs w:val="32"/>
        </w:rPr>
        <w:t>加强废水的污染防治。</w:t>
      </w:r>
      <w:r>
        <w:rPr>
          <w:rStyle w:val="48"/>
          <w:rFonts w:hint="eastAsia" w:ascii="仿宋_GB2312" w:hAnsi="仿宋_GB2312" w:eastAsia="仿宋_GB2312" w:cs="仿宋_GB2312"/>
          <w:color w:val="auto"/>
          <w:sz w:val="32"/>
          <w:szCs w:val="32"/>
        </w:rPr>
        <w:t>本项目近期生活污水经化粪池处理后定期清掏由有机废物综合处理中心收集处理，不外排</w:t>
      </w:r>
      <w:r>
        <w:rPr>
          <w:rStyle w:val="48"/>
          <w:rFonts w:hint="eastAsia" w:ascii="仿宋_GB2312" w:hAnsi="仿宋_GB2312" w:eastAsia="仿宋_GB2312" w:cs="仿宋_GB2312"/>
          <w:color w:val="auto"/>
          <w:sz w:val="32"/>
          <w:szCs w:val="32"/>
          <w:lang w:eastAsia="zh-CN"/>
        </w:rPr>
        <w:t>；</w:t>
      </w:r>
      <w:r>
        <w:rPr>
          <w:rStyle w:val="48"/>
          <w:rFonts w:hint="eastAsia" w:ascii="仿宋_GB2312" w:hAnsi="仿宋_GB2312" w:eastAsia="仿宋_GB2312" w:cs="仿宋_GB2312"/>
          <w:color w:val="auto"/>
          <w:sz w:val="32"/>
          <w:szCs w:val="32"/>
        </w:rPr>
        <w:t>生产废水经</w:t>
      </w:r>
      <w:r>
        <w:rPr>
          <w:rStyle w:val="48"/>
          <w:rFonts w:hint="eastAsia" w:ascii="仿宋_GB2312" w:hAnsi="仿宋_GB2312" w:eastAsia="仿宋_GB2312" w:cs="仿宋_GB2312"/>
          <w:color w:val="auto"/>
          <w:sz w:val="32"/>
          <w:szCs w:val="32"/>
          <w:lang w:eastAsia="zh-CN"/>
        </w:rPr>
        <w:t>自建</w:t>
      </w:r>
      <w:r>
        <w:rPr>
          <w:rStyle w:val="48"/>
          <w:rFonts w:hint="eastAsia" w:ascii="仿宋_GB2312" w:hAnsi="仿宋_GB2312" w:eastAsia="仿宋_GB2312" w:cs="仿宋_GB2312"/>
          <w:color w:val="auto"/>
          <w:sz w:val="32"/>
          <w:szCs w:val="32"/>
        </w:rPr>
        <w:t>污水处理站处理</w:t>
      </w:r>
      <w:r>
        <w:rPr>
          <w:rStyle w:val="48"/>
          <w:rFonts w:hint="eastAsia" w:ascii="仿宋_GB2312" w:hAnsi="仿宋_GB2312" w:eastAsia="仿宋_GB2312" w:cs="仿宋_GB2312"/>
          <w:color w:val="auto"/>
          <w:sz w:val="32"/>
          <w:szCs w:val="32"/>
          <w:lang w:eastAsia="zh-CN"/>
        </w:rPr>
        <w:t>达标</w:t>
      </w:r>
      <w:r>
        <w:rPr>
          <w:rStyle w:val="48"/>
          <w:rFonts w:hint="eastAsia" w:ascii="仿宋_GB2312" w:hAnsi="仿宋_GB2312" w:eastAsia="仿宋_GB2312" w:cs="仿宋_GB2312"/>
          <w:color w:val="auto"/>
          <w:sz w:val="32"/>
          <w:szCs w:val="32"/>
        </w:rPr>
        <w:t>后，由槽罐车外运衡阳县稻香优质稻种植专业合作社处理</w:t>
      </w:r>
      <w:r>
        <w:rPr>
          <w:rStyle w:val="48"/>
          <w:rFonts w:hint="eastAsia" w:ascii="仿宋_GB2312" w:hAnsi="仿宋_GB2312" w:eastAsia="仿宋_GB2312" w:cs="仿宋_GB2312"/>
          <w:color w:val="auto"/>
          <w:sz w:val="32"/>
          <w:szCs w:val="32"/>
          <w:lang w:eastAsia="zh-CN"/>
        </w:rPr>
        <w:t>。</w:t>
      </w:r>
      <w:r>
        <w:rPr>
          <w:rStyle w:val="48"/>
          <w:rFonts w:hint="eastAsia" w:ascii="仿宋_GB2312" w:hAnsi="仿宋_GB2312" w:eastAsia="仿宋_GB2312" w:cs="仿宋_GB2312"/>
          <w:color w:val="auto"/>
          <w:sz w:val="32"/>
          <w:szCs w:val="32"/>
        </w:rPr>
        <w:t>远期待衡阳县渣江镇污水处理厂正常运行后</w:t>
      </w:r>
      <w:r>
        <w:rPr>
          <w:rStyle w:val="48"/>
          <w:rFonts w:hint="eastAsia" w:ascii="仿宋_GB2312" w:hAnsi="仿宋_GB2312" w:eastAsia="仿宋_GB2312" w:cs="仿宋_GB2312"/>
          <w:color w:val="auto"/>
          <w:sz w:val="32"/>
          <w:szCs w:val="32"/>
          <w:lang w:eastAsia="zh-CN"/>
        </w:rPr>
        <w:t>，项目产生的</w:t>
      </w:r>
      <w:r>
        <w:rPr>
          <w:rStyle w:val="48"/>
          <w:rFonts w:hint="eastAsia" w:ascii="仿宋_GB2312" w:hAnsi="仿宋_GB2312" w:eastAsia="仿宋_GB2312" w:cs="仿宋_GB2312"/>
          <w:color w:val="auto"/>
          <w:sz w:val="32"/>
          <w:szCs w:val="32"/>
        </w:rPr>
        <w:t>废水</w:t>
      </w:r>
      <w:r>
        <w:rPr>
          <w:rStyle w:val="48"/>
          <w:rFonts w:hint="eastAsia" w:ascii="仿宋_GB2312" w:hAnsi="仿宋_GB2312" w:eastAsia="仿宋_GB2312" w:cs="仿宋_GB2312"/>
          <w:color w:val="auto"/>
          <w:sz w:val="32"/>
          <w:szCs w:val="32"/>
          <w:lang w:eastAsia="zh-CN"/>
        </w:rPr>
        <w:t>排入</w:t>
      </w:r>
      <w:r>
        <w:rPr>
          <w:rStyle w:val="48"/>
          <w:rFonts w:hint="eastAsia" w:ascii="仿宋_GB2312" w:hAnsi="仿宋_GB2312" w:eastAsia="仿宋_GB2312" w:cs="仿宋_GB2312"/>
          <w:color w:val="auto"/>
          <w:sz w:val="32"/>
          <w:szCs w:val="32"/>
        </w:rPr>
        <w:t>污水管网</w:t>
      </w:r>
      <w:r>
        <w:rPr>
          <w:rStyle w:val="48"/>
          <w:rFonts w:hint="eastAsia" w:ascii="仿宋_GB2312" w:hAnsi="仿宋_GB2312" w:eastAsia="仿宋_GB2312" w:cs="仿宋_GB2312"/>
          <w:color w:val="auto"/>
          <w:sz w:val="32"/>
          <w:szCs w:val="32"/>
          <w:lang w:eastAsia="zh-CN"/>
        </w:rPr>
        <w:t>经</w:t>
      </w:r>
      <w:r>
        <w:rPr>
          <w:rStyle w:val="48"/>
          <w:rFonts w:hint="eastAsia" w:ascii="仿宋_GB2312" w:hAnsi="仿宋_GB2312" w:eastAsia="仿宋_GB2312" w:cs="仿宋_GB2312"/>
          <w:color w:val="auto"/>
          <w:sz w:val="32"/>
          <w:szCs w:val="32"/>
        </w:rPr>
        <w:t>衡阳县渣江镇污水处理厂处理</w:t>
      </w:r>
      <w:r>
        <w:rPr>
          <w:rStyle w:val="48"/>
          <w:rFonts w:hint="eastAsia" w:ascii="仿宋_GB2312" w:hAnsi="仿宋_GB2312" w:eastAsia="仿宋_GB2312" w:cs="仿宋_GB2312"/>
          <w:color w:val="auto"/>
          <w:sz w:val="32"/>
          <w:szCs w:val="32"/>
          <w:lang w:eastAsia="zh-CN"/>
        </w:rPr>
        <w:t>达标后排入蒸水</w:t>
      </w:r>
      <w:r>
        <w:rPr>
          <w:rStyle w:val="48"/>
          <w:rFonts w:hint="eastAsia" w:ascii="仿宋_GB2312" w:hAnsi="仿宋_GB2312" w:eastAsia="仿宋_GB2312" w:cs="仿宋_GB2312"/>
          <w:color w:val="auto"/>
          <w:sz w:val="32"/>
          <w:szCs w:val="32"/>
          <w:lang w:val="en-US" w:eastAsia="zh-CN"/>
        </w:rPr>
        <w:t>。</w:t>
      </w:r>
    </w:p>
    <w:p w14:paraId="0B5E42C8">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Style w:val="48"/>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（三）加强各类固废管理，并采取有效措施防止二次污染。 生活垃圾交由环卫部门处置，废包装袋收集后外售废品回收公司，洗米米渣、不合格品、边角料收集后外售饲料厂；污水处理站污泥收集后密闭封装、运输至垃圾填埋场填埋处理。</w:t>
      </w:r>
    </w:p>
    <w:p w14:paraId="523D1617">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b w:val="0"/>
          <w:bCs/>
          <w:color w:val="auto"/>
          <w:sz w:val="32"/>
          <w:szCs w:val="32"/>
          <w:u w:val="none" w:color="auto"/>
        </w:rPr>
      </w:pPr>
      <w:r>
        <w:rPr>
          <w:rStyle w:val="48"/>
          <w:rFonts w:hint="eastAsia" w:ascii="仿宋_GB2312" w:hAnsi="仿宋_GB2312" w:eastAsia="仿宋_GB2312" w:cs="仿宋_GB2312"/>
          <w:color w:val="auto"/>
          <w:sz w:val="32"/>
          <w:szCs w:val="32"/>
        </w:rPr>
        <w:t>（四）做好噪声污染控制工作。项目生产设备噪声，通过</w:t>
      </w:r>
      <w:r>
        <w:rPr>
          <w:rStyle w:val="48"/>
          <w:rFonts w:hint="eastAsia" w:ascii="仿宋_GB2312" w:hAnsi="仿宋_GB2312" w:eastAsia="仿宋_GB2312" w:cs="仿宋_GB2312"/>
          <w:color w:val="auto"/>
          <w:sz w:val="32"/>
          <w:szCs w:val="32"/>
          <w:lang w:val="en-US" w:eastAsia="zh-CN"/>
        </w:rPr>
        <w:t>厂房隔噪，</w:t>
      </w:r>
      <w:r>
        <w:rPr>
          <w:rStyle w:val="48"/>
          <w:rFonts w:hint="eastAsia" w:ascii="仿宋_GB2312" w:hAnsi="仿宋_GB2312" w:eastAsia="仿宋_GB2312" w:cs="仿宋_GB2312"/>
          <w:color w:val="auto"/>
          <w:sz w:val="32"/>
          <w:szCs w:val="32"/>
        </w:rPr>
        <w:t>选用低噪声设备，</w:t>
      </w:r>
      <w:r>
        <w:rPr>
          <w:rStyle w:val="48"/>
          <w:rFonts w:hint="eastAsia" w:ascii="仿宋_GB2312" w:hAnsi="仿宋_GB2312" w:eastAsia="仿宋_GB2312" w:cs="仿宋_GB2312"/>
          <w:color w:val="auto"/>
          <w:sz w:val="32"/>
          <w:szCs w:val="32"/>
          <w:lang w:val="en-US" w:eastAsia="zh-CN"/>
        </w:rPr>
        <w:t>采取消声减振,并对设备</w:t>
      </w:r>
      <w:r>
        <w:rPr>
          <w:rStyle w:val="48"/>
          <w:rFonts w:hint="eastAsia" w:ascii="仿宋_GB2312" w:hAnsi="仿宋_GB2312" w:eastAsia="仿宋_GB2312" w:cs="仿宋_GB2312"/>
          <w:color w:val="auto"/>
          <w:sz w:val="32"/>
          <w:szCs w:val="32"/>
        </w:rPr>
        <w:t>合理布</w:t>
      </w:r>
      <w:r>
        <w:rPr>
          <w:rFonts w:hint="eastAsia" w:ascii="仿宋_GB2312" w:hAnsi="仿宋_GB2312" w:eastAsia="仿宋_GB2312" w:cs="仿宋_GB2312"/>
          <w:b w:val="0"/>
          <w:bCs/>
          <w:color w:val="auto"/>
          <w:sz w:val="32"/>
          <w:szCs w:val="32"/>
          <w:u w:val="none" w:color="auto"/>
          <w:lang w:val="en-US" w:eastAsia="zh-CN"/>
        </w:rPr>
        <w:t>置</w:t>
      </w:r>
      <w:r>
        <w:rPr>
          <w:rFonts w:hint="eastAsia" w:ascii="仿宋_GB2312" w:hAnsi="仿宋_GB2312" w:eastAsia="仿宋_GB2312" w:cs="仿宋_GB2312"/>
          <w:b w:val="0"/>
          <w:bCs/>
          <w:color w:val="auto"/>
          <w:sz w:val="32"/>
          <w:szCs w:val="32"/>
          <w:u w:val="none" w:color="auto"/>
        </w:rPr>
        <w:t>，</w:t>
      </w:r>
      <w:r>
        <w:rPr>
          <w:rFonts w:hint="eastAsia" w:ascii="仿宋_GB2312" w:hAnsi="仿宋_GB2312" w:eastAsia="仿宋_GB2312" w:cs="仿宋_GB2312"/>
          <w:b w:val="0"/>
          <w:bCs/>
          <w:color w:val="auto"/>
          <w:sz w:val="32"/>
          <w:szCs w:val="32"/>
          <w:u w:val="none" w:color="auto"/>
          <w:lang w:val="en-US" w:eastAsia="zh-CN"/>
        </w:rPr>
        <w:t>等措施</w:t>
      </w:r>
      <w:r>
        <w:rPr>
          <w:rFonts w:hint="eastAsia" w:ascii="仿宋_GB2312" w:hAnsi="仿宋_GB2312" w:eastAsia="仿宋_GB2312" w:cs="仿宋_GB2312"/>
          <w:b w:val="0"/>
          <w:bCs/>
          <w:color w:val="auto"/>
          <w:sz w:val="32"/>
          <w:szCs w:val="32"/>
          <w:u w:val="none" w:color="auto"/>
        </w:rPr>
        <w:t>确保营运期噪声厂界</w:t>
      </w:r>
      <w:r>
        <w:rPr>
          <w:rFonts w:hint="eastAsia" w:ascii="仿宋_GB2312" w:hAnsi="仿宋_GB2312" w:eastAsia="仿宋_GB2312" w:cs="仿宋_GB2312"/>
          <w:b w:val="0"/>
          <w:bCs/>
          <w:color w:val="auto"/>
          <w:sz w:val="32"/>
          <w:szCs w:val="32"/>
          <w:u w:val="none" w:color="auto"/>
          <w:lang w:eastAsia="zh-CN"/>
        </w:rPr>
        <w:t>达到</w:t>
      </w:r>
      <w:r>
        <w:rPr>
          <w:rFonts w:hint="eastAsia" w:ascii="仿宋_GB2312" w:hAnsi="仿宋_GB2312" w:eastAsia="仿宋_GB2312" w:cs="仿宋_GB2312"/>
          <w:b w:val="0"/>
          <w:bCs/>
          <w:color w:val="auto"/>
          <w:sz w:val="32"/>
          <w:szCs w:val="32"/>
          <w:u w:val="none" w:color="auto"/>
        </w:rPr>
        <w:t>《工业企业厂界环境噪声排放标准》（GB12348-2008）2类标准</w:t>
      </w:r>
      <w:r>
        <w:rPr>
          <w:rFonts w:hint="eastAsia" w:ascii="仿宋_GB2312" w:hAnsi="仿宋_GB2312" w:eastAsia="仿宋_GB2312" w:cs="仿宋_GB2312"/>
          <w:b w:val="0"/>
          <w:bCs/>
          <w:color w:val="auto"/>
          <w:sz w:val="32"/>
          <w:szCs w:val="32"/>
          <w:u w:val="none" w:color="auto"/>
          <w:lang w:val="en-US" w:eastAsia="zh-CN"/>
        </w:rPr>
        <w:t>限值</w:t>
      </w:r>
      <w:r>
        <w:rPr>
          <w:rFonts w:hint="eastAsia" w:ascii="仿宋_GB2312" w:hAnsi="仿宋_GB2312" w:eastAsia="仿宋_GB2312" w:cs="仿宋_GB2312"/>
          <w:b w:val="0"/>
          <w:bCs/>
          <w:color w:val="auto"/>
          <w:sz w:val="32"/>
          <w:szCs w:val="32"/>
          <w:u w:val="none" w:color="auto"/>
        </w:rPr>
        <w:t>要求。</w:t>
      </w:r>
    </w:p>
    <w:p w14:paraId="7A215C46">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rPr>
        <w:t>三、项目建设必须严格执行配套的环境保护设施与主体工程同时设计、同时施工、同时投产使用的环境保护“三同时”制度。建设单位应按照《建设项目环境保护管理条例》的规定，及时开展建设项目竣工环境保护自主验收，并将建设项目竣工环境保护验收监测报告和验收意见报送我局备案；在启动生产设施或实际排污之前应依法取得排污许可证。</w:t>
      </w:r>
    </w:p>
    <w:p w14:paraId="769C9484">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四、</w:t>
      </w:r>
      <w:r>
        <w:rPr>
          <w:rFonts w:hint="eastAsia" w:ascii="仿宋_GB2312" w:hAnsi="仿宋_GB2312" w:eastAsia="仿宋_GB2312" w:cs="仿宋_GB2312"/>
          <w:b w:val="0"/>
          <w:bCs/>
          <w:color w:val="auto"/>
          <w:sz w:val="32"/>
          <w:szCs w:val="32"/>
          <w:u w:val="none" w:color="auto"/>
        </w:rPr>
        <w:t>环境影响报告表经批准后，该项目的性质、规模、地点、生产工艺和环境保护措施发生重大变动的，须重新报批环境影响报告表。自环境影响报告表批复文件批准之日起，如超过5年决定工程开工建设的，环境影响报告表应当报我局重新审核。</w:t>
      </w:r>
    </w:p>
    <w:p w14:paraId="34D695EB">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b w:val="0"/>
          <w:bCs/>
          <w:color w:val="auto"/>
          <w:sz w:val="32"/>
          <w:szCs w:val="32"/>
          <w:u w:val="none" w:color="auto"/>
        </w:rPr>
      </w:pPr>
      <w:r>
        <w:rPr>
          <w:rFonts w:hint="eastAsia" w:ascii="仿宋_GB2312" w:hAnsi="仿宋_GB2312" w:eastAsia="仿宋_GB2312" w:cs="仿宋_GB2312"/>
          <w:b w:val="0"/>
          <w:bCs/>
          <w:color w:val="auto"/>
          <w:sz w:val="32"/>
          <w:szCs w:val="32"/>
          <w:u w:val="none" w:color="auto"/>
          <w:lang w:eastAsia="zh-CN"/>
        </w:rPr>
        <w:t>五</w:t>
      </w:r>
      <w:r>
        <w:rPr>
          <w:rFonts w:hint="eastAsia" w:ascii="仿宋_GB2312" w:hAnsi="仿宋_GB2312" w:eastAsia="仿宋_GB2312" w:cs="仿宋_GB2312"/>
          <w:b w:val="0"/>
          <w:bCs/>
          <w:color w:val="auto"/>
          <w:sz w:val="32"/>
          <w:szCs w:val="32"/>
          <w:u w:val="none" w:color="auto"/>
        </w:rPr>
        <w:t xml:space="preserve">、衡阳县生态环境保护综合行政执法大队将该项目纳入日常监管并履行项目建设及运营后现场监管职责。   </w:t>
      </w:r>
    </w:p>
    <w:p w14:paraId="71B9828F">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w:t>
      </w:r>
    </w:p>
    <w:p w14:paraId="773D041C">
      <w:pPr>
        <w:keepNext w:val="0"/>
        <w:keepLines w:val="0"/>
        <w:pageBreakBefore w:val="0"/>
        <w:kinsoku/>
        <w:wordWrap/>
        <w:overflowPunct/>
        <w:topLinePunct w:val="0"/>
        <w:autoSpaceDE/>
        <w:autoSpaceDN/>
        <w:bidi w:val="0"/>
        <w:adjustRightInd w:val="0"/>
        <w:snapToGrid w:val="0"/>
        <w:spacing w:line="360" w:lineRule="auto"/>
        <w:textAlignment w:val="auto"/>
        <w:rPr>
          <w:rStyle w:val="48"/>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056E47B9">
      <w:pPr>
        <w:keepNext w:val="0"/>
        <w:keepLines w:val="0"/>
        <w:pageBreakBefore w:val="0"/>
        <w:kinsoku/>
        <w:wordWrap/>
        <w:overflowPunct/>
        <w:topLinePunct w:val="0"/>
        <w:autoSpaceDE/>
        <w:autoSpaceDN/>
        <w:bidi w:val="0"/>
        <w:adjustRightInd w:val="0"/>
        <w:snapToGrid w:val="0"/>
        <w:spacing w:line="360" w:lineRule="auto"/>
        <w:textAlignment w:val="auto"/>
        <w:rPr>
          <w:rStyle w:val="48"/>
          <w:rFonts w:hint="eastAsia" w:ascii="仿宋_GB2312" w:hAnsi="仿宋_GB2312" w:eastAsia="仿宋_GB2312" w:cs="仿宋_GB2312"/>
          <w:color w:val="auto"/>
          <w:sz w:val="32"/>
          <w:szCs w:val="32"/>
        </w:rPr>
      </w:pPr>
    </w:p>
    <w:p w14:paraId="07353EF9">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仿宋_GB2312" w:hAnsi="仿宋_GB2312" w:eastAsia="仿宋_GB2312" w:cs="仿宋_GB2312"/>
          <w:color w:val="auto"/>
          <w:sz w:val="32"/>
          <w:szCs w:val="32"/>
        </w:rPr>
      </w:pPr>
      <w:r>
        <w:rPr>
          <w:rStyle w:val="48"/>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衡阳市生态环境局</w:t>
      </w:r>
    </w:p>
    <w:p w14:paraId="01FF5E48">
      <w:pPr>
        <w:keepNext w:val="0"/>
        <w:keepLines w:val="0"/>
        <w:pageBreakBefore w:val="0"/>
        <w:kinsoku/>
        <w:wordWrap/>
        <w:overflowPunct/>
        <w:topLinePunct w:val="0"/>
        <w:autoSpaceDE/>
        <w:autoSpaceDN/>
        <w:bidi w:val="0"/>
        <w:spacing w:line="360" w:lineRule="auto"/>
        <w:jc w:val="righ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w:t>
      </w:r>
    </w:p>
    <w:p w14:paraId="392E8431">
      <w:pPr>
        <w:rPr>
          <w:color w:val="auto"/>
        </w:rPr>
      </w:pPr>
    </w:p>
    <w:sectPr>
      <w:footerReference r:id="rId3" w:type="default"/>
      <w:pgSz w:w="11906" w:h="16838"/>
      <w:pgMar w:top="1440"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46A9">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2D096F">
                          <w:pPr>
                            <w:pStyle w:val="1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72D096F">
                    <w:pPr>
                      <w:pStyle w:val="1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E4CA2"/>
    <w:multiLevelType w:val="singleLevel"/>
    <w:tmpl w:val="A51E4CA2"/>
    <w:lvl w:ilvl="0" w:tentative="0">
      <w:start w:val="1"/>
      <w:numFmt w:val="decimal"/>
      <w:pStyle w:val="47"/>
      <w:suff w:val="nothing"/>
      <w:lvlText w:val="%1、"/>
      <w:lvlJc w:val="left"/>
    </w:lvl>
  </w:abstractNum>
  <w:abstractNum w:abstractNumId="1">
    <w:nsid w:val="0000000C"/>
    <w:multiLevelType w:val="singleLevel"/>
    <w:tmpl w:val="0000000C"/>
    <w:lvl w:ilvl="0" w:tentative="0">
      <w:start w:val="1"/>
      <w:numFmt w:val="bullet"/>
      <w:pStyle w:val="14"/>
      <w:lvlText w:val=""/>
      <w:lvlJc w:val="left"/>
      <w:pPr>
        <w:tabs>
          <w:tab w:val="left" w:pos="2040"/>
        </w:tabs>
        <w:ind w:left="2040" w:hanging="360"/>
      </w:pPr>
      <w:rPr>
        <w:rFonts w:hint="default" w:ascii="Wingdings" w:hAnsi="Wingdings"/>
      </w:rPr>
    </w:lvl>
  </w:abstractNum>
  <w:abstractNum w:abstractNumId="2">
    <w:nsid w:val="1ECBA01E"/>
    <w:multiLevelType w:val="multilevel"/>
    <w:tmpl w:val="1ECBA01E"/>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Restart w:val="1"/>
      <w:lvlText w:val="表%1-%5 "/>
      <w:lvlJc w:val="left"/>
      <w:pPr>
        <w:ind w:left="1008" w:hanging="1008"/>
      </w:pPr>
      <w:rPr>
        <w:rFonts w:hint="default" w:ascii="宋体" w:hAnsi="宋体" w:eastAsia="宋体" w:cs="宋体"/>
      </w:rPr>
    </w:lvl>
    <w:lvl w:ilvl="5" w:tentative="0">
      <w:start w:val="1"/>
      <w:numFmt w:val="decimal"/>
      <w:pStyle w:val="8"/>
      <w:lvlText w:val="图%1-%6 "/>
      <w:lvlJc w:val="left"/>
      <w:pPr>
        <w:ind w:left="1151" w:hanging="1151"/>
      </w:pPr>
      <w:rPr>
        <w:rFonts w:hint="default" w:ascii="宋体" w:hAnsi="宋体" w:eastAsia="宋体" w:cs="宋体"/>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OGM4YTE5MmNjYmMwMmQxZTI1NWM3MTY4NWIxMjEifQ=="/>
  </w:docVars>
  <w:rsids>
    <w:rsidRoot w:val="006013A8"/>
    <w:rsid w:val="00235E53"/>
    <w:rsid w:val="00283568"/>
    <w:rsid w:val="002F6FD1"/>
    <w:rsid w:val="004B23E3"/>
    <w:rsid w:val="005D2EA4"/>
    <w:rsid w:val="006013A8"/>
    <w:rsid w:val="0079429C"/>
    <w:rsid w:val="00796200"/>
    <w:rsid w:val="007B4753"/>
    <w:rsid w:val="007F0C19"/>
    <w:rsid w:val="00862629"/>
    <w:rsid w:val="009A0971"/>
    <w:rsid w:val="00DE40FF"/>
    <w:rsid w:val="00E530A6"/>
    <w:rsid w:val="00F35EC2"/>
    <w:rsid w:val="01B12980"/>
    <w:rsid w:val="10887908"/>
    <w:rsid w:val="12B16D22"/>
    <w:rsid w:val="15CC7E09"/>
    <w:rsid w:val="1C053D3A"/>
    <w:rsid w:val="22405740"/>
    <w:rsid w:val="2A2313B0"/>
    <w:rsid w:val="2B96058E"/>
    <w:rsid w:val="2E837EE4"/>
    <w:rsid w:val="34BD3B5F"/>
    <w:rsid w:val="356FBC9E"/>
    <w:rsid w:val="3D566086"/>
    <w:rsid w:val="3F3F2B0B"/>
    <w:rsid w:val="40266A11"/>
    <w:rsid w:val="40FD5D2D"/>
    <w:rsid w:val="43C1117B"/>
    <w:rsid w:val="4A78588E"/>
    <w:rsid w:val="50EB3DFB"/>
    <w:rsid w:val="550B2446"/>
    <w:rsid w:val="567F7FA4"/>
    <w:rsid w:val="574A6804"/>
    <w:rsid w:val="59FFCB3A"/>
    <w:rsid w:val="5A355835"/>
    <w:rsid w:val="70E20F08"/>
    <w:rsid w:val="713B057C"/>
    <w:rsid w:val="753F23F4"/>
    <w:rsid w:val="758535B9"/>
    <w:rsid w:val="773E4A4C"/>
    <w:rsid w:val="7770369F"/>
    <w:rsid w:val="7D9792D3"/>
    <w:rsid w:val="7F2CE806"/>
    <w:rsid w:val="7F5E3F11"/>
    <w:rsid w:val="7FFEAF22"/>
    <w:rsid w:val="8E7F18A7"/>
    <w:rsid w:val="BF35244C"/>
    <w:rsid w:val="DF8FC642"/>
    <w:rsid w:val="FFA3B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6"/>
    <w:qFormat/>
    <w:uiPriority w:val="0"/>
    <w:pPr>
      <w:keepNext/>
      <w:keepLines/>
      <w:spacing w:line="360" w:lineRule="auto"/>
      <w:jc w:val="left"/>
      <w:outlineLvl w:val="0"/>
    </w:pPr>
    <w:rPr>
      <w:rFonts w:ascii="Times New Roman" w:hAnsi="Times New Roman" w:eastAsia="宋体" w:cs="Times New Roman"/>
      <w:b/>
      <w:bCs/>
      <w:kern w:val="44"/>
      <w:sz w:val="30"/>
      <w:szCs w:val="44"/>
    </w:rPr>
  </w:style>
  <w:style w:type="paragraph" w:styleId="4">
    <w:name w:val="heading 2"/>
    <w:basedOn w:val="1"/>
    <w:next w:val="1"/>
    <w:link w:val="33"/>
    <w:unhideWhenUsed/>
    <w:qFormat/>
    <w:uiPriority w:val="0"/>
    <w:pPr>
      <w:keepLines/>
      <w:spacing w:line="413" w:lineRule="auto"/>
      <w:jc w:val="left"/>
      <w:outlineLvl w:val="1"/>
    </w:pPr>
    <w:rPr>
      <w:rFonts w:ascii="Times New Roman" w:hAnsi="Times New Roman" w:eastAsia="宋体" w:cs="Times New Roman"/>
      <w:b/>
      <w:sz w:val="28"/>
      <w:szCs w:val="22"/>
    </w:rPr>
  </w:style>
  <w:style w:type="paragraph" w:styleId="5">
    <w:name w:val="heading 3"/>
    <w:basedOn w:val="1"/>
    <w:next w:val="1"/>
    <w:link w:val="36"/>
    <w:unhideWhenUsed/>
    <w:qFormat/>
    <w:uiPriority w:val="0"/>
    <w:pPr>
      <w:keepNext/>
      <w:keepLines/>
      <w:jc w:val="left"/>
      <w:outlineLvl w:val="2"/>
    </w:pPr>
    <w:rPr>
      <w:rFonts w:ascii="Times New Roman" w:hAnsi="Times New Roman" w:eastAsia="宋体" w:cs="Times New Roman"/>
      <w:b/>
      <w:sz w:val="24"/>
      <w:szCs w:val="22"/>
    </w:rPr>
  </w:style>
  <w:style w:type="paragraph" w:styleId="6">
    <w:name w:val="heading 4"/>
    <w:basedOn w:val="1"/>
    <w:next w:val="1"/>
    <w:unhideWhenUsed/>
    <w:qFormat/>
    <w:uiPriority w:val="0"/>
    <w:pPr>
      <w:keepNext/>
      <w:keepLines/>
      <w:spacing w:before="140" w:after="140"/>
      <w:ind w:left="864" w:hanging="864"/>
      <w:jc w:val="left"/>
      <w:outlineLvl w:val="3"/>
    </w:pPr>
    <w:rPr>
      <w:rFonts w:ascii="Times New Roman" w:hAnsi="Times New Roman" w:eastAsia="宋体"/>
      <w:b/>
      <w:sz w:val="24"/>
    </w:rPr>
  </w:style>
  <w:style w:type="paragraph" w:styleId="7">
    <w:name w:val="heading 5"/>
    <w:basedOn w:val="1"/>
    <w:next w:val="1"/>
    <w:unhideWhenUsed/>
    <w:qFormat/>
    <w:uiPriority w:val="0"/>
    <w:pPr>
      <w:keepNext/>
      <w:keepLines/>
      <w:spacing w:line="360" w:lineRule="auto"/>
      <w:ind w:firstLine="1044" w:firstLineChars="200"/>
      <w:jc w:val="left"/>
      <w:outlineLvl w:val="4"/>
    </w:pPr>
    <w:rPr>
      <w:rFonts w:ascii="Times New Roman" w:hAnsi="Times New Roman" w:eastAsia="宋体" w:cs="Times New Roman"/>
      <w:b/>
      <w:sz w:val="24"/>
    </w:rPr>
  </w:style>
  <w:style w:type="paragraph" w:styleId="8">
    <w:name w:val="heading 6"/>
    <w:basedOn w:val="1"/>
    <w:next w:val="1"/>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9">
    <w:name w:val="heading 7"/>
    <w:basedOn w:val="1"/>
    <w:next w:val="1"/>
    <w:unhideWhenUsed/>
    <w:qFormat/>
    <w:uiPriority w:val="0"/>
    <w:pPr>
      <w:keepNext/>
      <w:keepLines/>
      <w:numPr>
        <w:ilvl w:val="6"/>
        <w:numId w:val="1"/>
      </w:numPr>
      <w:spacing w:before="240" w:after="64" w:line="317" w:lineRule="auto"/>
      <w:outlineLvl w:val="6"/>
    </w:pPr>
    <w:rPr>
      <w:b/>
      <w:sz w:val="24"/>
    </w:rPr>
  </w:style>
  <w:style w:type="paragraph" w:styleId="10">
    <w:name w:val="heading 8"/>
    <w:basedOn w:val="1"/>
    <w:next w:val="1"/>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1">
    <w:name w:val="heading 9"/>
    <w:basedOn w:val="1"/>
    <w:next w:val="1"/>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3">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0正文唐"/>
    <w:basedOn w:val="1"/>
    <w:link w:val="41"/>
    <w:qFormat/>
    <w:uiPriority w:val="0"/>
    <w:pPr>
      <w:spacing w:line="360" w:lineRule="auto"/>
      <w:ind w:firstLine="720" w:firstLineChars="200"/>
      <w:jc w:val="left"/>
    </w:pPr>
    <w:rPr>
      <w:rFonts w:ascii="Times New Roman" w:hAnsi="Times New Roman" w:eastAsia="宋体" w:cs="Times New Roman"/>
      <w:sz w:val="28"/>
    </w:rPr>
  </w:style>
  <w:style w:type="paragraph" w:styleId="12">
    <w:name w:val="Normal Indent"/>
    <w:basedOn w:val="1"/>
    <w:qFormat/>
    <w:uiPriority w:val="0"/>
    <w:pPr>
      <w:ind w:firstLine="420" w:firstLineChars="200"/>
    </w:pPr>
  </w:style>
  <w:style w:type="paragraph" w:styleId="13">
    <w:name w:val="Body Text"/>
    <w:basedOn w:val="1"/>
    <w:next w:val="14"/>
    <w:link w:val="34"/>
    <w:qFormat/>
    <w:uiPriority w:val="0"/>
    <w:pPr>
      <w:widowControl/>
      <w:snapToGrid w:val="0"/>
      <w:spacing w:line="260" w:lineRule="auto"/>
      <w:ind w:right="113"/>
    </w:pPr>
    <w:rPr>
      <w:rFonts w:ascii="Times New Roman" w:hAnsi="Times New Roman" w:eastAsia="宋体"/>
      <w:kern w:val="0"/>
      <w:sz w:val="18"/>
      <w:szCs w:val="20"/>
    </w:rPr>
  </w:style>
  <w:style w:type="paragraph" w:styleId="14">
    <w:name w:val="List Bullet 5"/>
    <w:basedOn w:val="1"/>
    <w:qFormat/>
    <w:uiPriority w:val="0"/>
    <w:pPr>
      <w:numPr>
        <w:ilvl w:val="0"/>
        <w:numId w:val="2"/>
      </w:numPr>
    </w:pPr>
  </w:style>
  <w:style w:type="paragraph" w:styleId="15">
    <w:name w:val="Body Text Indent"/>
    <w:basedOn w:val="1"/>
    <w:qFormat/>
    <w:uiPriority w:val="0"/>
    <w:pPr>
      <w:spacing w:after="120"/>
      <w:ind w:left="420" w:leftChars="200"/>
    </w:pPr>
  </w:style>
  <w:style w:type="paragraph" w:styleId="16">
    <w:name w:val="Body Text Indent 2"/>
    <w:basedOn w:val="1"/>
    <w:next w:val="1"/>
    <w:link w:val="38"/>
    <w:qFormat/>
    <w:uiPriority w:val="0"/>
    <w:pPr>
      <w:tabs>
        <w:tab w:val="left" w:pos="0"/>
      </w:tabs>
      <w:spacing w:line="360" w:lineRule="auto"/>
      <w:jc w:val="center"/>
    </w:pPr>
    <w:rPr>
      <w:rFonts w:ascii="Times New Roman" w:hAnsi="Times New Roman" w:eastAsia="宋体" w:cs="Times New Roman"/>
      <w:b/>
      <w:szCs w:val="22"/>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link w:val="40"/>
    <w:qFormat/>
    <w:uiPriority w:val="0"/>
    <w:pPr>
      <w:pBdr>
        <w:bottom w:val="single" w:color="auto" w:sz="6" w:space="1"/>
      </w:pBdr>
      <w:tabs>
        <w:tab w:val="center" w:pos="4153"/>
        <w:tab w:val="right" w:pos="8306"/>
      </w:tabs>
      <w:jc w:val="center"/>
    </w:pPr>
    <w:rPr>
      <w:rFonts w:ascii="Times New Roman" w:hAnsi="Times New Roman" w:eastAsia="宋体"/>
      <w:sz w:val="18"/>
      <w:szCs w:val="18"/>
    </w:rPr>
  </w:style>
  <w:style w:type="paragraph" w:styleId="19">
    <w:name w:val="table of figures"/>
    <w:basedOn w:val="1"/>
    <w:next w:val="1"/>
    <w:qFormat/>
    <w:uiPriority w:val="0"/>
    <w:pPr>
      <w:ind w:left="200" w:leftChars="200" w:hanging="200" w:hangingChars="200"/>
    </w:pPr>
  </w:style>
  <w:style w:type="paragraph" w:styleId="20">
    <w:name w:val="Title"/>
    <w:basedOn w:val="1"/>
    <w:qFormat/>
    <w:uiPriority w:val="0"/>
    <w:pPr>
      <w:spacing w:before="240" w:after="60"/>
      <w:jc w:val="center"/>
      <w:outlineLvl w:val="0"/>
    </w:pPr>
    <w:rPr>
      <w:rFonts w:ascii="Arial" w:hAnsi="Arial"/>
      <w:b/>
      <w:sz w:val="32"/>
    </w:rPr>
  </w:style>
  <w:style w:type="paragraph" w:styleId="21">
    <w:name w:val="Body Text First Indent 2"/>
    <w:basedOn w:val="15"/>
    <w:qFormat/>
    <w:uiPriority w:val="0"/>
    <w:pPr>
      <w:spacing w:line="360" w:lineRule="auto"/>
      <w:ind w:left="0" w:leftChars="0"/>
    </w:pPr>
    <w:rPr>
      <w:rFonts w:ascii="Times New Roman" w:hAnsi="Times New Roman" w:eastAsia="宋体"/>
    </w:rPr>
  </w:style>
  <w:style w:type="paragraph" w:customStyle="1" w:styleId="24">
    <w:name w:val="Default"/>
    <w:basedOn w:val="25"/>
    <w:qFormat/>
    <w:uiPriority w:val="0"/>
    <w:pPr>
      <w:autoSpaceDE w:val="0"/>
      <w:autoSpaceDN w:val="0"/>
      <w:adjustRightInd w:val="0"/>
      <w:spacing w:line="360" w:lineRule="auto"/>
    </w:pPr>
    <w:rPr>
      <w:rFonts w:hint="eastAsia" w:ascii="宋体" w:hAnsi="宋体" w:eastAsia="宋体"/>
      <w:color w:val="000000"/>
    </w:rPr>
  </w:style>
  <w:style w:type="paragraph" w:customStyle="1" w:styleId="25">
    <w:name w:val="纯文本1"/>
    <w:basedOn w:val="1"/>
    <w:qFormat/>
    <w:uiPriority w:val="0"/>
    <w:rPr>
      <w:rFonts w:hint="eastAsia" w:ascii="宋体" w:hAnsi="Courier New"/>
      <w:szCs w:val="24"/>
    </w:rPr>
  </w:style>
  <w:style w:type="character" w:customStyle="1" w:styleId="26">
    <w:name w:val="标题 1 Char"/>
    <w:link w:val="3"/>
    <w:qFormat/>
    <w:uiPriority w:val="99"/>
    <w:rPr>
      <w:rFonts w:ascii="Times New Roman" w:hAnsi="Times New Roman" w:eastAsia="宋体" w:cs="Times New Roman"/>
      <w:b/>
      <w:kern w:val="44"/>
      <w:sz w:val="30"/>
    </w:rPr>
  </w:style>
  <w:style w:type="paragraph" w:customStyle="1" w:styleId="27">
    <w:name w:val="正文5号"/>
    <w:basedOn w:val="1"/>
    <w:qFormat/>
    <w:uiPriority w:val="0"/>
    <w:pPr>
      <w:spacing w:line="360" w:lineRule="auto"/>
      <w:ind w:firstLine="422" w:firstLineChars="200"/>
    </w:pPr>
    <w:rPr>
      <w:rFonts w:ascii="Times New Roman" w:hAnsi="Times New Roman"/>
      <w:bCs/>
      <w:kern w:val="24"/>
      <w:szCs w:val="21"/>
    </w:rPr>
  </w:style>
  <w:style w:type="paragraph" w:customStyle="1" w:styleId="28">
    <w:name w:val="正文5号-缩进2"/>
    <w:basedOn w:val="1"/>
    <w:qFormat/>
    <w:uiPriority w:val="0"/>
    <w:pPr>
      <w:autoSpaceDE w:val="0"/>
      <w:autoSpaceDN w:val="0"/>
      <w:adjustRightInd w:val="0"/>
      <w:snapToGrid w:val="0"/>
      <w:spacing w:line="360" w:lineRule="auto"/>
      <w:ind w:firstLine="420" w:firstLineChars="200"/>
    </w:pPr>
    <w:rPr>
      <w:rFonts w:ascii="Times New Roman" w:hAnsi="Times New Roman" w:cs="宋体"/>
      <w:kern w:val="0"/>
      <w:szCs w:val="21"/>
    </w:rPr>
  </w:style>
  <w:style w:type="paragraph" w:customStyle="1" w:styleId="29">
    <w:name w:val="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eastAsia="宋体" w:cs="宋体"/>
      <w:kern w:val="0"/>
      <w:szCs w:val="21"/>
    </w:rPr>
  </w:style>
  <w:style w:type="paragraph" w:customStyle="1" w:styleId="30">
    <w:name w:val="5号居中"/>
    <w:basedOn w:val="1"/>
    <w:autoRedefine/>
    <w:qFormat/>
    <w:uiPriority w:val="0"/>
    <w:pPr>
      <w:adjustRightInd w:val="0"/>
      <w:snapToGrid w:val="0"/>
      <w:jc w:val="center"/>
    </w:pPr>
    <w:rPr>
      <w:rFonts w:ascii="Times New Roman" w:hAnsi="Times New Roman" w:cs="宋体"/>
      <w:szCs w:val="21"/>
    </w:rPr>
  </w:style>
  <w:style w:type="paragraph" w:customStyle="1" w:styleId="31">
    <w:name w:val="表头"/>
    <w:basedOn w:val="12"/>
    <w:next w:val="1"/>
    <w:autoRedefine/>
    <w:qFormat/>
    <w:uiPriority w:val="0"/>
    <w:pPr>
      <w:autoSpaceDE w:val="0"/>
      <w:autoSpaceDN w:val="0"/>
      <w:adjustRightInd w:val="0"/>
      <w:spacing w:before="50" w:beforeLines="50"/>
      <w:ind w:firstLine="0" w:firstLineChars="0"/>
      <w:jc w:val="center"/>
      <w:textAlignment w:val="baseline"/>
    </w:pPr>
    <w:rPr>
      <w:rFonts w:ascii="Times New Roman" w:hAnsi="Times New Roman" w:eastAsia="宋体" w:cs="Times New Roman"/>
      <w:b/>
      <w:color w:val="000000"/>
      <w:szCs w:val="21"/>
    </w:rPr>
  </w:style>
  <w:style w:type="paragraph" w:customStyle="1" w:styleId="32">
    <w:name w:val="表头5号"/>
    <w:basedOn w:val="1"/>
    <w:autoRedefine/>
    <w:qFormat/>
    <w:uiPriority w:val="0"/>
    <w:pPr>
      <w:spacing w:before="50" w:beforeLines="50"/>
      <w:jc w:val="center"/>
    </w:pPr>
    <w:rPr>
      <w:rFonts w:ascii="Times New Roman" w:hAnsi="Times New Roman" w:eastAsia="宋体" w:cs="Times New Roman"/>
      <w:b/>
      <w:bCs/>
      <w:szCs w:val="21"/>
      <w:lang w:bidi="en-US"/>
    </w:rPr>
  </w:style>
  <w:style w:type="character" w:customStyle="1" w:styleId="33">
    <w:name w:val="标题 2 Char"/>
    <w:link w:val="4"/>
    <w:autoRedefine/>
    <w:qFormat/>
    <w:uiPriority w:val="0"/>
    <w:rPr>
      <w:rFonts w:ascii="Times New Roman" w:hAnsi="Times New Roman" w:eastAsia="宋体" w:cs="Times New Roman"/>
      <w:b/>
      <w:sz w:val="28"/>
      <w:szCs w:val="22"/>
    </w:rPr>
  </w:style>
  <w:style w:type="character" w:customStyle="1" w:styleId="34">
    <w:name w:val="正文文本 Char"/>
    <w:link w:val="13"/>
    <w:autoRedefine/>
    <w:qFormat/>
    <w:locked/>
    <w:uiPriority w:val="0"/>
    <w:rPr>
      <w:rFonts w:ascii="Times New Roman" w:hAnsi="Times New Roman" w:eastAsia="宋体"/>
      <w:sz w:val="18"/>
    </w:rPr>
  </w:style>
  <w:style w:type="paragraph" w:customStyle="1" w:styleId="35">
    <w:name w:val="0正文"/>
    <w:basedOn w:val="1"/>
    <w:autoRedefine/>
    <w:qFormat/>
    <w:uiPriority w:val="0"/>
    <w:pPr>
      <w:spacing w:line="360" w:lineRule="auto"/>
      <w:ind w:firstLine="1040" w:firstLineChars="200"/>
    </w:pPr>
    <w:rPr>
      <w:rFonts w:ascii="Times New Roman" w:hAnsi="Times New Roman" w:cs="Times New Roman"/>
      <w:sz w:val="24"/>
    </w:rPr>
  </w:style>
  <w:style w:type="character" w:customStyle="1" w:styleId="36">
    <w:name w:val="标题 3 Char"/>
    <w:link w:val="5"/>
    <w:autoRedefine/>
    <w:qFormat/>
    <w:uiPriority w:val="0"/>
    <w:rPr>
      <w:rFonts w:ascii="Times New Roman" w:hAnsi="Times New Roman" w:eastAsia="宋体" w:cs="Times New Roman"/>
      <w:b/>
      <w:sz w:val="28"/>
      <w:szCs w:val="30"/>
    </w:rPr>
  </w:style>
  <w:style w:type="paragraph" w:customStyle="1" w:styleId="37">
    <w:name w:val="表 标题"/>
    <w:basedOn w:val="19"/>
    <w:autoRedefine/>
    <w:qFormat/>
    <w:uiPriority w:val="0"/>
    <w:pPr>
      <w:spacing w:before="50" w:beforeLines="50"/>
      <w:ind w:left="0" w:leftChars="0" w:firstLine="0" w:firstLineChars="0"/>
      <w:jc w:val="center"/>
    </w:pPr>
    <w:rPr>
      <w:rFonts w:ascii="Times New Roman" w:hAnsi="Times New Roman" w:eastAsia="宋体" w:cs="Times New Roman"/>
      <w:b/>
      <w:szCs w:val="20"/>
    </w:rPr>
  </w:style>
  <w:style w:type="character" w:customStyle="1" w:styleId="38">
    <w:name w:val="正文文本缩进 2 Char"/>
    <w:link w:val="16"/>
    <w:autoRedefine/>
    <w:qFormat/>
    <w:uiPriority w:val="0"/>
    <w:rPr>
      <w:rFonts w:ascii="Times New Roman" w:hAnsi="Times New Roman" w:eastAsia="宋体" w:cs="Times New Roman"/>
      <w:b/>
      <w:sz w:val="21"/>
      <w:szCs w:val="22"/>
    </w:rPr>
  </w:style>
  <w:style w:type="paragraph" w:customStyle="1" w:styleId="39">
    <w:name w:val="正  文"/>
    <w:autoRedefine/>
    <w:qFormat/>
    <w:uiPriority w:val="0"/>
    <w:pPr>
      <w:widowControl w:val="0"/>
      <w:spacing w:line="360" w:lineRule="auto"/>
      <w:ind w:firstLine="200" w:firstLineChars="200"/>
    </w:pPr>
    <w:rPr>
      <w:rFonts w:ascii="Times New Roman" w:hAnsi="Times New Roman" w:eastAsia="宋体" w:cs="Times New Roman"/>
      <w:kern w:val="2"/>
      <w:sz w:val="24"/>
      <w:szCs w:val="28"/>
      <w:lang w:val="en-US" w:eastAsia="zh-CN" w:bidi="ar-SA"/>
    </w:rPr>
  </w:style>
  <w:style w:type="character" w:customStyle="1" w:styleId="40">
    <w:name w:val="页眉 Char"/>
    <w:link w:val="18"/>
    <w:autoRedefine/>
    <w:qFormat/>
    <w:uiPriority w:val="99"/>
    <w:rPr>
      <w:rFonts w:ascii="Times New Roman" w:hAnsi="Times New Roman" w:eastAsia="宋体"/>
      <w:kern w:val="2"/>
      <w:sz w:val="18"/>
      <w:szCs w:val="18"/>
    </w:rPr>
  </w:style>
  <w:style w:type="character" w:customStyle="1" w:styleId="41">
    <w:name w:val="0正文唐 Char"/>
    <w:link w:val="2"/>
    <w:autoRedefine/>
    <w:qFormat/>
    <w:uiPriority w:val="0"/>
    <w:rPr>
      <w:rFonts w:ascii="Times New Roman" w:hAnsi="Times New Roman" w:eastAsia="宋体" w:cs="Times New Roman"/>
      <w:sz w:val="28"/>
    </w:rPr>
  </w:style>
  <w:style w:type="paragraph" w:customStyle="1" w:styleId="42">
    <w:name w:val="正文-唐"/>
    <w:basedOn w:val="2"/>
    <w:autoRedefine/>
    <w:qFormat/>
    <w:uiPriority w:val="0"/>
    <w:pPr>
      <w:ind w:firstLine="600"/>
    </w:pPr>
    <w:rPr>
      <w:szCs w:val="22"/>
    </w:rPr>
  </w:style>
  <w:style w:type="paragraph" w:customStyle="1" w:styleId="43">
    <w:name w:val="自编-正文"/>
    <w:basedOn w:val="1"/>
    <w:autoRedefine/>
    <w:qFormat/>
    <w:uiPriority w:val="0"/>
    <w:pPr>
      <w:spacing w:line="360" w:lineRule="auto"/>
      <w:ind w:firstLine="480" w:firstLineChars="200"/>
      <w:jc w:val="left"/>
    </w:pPr>
    <w:rPr>
      <w:rFonts w:ascii="Times New Roman" w:hAnsi="Times New Roman" w:eastAsia="宋体" w:cs="宋体"/>
      <w:sz w:val="24"/>
    </w:rPr>
  </w:style>
  <w:style w:type="paragraph" w:customStyle="1" w:styleId="44">
    <w:name w:val="报告正文"/>
    <w:basedOn w:val="1"/>
    <w:link w:val="45"/>
    <w:autoRedefine/>
    <w:qFormat/>
    <w:uiPriority w:val="0"/>
    <w:pPr>
      <w:spacing w:line="360" w:lineRule="auto"/>
      <w:textAlignment w:val="baseline"/>
    </w:pPr>
    <w:rPr>
      <w:rFonts w:ascii="Times New Roman" w:hAnsi="Times New Roman" w:eastAsia="宋体"/>
      <w:kern w:val="24"/>
      <w:sz w:val="24"/>
    </w:rPr>
  </w:style>
  <w:style w:type="character" w:customStyle="1" w:styleId="45">
    <w:name w:val="报告正文 Char"/>
    <w:link w:val="44"/>
    <w:autoRedefine/>
    <w:qFormat/>
    <w:uiPriority w:val="0"/>
    <w:rPr>
      <w:rFonts w:ascii="Times New Roman" w:hAnsi="Times New Roman" w:eastAsia="宋体"/>
      <w:kern w:val="24"/>
      <w:sz w:val="24"/>
      <w:szCs w:val="24"/>
    </w:rPr>
  </w:style>
  <w:style w:type="paragraph" w:customStyle="1" w:styleId="46">
    <w:name w:val="表内文字"/>
    <w:basedOn w:val="1"/>
    <w:autoRedefine/>
    <w:qFormat/>
    <w:uiPriority w:val="0"/>
    <w:pPr>
      <w:jc w:val="center"/>
    </w:pPr>
    <w:rPr>
      <w:rFonts w:ascii="Times New Roman" w:hAnsi="Times New Roman" w:eastAsia="宋体" w:cs="Times New Roman"/>
      <w:bCs/>
      <w:szCs w:val="21"/>
    </w:rPr>
  </w:style>
  <w:style w:type="paragraph" w:customStyle="1" w:styleId="47">
    <w:name w:val="0验收正文"/>
    <w:basedOn w:val="2"/>
    <w:next w:val="2"/>
    <w:autoRedefine/>
    <w:qFormat/>
    <w:uiPriority w:val="0"/>
    <w:pPr>
      <w:numPr>
        <w:ilvl w:val="0"/>
        <w:numId w:val="3"/>
      </w:numPr>
      <w:jc w:val="both"/>
    </w:pPr>
    <w:rPr>
      <w:bCs/>
    </w:rPr>
  </w:style>
  <w:style w:type="character" w:customStyle="1" w:styleId="48">
    <w:name w:val="content1"/>
    <w:basedOn w:val="23"/>
    <w:autoRedefine/>
    <w:qFormat/>
    <w:uiPriority w:val="0"/>
    <w:rPr>
      <w:color w:val="000000"/>
      <w:sz w:val="20"/>
      <w:szCs w:val="20"/>
    </w:rPr>
  </w:style>
  <w:style w:type="paragraph" w:customStyle="1" w:styleId="49">
    <w:name w:val="列出段落1"/>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1546</Words>
  <Characters>1650</Characters>
  <Lines>10</Lines>
  <Paragraphs>2</Paragraphs>
  <TotalTime>34</TotalTime>
  <ScaleCrop>false</ScaleCrop>
  <LinksUpToDate>false</LinksUpToDate>
  <CharactersWithSpaces>1763</CharactersWithSpaces>
  <Application>WPS Office_12.8.2.1114_F1E327BC-269C-435d-A152-05C5408002CA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2024-04-03T10:17:00Z</dcterms:created>
  <dc:creator>fm</dc:creator>
  <cp:lastModifiedBy>kylin</cp:lastModifiedBy>
  <cp:lastPrinted>2025-10-24T18:59:00Z</cp:lastPrinted>
  <dcterms:modified xsi:type="dcterms:W3CDTF">2025-10-28T09:39:56Z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AD5839B7821643BAB20AFCCE3C06FB24_13</vt:lpwstr>
  </property>
  <property fmtid="{D5CDD505-2E9C-101B-9397-08002B2CF9AE}" pid="4" name="KSOTemplateDocerSaveRecord">
    <vt:lpwstr>eyJoZGlkIjoiZDI5MWQ3YWNjODIxMjkxYTc0ZGIxM2ZmNWE4NzFlNDMiLCJ1c2VySWQiOiIyNDYxOTc1MzcifQ==</vt:lpwstr>
  </property>
</Properties>
</file>