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6111CA">
      <w:pPr>
        <w:spacing w:line="800" w:lineRule="exact"/>
        <w:rPr>
          <w:rFonts w:hint="eastAsia" w:ascii="仿宋_GB2312" w:hAnsi="宋体" w:eastAsia="仿宋_GB2312"/>
          <w:sz w:val="32"/>
          <w:szCs w:val="32"/>
        </w:rPr>
      </w:pPr>
    </w:p>
    <w:p w14:paraId="2317927D">
      <w:pPr>
        <w:ind w:firstLine="5280" w:firstLineChars="1650"/>
        <w:rPr>
          <w:rFonts w:hint="default" w:ascii="Times New Roman" w:hAnsi="Times New Roman" w:eastAsia="仿宋_GB2312" w:cs="Times New Roman"/>
          <w:color w:val="auto"/>
          <w:sz w:val="32"/>
          <w:szCs w:val="32"/>
        </w:rPr>
      </w:pPr>
    </w:p>
    <w:p w14:paraId="0C5C052E">
      <w:pPr>
        <w:jc w:val="righ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蒸环评函</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5</w:t>
      </w:r>
      <w:r>
        <w:rPr>
          <w:rFonts w:hint="eastAsia" w:ascii="仿宋_GB2312" w:hAnsi="仿宋_GB2312" w:eastAsia="仿宋_GB2312" w:cs="仿宋_GB2312"/>
          <w:color w:val="auto"/>
          <w:sz w:val="32"/>
          <w:szCs w:val="32"/>
          <w:lang w:val="en-US" w:eastAsia="zh-CN"/>
        </w:rPr>
        <w:t>〕13</w:t>
      </w:r>
      <w:r>
        <w:rPr>
          <w:rFonts w:hint="default" w:ascii="Times New Roman" w:hAnsi="Times New Roman" w:eastAsia="仿宋_GB2312" w:cs="Times New Roman"/>
          <w:color w:val="auto"/>
          <w:sz w:val="32"/>
          <w:szCs w:val="32"/>
        </w:rPr>
        <w:t>号</w:t>
      </w:r>
    </w:p>
    <w:p w14:paraId="529691F3">
      <w:pPr>
        <w:spacing w:line="280" w:lineRule="exact"/>
        <w:ind w:firstLine="5280" w:firstLineChars="1650"/>
        <w:rPr>
          <w:rFonts w:hint="eastAsia" w:ascii="仿宋_GB2312" w:hAnsi="宋体" w:eastAsia="仿宋_GB2312"/>
          <w:color w:val="auto"/>
          <w:sz w:val="44"/>
          <w:szCs w:val="44"/>
        </w:rPr>
      </w:pPr>
      <w:r>
        <w:rPr>
          <w:rFonts w:hint="eastAsia" w:ascii="仿宋_GB2312" w:hAnsi="宋体" w:eastAsia="仿宋_GB2312"/>
          <w:color w:val="auto"/>
          <w:sz w:val="32"/>
          <w:szCs w:val="32"/>
        </w:rPr>
        <w:t xml:space="preserve">  </w:t>
      </w:r>
    </w:p>
    <w:p w14:paraId="35B61AD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36"/>
          <w:szCs w:val="36"/>
        </w:rPr>
      </w:pPr>
      <w:r>
        <w:rPr>
          <w:rFonts w:hint="eastAsia" w:ascii="方正小标宋简体" w:hAnsi="方正小标宋简体" w:eastAsia="方正小标宋简体" w:cs="方正小标宋简体"/>
          <w:b/>
          <w:bCs w:val="0"/>
          <w:color w:val="auto"/>
          <w:sz w:val="36"/>
          <w:szCs w:val="36"/>
        </w:rPr>
        <w:t>衡阳市生态环境局</w:t>
      </w:r>
    </w:p>
    <w:p w14:paraId="2697C37D">
      <w:pPr>
        <w:spacing w:line="660" w:lineRule="exact"/>
        <w:jc w:val="center"/>
        <w:rPr>
          <w:rFonts w:ascii="方正小标宋简体" w:hAnsi="宋体" w:eastAsia="方正小标宋简体"/>
          <w:b/>
          <w:bCs w:val="0"/>
          <w:sz w:val="36"/>
          <w:szCs w:val="36"/>
        </w:rPr>
      </w:pPr>
      <w:r>
        <w:rPr>
          <w:rFonts w:hint="eastAsia" w:ascii="方正小标宋简体" w:hAnsi="宋体" w:eastAsia="方正小标宋简体"/>
          <w:b/>
          <w:bCs w:val="0"/>
          <w:sz w:val="36"/>
          <w:szCs w:val="36"/>
        </w:rPr>
        <w:t>关于</w:t>
      </w:r>
      <w:r>
        <w:rPr>
          <w:rFonts w:hint="eastAsia" w:ascii="方正小标宋简体" w:hAnsi="宋体" w:eastAsia="方正小标宋简体"/>
          <w:b/>
          <w:bCs w:val="0"/>
          <w:sz w:val="36"/>
          <w:szCs w:val="36"/>
          <w:lang w:eastAsia="zh-CN"/>
        </w:rPr>
        <w:t>衡阳市鸿康纸塑容器包装有限公司改扩建项目</w:t>
      </w:r>
      <w:r>
        <w:rPr>
          <w:rFonts w:hint="eastAsia" w:ascii="方正小标宋简体" w:hAnsi="宋体" w:eastAsia="方正小标宋简体"/>
          <w:b/>
          <w:bCs w:val="0"/>
          <w:sz w:val="36"/>
          <w:szCs w:val="36"/>
        </w:rPr>
        <w:t>环境影响报告表的批复</w:t>
      </w:r>
    </w:p>
    <w:p w14:paraId="5357FD5A">
      <w:pPr>
        <w:spacing w:line="360" w:lineRule="auto"/>
        <w:rPr>
          <w:rFonts w:hint="eastAsia"/>
          <w:sz w:val="24"/>
        </w:rPr>
      </w:pPr>
    </w:p>
    <w:p w14:paraId="79A38695">
      <w:pPr>
        <w:spacing w:line="360" w:lineRule="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color w:val="auto"/>
          <w:sz w:val="32"/>
          <w:szCs w:val="32"/>
          <w:u w:val="none" w:color="auto"/>
          <w:lang w:eastAsia="zh-CN"/>
        </w:rPr>
        <w:t>衡阳市鸿康纸塑容器包装有限公司</w:t>
      </w:r>
      <w:r>
        <w:rPr>
          <w:rFonts w:hint="eastAsia" w:ascii="仿宋_GB2312" w:hAnsi="仿宋_GB2312" w:eastAsia="仿宋_GB2312" w:cs="仿宋_GB2312"/>
          <w:sz w:val="32"/>
          <w:szCs w:val="32"/>
          <w:u w:val="none" w:color="auto"/>
        </w:rPr>
        <w:t>：</w:t>
      </w:r>
    </w:p>
    <w:p w14:paraId="17CF4515">
      <w:pPr>
        <w:spacing w:line="360" w:lineRule="auto"/>
        <w:ind w:firstLine="640" w:firstLineChars="200"/>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你公司《</w:t>
      </w:r>
      <w:r>
        <w:rPr>
          <w:rFonts w:hint="eastAsia" w:ascii="仿宋_GB2312" w:hAnsi="仿宋_GB2312" w:eastAsia="仿宋_GB2312" w:cs="仿宋_GB2312"/>
          <w:color w:val="000000"/>
          <w:sz w:val="32"/>
          <w:szCs w:val="32"/>
          <w:u w:val="none" w:color="auto"/>
          <w:lang w:eastAsia="zh-CN"/>
        </w:rPr>
        <w:t>关于对</w:t>
      </w:r>
      <w:r>
        <w:rPr>
          <w:rFonts w:hint="eastAsia" w:ascii="仿宋_GB2312" w:hAnsi="仿宋_GB2312" w:eastAsia="仿宋_GB2312" w:cs="仿宋_GB2312"/>
          <w:sz w:val="32"/>
          <w:szCs w:val="32"/>
          <w:u w:val="none" w:color="auto"/>
          <w:lang w:eastAsia="zh-CN"/>
        </w:rPr>
        <w:t>衡阳市鸿康纸塑容器包装有限公司改扩建项目</w:t>
      </w:r>
      <w:r>
        <w:rPr>
          <w:rFonts w:hint="eastAsia" w:ascii="仿宋_GB2312" w:hAnsi="仿宋_GB2312" w:eastAsia="仿宋_GB2312" w:cs="仿宋_GB2312"/>
          <w:color w:val="000000"/>
          <w:sz w:val="32"/>
          <w:szCs w:val="32"/>
          <w:u w:val="none" w:color="auto"/>
        </w:rPr>
        <w:t>进行批复的请示》和</w:t>
      </w:r>
      <w:r>
        <w:rPr>
          <w:rFonts w:hint="eastAsia" w:ascii="仿宋_GB2312" w:hAnsi="仿宋_GB2312" w:eastAsia="仿宋_GB2312" w:cs="仿宋_GB2312"/>
          <w:color w:val="000000"/>
          <w:sz w:val="32"/>
          <w:szCs w:val="32"/>
          <w:u w:val="none" w:color="auto"/>
          <w:lang w:eastAsia="zh-CN"/>
        </w:rPr>
        <w:t>湖南宏择环保科技有限公司</w:t>
      </w:r>
      <w:r>
        <w:rPr>
          <w:rFonts w:hint="eastAsia" w:ascii="仿宋_GB2312" w:hAnsi="仿宋_GB2312" w:eastAsia="仿宋_GB2312" w:cs="仿宋_GB2312"/>
          <w:color w:val="000000"/>
          <w:sz w:val="32"/>
          <w:szCs w:val="32"/>
          <w:u w:val="none" w:color="auto"/>
        </w:rPr>
        <w:t>编制的《</w:t>
      </w:r>
      <w:r>
        <w:rPr>
          <w:rFonts w:hint="eastAsia" w:ascii="仿宋_GB2312" w:hAnsi="仿宋_GB2312" w:eastAsia="仿宋_GB2312" w:cs="仿宋_GB2312"/>
          <w:sz w:val="32"/>
          <w:szCs w:val="32"/>
          <w:u w:val="none" w:color="auto"/>
          <w:lang w:eastAsia="zh-CN"/>
        </w:rPr>
        <w:t>衡阳市鸿康纸塑容器包装有限公司改扩建项目</w:t>
      </w:r>
      <w:r>
        <w:rPr>
          <w:rFonts w:hint="eastAsia" w:ascii="仿宋_GB2312" w:hAnsi="仿宋_GB2312" w:eastAsia="仿宋_GB2312" w:cs="仿宋_GB2312"/>
          <w:color w:val="000000"/>
          <w:sz w:val="32"/>
          <w:szCs w:val="32"/>
          <w:u w:val="none" w:color="auto"/>
        </w:rPr>
        <w:t>环境影响报告表》及专家组评审意见均收悉，经研究，批复如下：</w:t>
      </w:r>
    </w:p>
    <w:p w14:paraId="46EAFCC1">
      <w:pPr>
        <w:spacing w:line="360" w:lineRule="auto"/>
        <w:ind w:firstLine="640" w:firstLineChars="200"/>
        <w:rPr>
          <w:rFonts w:hint="eastAsia" w:ascii="仿宋_GB2312" w:hAnsi="仿宋_GB2312" w:eastAsia="仿宋_GB2312" w:cs="仿宋_GB2312"/>
          <w:color w:val="auto"/>
          <w:sz w:val="32"/>
          <w:szCs w:val="32"/>
          <w:u w:val="none" w:color="auto"/>
          <w:lang w:eastAsia="zh-CN"/>
        </w:rPr>
      </w:pPr>
      <w:r>
        <w:rPr>
          <w:rFonts w:hint="eastAsia" w:ascii="仿宋_GB2312" w:hAnsi="仿宋_GB2312" w:eastAsia="仿宋_GB2312" w:cs="仿宋_GB2312"/>
          <w:color w:val="000000"/>
          <w:sz w:val="32"/>
          <w:szCs w:val="32"/>
          <w:u w:val="none" w:color="auto"/>
        </w:rPr>
        <w:t>一、</w:t>
      </w:r>
      <w:r>
        <w:rPr>
          <w:rFonts w:hint="eastAsia" w:ascii="仿宋_GB2312" w:hAnsi="仿宋_GB2312" w:eastAsia="仿宋_GB2312" w:cs="仿宋_GB2312"/>
          <w:color w:val="auto"/>
          <w:sz w:val="32"/>
          <w:szCs w:val="32"/>
          <w:u w:val="none" w:color="auto"/>
          <w:lang w:eastAsia="zh-CN"/>
        </w:rPr>
        <w:t>衡阳市鸿康纸塑容器包装有限公司</w:t>
      </w:r>
      <w:r>
        <w:rPr>
          <w:rFonts w:hint="eastAsia" w:ascii="仿宋_GB2312" w:hAnsi="仿宋_GB2312" w:eastAsia="仿宋_GB2312" w:cs="仿宋_GB2312"/>
          <w:sz w:val="32"/>
          <w:szCs w:val="32"/>
          <w:u w:val="none" w:color="auto"/>
          <w:lang w:eastAsia="zh-CN"/>
        </w:rPr>
        <w:t>拟</w:t>
      </w:r>
      <w:r>
        <w:rPr>
          <w:rFonts w:hint="eastAsia" w:ascii="仿宋_GB2312" w:hAnsi="仿宋_GB2312" w:eastAsia="仿宋_GB2312" w:cs="仿宋_GB2312"/>
          <w:color w:val="000000"/>
          <w:sz w:val="32"/>
          <w:szCs w:val="32"/>
          <w:u w:val="none" w:color="auto"/>
        </w:rPr>
        <w:t>投资</w:t>
      </w:r>
      <w:r>
        <w:rPr>
          <w:rFonts w:hint="eastAsia" w:ascii="仿宋_GB2312" w:hAnsi="仿宋_GB2312" w:eastAsia="仿宋_GB2312" w:cs="仿宋_GB2312"/>
          <w:color w:val="auto"/>
          <w:sz w:val="32"/>
          <w:szCs w:val="32"/>
          <w:u w:val="none" w:color="auto"/>
          <w:lang w:val="en-US" w:eastAsia="zh-CN"/>
        </w:rPr>
        <w:t>1100</w:t>
      </w:r>
      <w:r>
        <w:rPr>
          <w:rFonts w:hint="eastAsia" w:ascii="仿宋_GB2312" w:hAnsi="仿宋_GB2312" w:eastAsia="仿宋_GB2312" w:cs="仿宋_GB2312"/>
          <w:color w:val="000000"/>
          <w:sz w:val="32"/>
          <w:szCs w:val="32"/>
          <w:u w:val="none" w:color="auto"/>
        </w:rPr>
        <w:t>万元</w:t>
      </w:r>
      <w:r>
        <w:rPr>
          <w:rFonts w:hint="eastAsia" w:ascii="仿宋_GB2312" w:hAnsi="仿宋_GB2312" w:eastAsia="仿宋_GB2312" w:cs="仿宋_GB2312"/>
          <w:color w:val="000000"/>
          <w:sz w:val="32"/>
          <w:szCs w:val="32"/>
          <w:u w:val="none" w:color="auto"/>
          <w:lang w:eastAsia="zh-CN"/>
        </w:rPr>
        <w:t>在</w:t>
      </w:r>
      <w:r>
        <w:rPr>
          <w:rFonts w:hint="eastAsia" w:ascii="仿宋_GB2312" w:hAnsi="仿宋_GB2312" w:eastAsia="仿宋_GB2312" w:cs="仿宋_GB2312"/>
          <w:color w:val="auto"/>
          <w:sz w:val="32"/>
          <w:szCs w:val="32"/>
          <w:u w:val="none" w:color="auto"/>
          <w:lang w:val="en-US" w:eastAsia="zh-CN"/>
        </w:rPr>
        <w:t>衡阳县板市乡民康村冷公塘组</w:t>
      </w:r>
      <w:r>
        <w:rPr>
          <w:rFonts w:hint="eastAsia" w:ascii="仿宋_GB2312" w:hAnsi="仿宋_GB2312" w:eastAsia="仿宋_GB2312" w:cs="仿宋_GB2312"/>
          <w:kern w:val="0"/>
          <w:sz w:val="32"/>
          <w:szCs w:val="32"/>
          <w:u w:val="none" w:color="auto"/>
          <w:lang w:eastAsia="zh-CN"/>
        </w:rPr>
        <w:t>进行</w:t>
      </w:r>
      <w:r>
        <w:rPr>
          <w:rFonts w:hint="eastAsia" w:ascii="仿宋_GB2312" w:hAnsi="仿宋_GB2312" w:eastAsia="仿宋_GB2312" w:cs="仿宋_GB2312"/>
          <w:sz w:val="32"/>
          <w:szCs w:val="32"/>
          <w:u w:val="none" w:color="auto"/>
          <w:lang w:eastAsia="zh-CN"/>
        </w:rPr>
        <w:t>改扩建项目。项目主要改扩建内容为:</w:t>
      </w:r>
      <w:r>
        <w:rPr>
          <w:rFonts w:hint="eastAsia" w:ascii="仿宋_GB2312" w:hAnsi="仿宋_GB2312" w:eastAsia="仿宋_GB2312" w:cs="仿宋_GB2312"/>
          <w:b w:val="0"/>
          <w:bCs w:val="0"/>
          <w:color w:val="auto"/>
          <w:sz w:val="32"/>
          <w:szCs w:val="32"/>
          <w:u w:val="none" w:color="auto"/>
          <w:lang w:val="en-US" w:eastAsia="zh-CN"/>
        </w:rPr>
        <w:t>①原有厂房建筑全部拆除，改建为1个1层日用塑料制品生产车间（占地面积1662m</w:t>
      </w:r>
      <w:r>
        <w:rPr>
          <w:rFonts w:hint="eastAsia" w:ascii="仿宋_GB2312" w:hAnsi="仿宋_GB2312" w:eastAsia="仿宋_GB2312" w:cs="仿宋_GB2312"/>
          <w:b w:val="0"/>
          <w:bCs w:val="0"/>
          <w:color w:val="auto"/>
          <w:sz w:val="32"/>
          <w:szCs w:val="32"/>
          <w:u w:val="none" w:color="auto"/>
          <w:vertAlign w:val="superscript"/>
          <w:lang w:val="en-US" w:eastAsia="zh-CN"/>
        </w:rPr>
        <w:t>2</w:t>
      </w:r>
      <w:r>
        <w:rPr>
          <w:rFonts w:hint="eastAsia" w:ascii="仿宋_GB2312" w:hAnsi="仿宋_GB2312" w:eastAsia="仿宋_GB2312" w:cs="仿宋_GB2312"/>
          <w:b w:val="0"/>
          <w:bCs w:val="0"/>
          <w:color w:val="auto"/>
          <w:sz w:val="32"/>
          <w:szCs w:val="32"/>
          <w:u w:val="none" w:color="auto"/>
          <w:lang w:val="en-US" w:eastAsia="zh-CN"/>
        </w:rPr>
        <w:t>）、1#生产厂房（5层，占地面积900m</w:t>
      </w:r>
      <w:r>
        <w:rPr>
          <w:rFonts w:hint="eastAsia" w:ascii="仿宋_GB2312" w:hAnsi="仿宋_GB2312" w:eastAsia="仿宋_GB2312" w:cs="仿宋_GB2312"/>
          <w:b w:val="0"/>
          <w:bCs w:val="0"/>
          <w:color w:val="auto"/>
          <w:sz w:val="32"/>
          <w:szCs w:val="32"/>
          <w:u w:val="none" w:color="auto"/>
          <w:vertAlign w:val="superscript"/>
          <w:lang w:val="en-US" w:eastAsia="zh-CN"/>
        </w:rPr>
        <w:t>2</w:t>
      </w:r>
      <w:r>
        <w:rPr>
          <w:rFonts w:hint="eastAsia" w:ascii="仿宋_GB2312" w:hAnsi="仿宋_GB2312" w:eastAsia="仿宋_GB2312" w:cs="仿宋_GB2312"/>
          <w:b w:val="0"/>
          <w:bCs w:val="0"/>
          <w:color w:val="auto"/>
          <w:sz w:val="32"/>
          <w:szCs w:val="32"/>
          <w:u w:val="none" w:color="auto"/>
          <w:vertAlign w:val="baseline"/>
          <w:lang w:val="en-US" w:eastAsia="zh-CN"/>
        </w:rPr>
        <w:t>，2F为纸制品生产车间，建筑面积900m</w:t>
      </w:r>
      <w:r>
        <w:rPr>
          <w:rFonts w:hint="eastAsia" w:ascii="仿宋_GB2312" w:hAnsi="仿宋_GB2312" w:eastAsia="仿宋_GB2312" w:cs="仿宋_GB2312"/>
          <w:b w:val="0"/>
          <w:bCs w:val="0"/>
          <w:color w:val="auto"/>
          <w:sz w:val="32"/>
          <w:szCs w:val="32"/>
          <w:u w:val="none" w:color="auto"/>
          <w:vertAlign w:val="superscript"/>
          <w:lang w:val="en-US" w:eastAsia="zh-CN"/>
        </w:rPr>
        <w:t>2</w:t>
      </w:r>
      <w:r>
        <w:rPr>
          <w:rFonts w:hint="eastAsia" w:ascii="仿宋_GB2312" w:hAnsi="仿宋_GB2312" w:eastAsia="仿宋_GB2312" w:cs="仿宋_GB2312"/>
          <w:b w:val="0"/>
          <w:bCs w:val="0"/>
          <w:color w:val="auto"/>
          <w:sz w:val="32"/>
          <w:szCs w:val="32"/>
          <w:u w:val="none" w:color="auto"/>
          <w:vertAlign w:val="baseline"/>
          <w:lang w:val="en-US" w:eastAsia="zh-CN"/>
        </w:rPr>
        <w:t>，其余层为原料仓库</w:t>
      </w:r>
      <w:r>
        <w:rPr>
          <w:rFonts w:hint="eastAsia" w:ascii="仿宋_GB2312" w:hAnsi="仿宋_GB2312" w:eastAsia="仿宋_GB2312" w:cs="仿宋_GB2312"/>
          <w:b w:val="0"/>
          <w:bCs w:val="0"/>
          <w:color w:val="auto"/>
          <w:sz w:val="32"/>
          <w:szCs w:val="32"/>
          <w:u w:val="none" w:color="auto"/>
          <w:lang w:val="en-US" w:eastAsia="zh-CN"/>
        </w:rPr>
        <w:t>）、2#生产厂房（5层，占地面积1035m</w:t>
      </w:r>
      <w:r>
        <w:rPr>
          <w:rFonts w:hint="eastAsia" w:ascii="仿宋_GB2312" w:hAnsi="仿宋_GB2312" w:eastAsia="仿宋_GB2312" w:cs="仿宋_GB2312"/>
          <w:b w:val="0"/>
          <w:bCs w:val="0"/>
          <w:color w:val="auto"/>
          <w:sz w:val="32"/>
          <w:szCs w:val="32"/>
          <w:u w:val="none" w:color="auto"/>
          <w:vertAlign w:val="superscript"/>
          <w:lang w:val="en-US" w:eastAsia="zh-CN"/>
        </w:rPr>
        <w:t>2</w:t>
      </w:r>
      <w:r>
        <w:rPr>
          <w:rFonts w:hint="eastAsia" w:ascii="仿宋_GB2312" w:hAnsi="仿宋_GB2312" w:eastAsia="仿宋_GB2312" w:cs="仿宋_GB2312"/>
          <w:b w:val="0"/>
          <w:bCs w:val="0"/>
          <w:color w:val="auto"/>
          <w:sz w:val="32"/>
          <w:szCs w:val="32"/>
          <w:u w:val="none" w:color="auto"/>
          <w:vertAlign w:val="baseline"/>
          <w:lang w:val="en-US" w:eastAsia="zh-CN"/>
        </w:rPr>
        <w:t>，1F分隔部分区域作为办公区，建筑面积135m</w:t>
      </w:r>
      <w:r>
        <w:rPr>
          <w:rFonts w:hint="eastAsia" w:ascii="仿宋_GB2312" w:hAnsi="仿宋_GB2312" w:eastAsia="仿宋_GB2312" w:cs="仿宋_GB2312"/>
          <w:b w:val="0"/>
          <w:bCs w:val="0"/>
          <w:color w:val="auto"/>
          <w:sz w:val="32"/>
          <w:szCs w:val="32"/>
          <w:u w:val="none" w:color="auto"/>
          <w:vertAlign w:val="superscript"/>
          <w:lang w:val="en-US" w:eastAsia="zh-CN"/>
        </w:rPr>
        <w:t>2</w:t>
      </w:r>
      <w:r>
        <w:rPr>
          <w:rFonts w:hint="eastAsia" w:ascii="仿宋_GB2312" w:hAnsi="仿宋_GB2312" w:eastAsia="仿宋_GB2312" w:cs="仿宋_GB2312"/>
          <w:b w:val="0"/>
          <w:bCs w:val="0"/>
          <w:color w:val="auto"/>
          <w:sz w:val="32"/>
          <w:szCs w:val="32"/>
          <w:u w:val="none" w:color="auto"/>
          <w:vertAlign w:val="baseline"/>
          <w:lang w:val="en-US" w:eastAsia="zh-CN"/>
        </w:rPr>
        <w:t>，其余空间作为包装材料仓库</w:t>
      </w:r>
      <w:r>
        <w:rPr>
          <w:rFonts w:hint="eastAsia" w:ascii="仿宋_GB2312" w:hAnsi="仿宋_GB2312" w:eastAsia="仿宋_GB2312" w:cs="仿宋_GB2312"/>
          <w:b w:val="0"/>
          <w:bCs w:val="0"/>
          <w:color w:val="auto"/>
          <w:sz w:val="32"/>
          <w:szCs w:val="32"/>
          <w:u w:val="none" w:color="auto"/>
          <w:lang w:val="en-US" w:eastAsia="zh-CN"/>
        </w:rPr>
        <w:t>）；新增一栋产品仓库（占地面积2380m</w:t>
      </w:r>
      <w:r>
        <w:rPr>
          <w:rFonts w:hint="eastAsia" w:ascii="仿宋_GB2312" w:hAnsi="仿宋_GB2312" w:eastAsia="仿宋_GB2312" w:cs="仿宋_GB2312"/>
          <w:b w:val="0"/>
          <w:bCs w:val="0"/>
          <w:color w:val="auto"/>
          <w:sz w:val="32"/>
          <w:szCs w:val="32"/>
          <w:u w:val="none" w:color="auto"/>
          <w:vertAlign w:val="superscript"/>
          <w:lang w:val="en-US" w:eastAsia="zh-CN"/>
        </w:rPr>
        <w:t>2</w:t>
      </w:r>
      <w:r>
        <w:rPr>
          <w:rFonts w:hint="eastAsia" w:ascii="仿宋_GB2312" w:hAnsi="仿宋_GB2312" w:eastAsia="仿宋_GB2312" w:cs="仿宋_GB2312"/>
          <w:b w:val="0"/>
          <w:bCs w:val="0"/>
          <w:color w:val="auto"/>
          <w:sz w:val="32"/>
          <w:szCs w:val="32"/>
          <w:u w:val="none" w:color="auto"/>
          <w:lang w:val="en-US" w:eastAsia="zh-CN"/>
        </w:rPr>
        <w:t>）、一座食堂兼小卖部（占地面积435m</w:t>
      </w:r>
      <w:r>
        <w:rPr>
          <w:rFonts w:hint="eastAsia" w:ascii="仿宋_GB2312" w:hAnsi="仿宋_GB2312" w:eastAsia="仿宋_GB2312" w:cs="仿宋_GB2312"/>
          <w:b w:val="0"/>
          <w:bCs w:val="0"/>
          <w:color w:val="auto"/>
          <w:sz w:val="32"/>
          <w:szCs w:val="32"/>
          <w:u w:val="none" w:color="auto"/>
          <w:vertAlign w:val="superscript"/>
          <w:lang w:val="en-US" w:eastAsia="zh-CN"/>
        </w:rPr>
        <w:t>2</w:t>
      </w:r>
      <w:r>
        <w:rPr>
          <w:rFonts w:hint="eastAsia" w:ascii="仿宋_GB2312" w:hAnsi="仿宋_GB2312" w:eastAsia="仿宋_GB2312" w:cs="仿宋_GB2312"/>
          <w:b w:val="0"/>
          <w:bCs w:val="0"/>
          <w:color w:val="auto"/>
          <w:sz w:val="32"/>
          <w:szCs w:val="32"/>
          <w:u w:val="none" w:color="auto"/>
          <w:lang w:val="en-US" w:eastAsia="zh-CN"/>
        </w:rPr>
        <w:t>），新增用地面积5689.6m</w:t>
      </w:r>
      <w:r>
        <w:rPr>
          <w:rFonts w:hint="eastAsia" w:ascii="仿宋_GB2312" w:hAnsi="仿宋_GB2312" w:eastAsia="仿宋_GB2312" w:cs="仿宋_GB2312"/>
          <w:b w:val="0"/>
          <w:bCs w:val="0"/>
          <w:color w:val="auto"/>
          <w:sz w:val="32"/>
          <w:szCs w:val="32"/>
          <w:u w:val="none" w:color="auto"/>
          <w:vertAlign w:val="superscript"/>
          <w:lang w:val="en-US" w:eastAsia="zh-CN"/>
        </w:rPr>
        <w:t>2</w:t>
      </w:r>
      <w:r>
        <w:rPr>
          <w:rFonts w:hint="eastAsia" w:ascii="仿宋_GB2312" w:hAnsi="仿宋_GB2312" w:eastAsia="仿宋_GB2312" w:cs="仿宋_GB2312"/>
          <w:b w:val="0"/>
          <w:bCs w:val="0"/>
          <w:color w:val="auto"/>
          <w:sz w:val="32"/>
          <w:szCs w:val="32"/>
          <w:u w:val="none" w:color="auto"/>
          <w:lang w:val="en-US" w:eastAsia="zh-CN"/>
        </w:rPr>
        <w:t>；②生产规模增加，由年产一次性塑料杯、碗2万件，一次性纸杯、碗1万件增加为年产一次性塑料杯、碗10万件，一次性纸杯、碗10万件；</w:t>
      </w:r>
      <w:r>
        <w:rPr>
          <w:rFonts w:hint="eastAsia" w:ascii="仿宋_GB2312" w:hAnsi="仿宋_GB2312" w:eastAsia="仿宋_GB2312" w:cs="仿宋_GB2312"/>
          <w:b w:val="0"/>
          <w:bCs w:val="0"/>
          <w:color w:val="auto"/>
          <w:sz w:val="32"/>
          <w:szCs w:val="32"/>
          <w:highlight w:val="none"/>
          <w:u w:val="none" w:color="auto"/>
          <w:lang w:val="en-US" w:eastAsia="zh-CN"/>
        </w:rPr>
        <w:t>③对主要生产设备进行调整，纸制品生产线方面：新增纸杯机10台，纸碗机5台，自动包装机4台，新增数码印刷机1台；日用塑料生产线方面：新增边角料自动回笼机、福伦成型机、螺杆空压机、拌料机、制备机等设备型号，新增2台福伦拉片机，3台边角料自动回笼机、5台福伦成型机、3台螺杆空压机、2台拌料机、4台制备机；④增加原料种类及年使用量，纸制品生产线方面：新增水性油墨2.5t/a、食品级白矿油0.34t/a，淋膜纸由100t/a增加为600t/a，包装膜由2t/a增加为6t/a；日用塑料生产线方面：聚丙烯PP由200t/a增加为600t/a、新增色母料3t/a；全厂：新增齿轮油340L/a，纸箱由6万个/a增加为40万个/a，胶带由0.3万个/a增加为2万个/a；</w:t>
      </w:r>
      <w:r>
        <w:rPr>
          <w:rFonts w:hint="eastAsia" w:ascii="仿宋_GB2312" w:hAnsi="仿宋_GB2312" w:eastAsia="仿宋_GB2312" w:cs="仿宋_GB2312"/>
          <w:b w:val="0"/>
          <w:bCs w:val="0"/>
          <w:color w:val="auto"/>
          <w:sz w:val="32"/>
          <w:szCs w:val="32"/>
          <w:u w:val="none" w:color="auto"/>
          <w:lang w:val="en-US" w:eastAsia="zh-CN"/>
        </w:rPr>
        <w:t>⑤增加年工作时间，由年工作300天，一天一班，每天8h变为年工作300天，一天两班，每天10h。</w:t>
      </w:r>
      <w:r>
        <w:rPr>
          <w:rFonts w:hint="eastAsia" w:ascii="仿宋_GB2312" w:hAnsi="仿宋_GB2312" w:eastAsia="仿宋_GB2312" w:cs="仿宋_GB2312"/>
          <w:color w:val="auto"/>
          <w:sz w:val="32"/>
          <w:szCs w:val="32"/>
          <w:u w:val="none" w:color="auto"/>
          <w:lang w:eastAsia="zh-CN"/>
        </w:rPr>
        <w:t>主要建设内容包括：</w:t>
      </w:r>
      <w:r>
        <w:rPr>
          <w:rFonts w:hint="eastAsia" w:ascii="仿宋_GB2312" w:hAnsi="仿宋_GB2312" w:eastAsia="仿宋_GB2312" w:cs="仿宋_GB2312"/>
          <w:color w:val="auto"/>
          <w:kern w:val="2"/>
          <w:sz w:val="32"/>
          <w:szCs w:val="32"/>
          <w:u w:val="none" w:color="auto"/>
          <w:lang w:val="en-US" w:eastAsia="zh-CN"/>
        </w:rPr>
        <w:t>日用塑料制品生产车间、纸制品生产车间、原辅材料仓库、成品仓库、办公区、食堂、小卖部、公用工程及环保工程等。</w:t>
      </w:r>
      <w:r>
        <w:rPr>
          <w:rFonts w:hint="eastAsia" w:ascii="仿宋_GB2312" w:hAnsi="仿宋_GB2312" w:eastAsia="仿宋_GB2312" w:cs="仿宋_GB2312"/>
          <w:color w:val="auto"/>
          <w:sz w:val="32"/>
          <w:szCs w:val="32"/>
          <w:u w:val="none" w:color="auto"/>
        </w:rPr>
        <w:t>本项目符合国家产业政策，根据</w:t>
      </w:r>
      <w:r>
        <w:rPr>
          <w:rFonts w:hint="eastAsia" w:ascii="仿宋_GB2312" w:hAnsi="仿宋_GB2312" w:eastAsia="仿宋_GB2312" w:cs="仿宋_GB2312"/>
          <w:color w:val="auto"/>
          <w:sz w:val="32"/>
          <w:szCs w:val="32"/>
          <w:u w:val="none" w:color="auto"/>
          <w:lang w:eastAsia="zh-CN"/>
        </w:rPr>
        <w:t>湖南宏择环保科技有限公司</w:t>
      </w:r>
      <w:r>
        <w:rPr>
          <w:rFonts w:hint="eastAsia" w:ascii="仿宋_GB2312" w:hAnsi="仿宋_GB2312" w:eastAsia="仿宋_GB2312" w:cs="仿宋_GB2312"/>
          <w:color w:val="auto"/>
          <w:sz w:val="32"/>
          <w:szCs w:val="32"/>
          <w:u w:val="none" w:color="auto"/>
        </w:rPr>
        <w:t>所编制的环境影响报告表的分析结论和专家组评审意见，在建设单位严格执行环保“三同时”制度，切实落实报告表中提出的各项污染防治措施，确保各类污染物达标排放的情况下，从环保的角度分析，同意该项目</w:t>
      </w:r>
      <w:r>
        <w:rPr>
          <w:rFonts w:hint="eastAsia" w:ascii="仿宋_GB2312" w:hAnsi="仿宋_GB2312" w:eastAsia="仿宋_GB2312" w:cs="仿宋_GB2312"/>
          <w:color w:val="auto"/>
          <w:sz w:val="32"/>
          <w:szCs w:val="32"/>
          <w:u w:val="none" w:color="auto"/>
          <w:lang w:eastAsia="zh-CN"/>
        </w:rPr>
        <w:t>建设</w:t>
      </w:r>
      <w:r>
        <w:rPr>
          <w:rFonts w:hint="eastAsia" w:ascii="仿宋_GB2312" w:hAnsi="仿宋_GB2312" w:eastAsia="仿宋_GB2312" w:cs="仿宋_GB2312"/>
          <w:color w:val="auto"/>
          <w:sz w:val="32"/>
          <w:szCs w:val="32"/>
          <w:u w:val="none" w:color="auto"/>
        </w:rPr>
        <w:t>。本《报告表》可作为项目建设和环境管理的依据</w:t>
      </w:r>
      <w:r>
        <w:rPr>
          <w:rFonts w:hint="eastAsia" w:ascii="仿宋_GB2312" w:hAnsi="仿宋_GB2312" w:eastAsia="仿宋_GB2312" w:cs="仿宋_GB2312"/>
          <w:color w:val="auto"/>
          <w:sz w:val="32"/>
          <w:szCs w:val="32"/>
          <w:u w:val="none" w:color="auto"/>
          <w:lang w:eastAsia="zh-CN"/>
        </w:rPr>
        <w:t>。</w:t>
      </w:r>
    </w:p>
    <w:p w14:paraId="4411AC3E">
      <w:pPr>
        <w:spacing w:line="360" w:lineRule="auto"/>
        <w:ind w:firstLine="640" w:firstLineChars="200"/>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二、项目在建设和管理过程中必须按照环保“三同时”制度的要求，落实污染防治措施，并在工程建设和环境管理中着重注意以下问题:</w:t>
      </w:r>
    </w:p>
    <w:p w14:paraId="191491ED">
      <w:pPr>
        <w:spacing w:line="360" w:lineRule="auto"/>
        <w:ind w:firstLine="640" w:firstLineChars="200"/>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（一）加强废水的污染防治。</w:t>
      </w:r>
      <w:r>
        <w:rPr>
          <w:rFonts w:hint="eastAsia" w:ascii="仿宋_GB2312" w:hAnsi="仿宋_GB2312" w:eastAsia="仿宋_GB2312" w:cs="仿宋_GB2312"/>
          <w:b w:val="0"/>
          <w:bCs w:val="0"/>
          <w:color w:val="auto"/>
          <w:sz w:val="32"/>
          <w:szCs w:val="32"/>
          <w:u w:val="none" w:color="auto"/>
          <w:lang w:val="en-US" w:eastAsia="zh-CN"/>
        </w:rPr>
        <w:t>冷却用水循环使用，不外排；</w:t>
      </w:r>
      <w:r>
        <w:rPr>
          <w:rFonts w:hint="eastAsia" w:ascii="仿宋_GB2312" w:hAnsi="仿宋_GB2312" w:eastAsia="仿宋_GB2312" w:cs="仿宋_GB2312"/>
          <w:color w:val="auto"/>
          <w:kern w:val="2"/>
          <w:sz w:val="32"/>
          <w:szCs w:val="32"/>
          <w:u w:val="none" w:color="auto"/>
          <w:lang w:val="en-US" w:eastAsia="zh-CN"/>
        </w:rPr>
        <w:t>地面拖洗废水经化粪池处理后用作农肥；生活污水经隔油池、化粪池处理后用作农肥，不外排。</w:t>
      </w:r>
    </w:p>
    <w:p w14:paraId="1F33E4CC">
      <w:pPr>
        <w:spacing w:line="360" w:lineRule="auto"/>
        <w:ind w:firstLine="640" w:firstLineChars="200"/>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（二）加强废气的污染防治。</w:t>
      </w:r>
      <w:r>
        <w:rPr>
          <w:rFonts w:hint="eastAsia" w:ascii="仿宋_GB2312" w:hAnsi="仿宋_GB2312" w:eastAsia="仿宋_GB2312" w:cs="仿宋_GB2312"/>
          <w:b w:val="0"/>
          <w:bCs/>
          <w:color w:val="auto"/>
          <w:sz w:val="32"/>
          <w:szCs w:val="32"/>
          <w:u w:val="none" w:color="auto"/>
          <w:lang w:eastAsia="zh-CN"/>
        </w:rPr>
        <w:t>采取</w:t>
      </w:r>
      <w:r>
        <w:rPr>
          <w:rFonts w:hint="eastAsia" w:ascii="仿宋_GB2312" w:hAnsi="仿宋_GB2312" w:eastAsia="仿宋_GB2312" w:cs="仿宋_GB2312"/>
          <w:b w:val="0"/>
          <w:bCs/>
          <w:color w:val="auto"/>
          <w:sz w:val="32"/>
          <w:szCs w:val="32"/>
          <w:u w:val="none" w:color="auto"/>
        </w:rPr>
        <w:t>全封闭生产厂房，</w:t>
      </w:r>
      <w:r>
        <w:rPr>
          <w:rFonts w:hint="eastAsia" w:ascii="仿宋_GB2312" w:hAnsi="仿宋_GB2312" w:eastAsia="仿宋_GB2312" w:cs="仿宋_GB2312"/>
          <w:color w:val="auto"/>
          <w:kern w:val="2"/>
          <w:sz w:val="32"/>
          <w:szCs w:val="32"/>
          <w:highlight w:val="none"/>
          <w:u w:val="none" w:color="auto"/>
          <w:shd w:val="clear" w:color="auto" w:fill="auto"/>
          <w:lang w:val="en-US" w:eastAsia="zh-CN"/>
        </w:rPr>
        <w:t>挤塑废气收集后经二级活性炭吸附处理装置处理达标后，由15m高排气筒排放；印刷废气收集后经二级活性炭吸附处理装置处理达标后，由15m高排气筒排放。</w:t>
      </w:r>
    </w:p>
    <w:p w14:paraId="7D11424E">
      <w:pPr>
        <w:spacing w:line="360" w:lineRule="auto"/>
        <w:ind w:firstLine="640" w:firstLineChars="200"/>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（三）加强固体废物的污染防治。</w:t>
      </w:r>
      <w:r>
        <w:rPr>
          <w:rFonts w:hint="eastAsia" w:ascii="仿宋_GB2312" w:hAnsi="仿宋_GB2312" w:eastAsia="仿宋_GB2312" w:cs="仿宋_GB2312"/>
          <w:color w:val="auto"/>
          <w:spacing w:val="7"/>
          <w:sz w:val="32"/>
          <w:szCs w:val="32"/>
          <w:highlight w:val="none"/>
          <w:u w:val="none" w:color="auto"/>
          <w:lang w:val="en-US" w:eastAsia="zh-CN"/>
        </w:rPr>
        <w:t>废包装、废纸边、废印刷版、纸制品不合格产品收集后外售废品回收站；塑料制品不合格产品及边角料在封闭式车间内粉碎回用于生产；</w:t>
      </w:r>
      <w:r>
        <w:rPr>
          <w:rFonts w:hint="eastAsia" w:ascii="仿宋_GB2312" w:hAnsi="仿宋_GB2312" w:eastAsia="仿宋_GB2312" w:cs="仿宋_GB2312"/>
          <w:color w:val="auto"/>
          <w:sz w:val="32"/>
          <w:szCs w:val="32"/>
          <w:u w:val="none" w:color="auto"/>
          <w:lang w:val="en-US" w:eastAsia="zh-CN"/>
        </w:rPr>
        <w:t>废活性碳、废机油、印刷版清洗废水</w:t>
      </w:r>
      <w:r>
        <w:rPr>
          <w:rFonts w:hint="eastAsia" w:ascii="仿宋_GB2312" w:hAnsi="仿宋_GB2312" w:eastAsia="仿宋_GB2312" w:cs="仿宋_GB2312"/>
          <w:b w:val="0"/>
          <w:bCs/>
          <w:color w:val="auto"/>
          <w:sz w:val="32"/>
          <w:szCs w:val="32"/>
          <w:u w:val="none" w:color="auto"/>
        </w:rPr>
        <w:t>等危险废物收集后暂存于危废暂存间</w:t>
      </w:r>
      <w:r>
        <w:rPr>
          <w:rFonts w:hint="eastAsia" w:ascii="仿宋_GB2312" w:hAnsi="仿宋_GB2312" w:eastAsia="仿宋_GB2312" w:cs="仿宋_GB2312"/>
          <w:b w:val="0"/>
          <w:bCs/>
          <w:color w:val="auto"/>
          <w:sz w:val="32"/>
          <w:szCs w:val="32"/>
          <w:u w:val="none" w:color="auto"/>
          <w:lang w:eastAsia="zh-CN"/>
        </w:rPr>
        <w:t>，并定期</w:t>
      </w:r>
      <w:r>
        <w:rPr>
          <w:rFonts w:hint="eastAsia" w:ascii="仿宋_GB2312" w:hAnsi="仿宋_GB2312" w:eastAsia="仿宋_GB2312" w:cs="仿宋_GB2312"/>
          <w:b w:val="0"/>
          <w:bCs/>
          <w:color w:val="auto"/>
          <w:sz w:val="32"/>
          <w:szCs w:val="32"/>
          <w:u w:val="none" w:color="auto"/>
        </w:rPr>
        <w:t>交由有资质的单位处置；生活垃圾</w:t>
      </w:r>
      <w:r>
        <w:rPr>
          <w:rFonts w:hint="eastAsia" w:ascii="仿宋_GB2312" w:hAnsi="仿宋_GB2312" w:eastAsia="仿宋_GB2312" w:cs="仿宋_GB2312"/>
          <w:b w:val="0"/>
          <w:bCs/>
          <w:color w:val="auto"/>
          <w:sz w:val="32"/>
          <w:szCs w:val="32"/>
          <w:u w:val="none" w:color="auto"/>
          <w:lang w:eastAsia="zh-CN"/>
        </w:rPr>
        <w:t>收集后</w:t>
      </w:r>
      <w:r>
        <w:rPr>
          <w:rFonts w:hint="eastAsia" w:ascii="仿宋_GB2312" w:hAnsi="仿宋_GB2312" w:eastAsia="仿宋_GB2312" w:cs="仿宋_GB2312"/>
          <w:b w:val="0"/>
          <w:bCs/>
          <w:color w:val="auto"/>
          <w:sz w:val="32"/>
          <w:szCs w:val="32"/>
          <w:u w:val="none" w:color="auto"/>
        </w:rPr>
        <w:t>由环卫部门清运处理。</w:t>
      </w:r>
    </w:p>
    <w:p w14:paraId="7C335685">
      <w:pPr>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（四）加强噪声污染防治工作。合理布局，选用低噪声设备，采取厂房隔声、减震降噪等降噪措施，确保厂界噪声达到《工业企业厂界环境噪声排放标准》（GB12348-2008）</w:t>
      </w:r>
      <w:r>
        <w:rPr>
          <w:rFonts w:hint="eastAsia" w:ascii="仿宋_GB2312" w:hAnsi="仿宋_GB2312" w:eastAsia="仿宋_GB2312" w:cs="仿宋_GB2312"/>
          <w:b w:val="0"/>
          <w:bCs/>
          <w:color w:val="auto"/>
          <w:sz w:val="32"/>
          <w:szCs w:val="32"/>
          <w:u w:val="none" w:color="auto"/>
          <w:lang w:val="en-US" w:eastAsia="zh-CN"/>
        </w:rPr>
        <w:t>2</w:t>
      </w:r>
      <w:r>
        <w:rPr>
          <w:rFonts w:hint="eastAsia" w:ascii="仿宋_GB2312" w:hAnsi="仿宋_GB2312" w:eastAsia="仿宋_GB2312" w:cs="仿宋_GB2312"/>
          <w:b w:val="0"/>
          <w:bCs/>
          <w:color w:val="auto"/>
          <w:sz w:val="32"/>
          <w:szCs w:val="32"/>
          <w:u w:val="none" w:color="auto"/>
        </w:rPr>
        <w:t>类标准。</w:t>
      </w:r>
    </w:p>
    <w:p w14:paraId="7A215C46">
      <w:pPr>
        <w:pageBreakBefore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三、项目建设必须严格执行配套的环境保护设施与主体工程同时设计、同时施工、同时投产使用的环境保护“三同时”制度。建设单位应按照《建设项目环境保护管理条例》的规定，及时开展建设项目竣工环境保护自主验收，并将建设项目竣工环境保护验收监测报告和验收意见报送我局备案；在启动生产设施或实际排污之前应依法取得排污许可证。</w:t>
      </w:r>
    </w:p>
    <w:p w14:paraId="769C9484">
      <w:pPr>
        <w:pageBreakBefore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四、</w:t>
      </w:r>
      <w:r>
        <w:rPr>
          <w:rFonts w:hint="eastAsia" w:ascii="仿宋_GB2312" w:hAnsi="仿宋_GB2312" w:eastAsia="仿宋_GB2312" w:cs="仿宋_GB2312"/>
          <w:b w:val="0"/>
          <w:bCs/>
          <w:color w:val="auto"/>
          <w:sz w:val="32"/>
          <w:szCs w:val="32"/>
          <w:u w:val="none" w:color="auto"/>
        </w:rPr>
        <w:t>环境影响报告表经批准后，该项目的性质、规模、地点、生产工艺和环境保护措施发生重大变动的，须重新报批环境影响报告表。自环境影响报告表批复文件批准之日起，如超过5年方决定工程开工建设的，环境影响报告表应当报我局重新审核。</w:t>
      </w:r>
    </w:p>
    <w:p w14:paraId="0BCD57E5">
      <w:pPr>
        <w:pageBreakBefore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五</w:t>
      </w:r>
      <w:r>
        <w:rPr>
          <w:rFonts w:hint="eastAsia" w:ascii="仿宋_GB2312" w:hAnsi="仿宋_GB2312" w:eastAsia="仿宋_GB2312" w:cs="仿宋_GB2312"/>
          <w:b w:val="0"/>
          <w:bCs/>
          <w:color w:val="auto"/>
          <w:sz w:val="32"/>
          <w:szCs w:val="32"/>
          <w:u w:val="none" w:color="auto"/>
        </w:rPr>
        <w:t>、衡阳县生态环境保护综合行政执法大队将该项目纳入日常监管并履行项目建设及运营后现场监管职责。</w:t>
      </w:r>
    </w:p>
    <w:p w14:paraId="1CAD9D30">
      <w:pPr>
        <w:pageBreakBefore w:val="0"/>
        <w:kinsoku/>
        <w:wordWrap/>
        <w:overflowPunct/>
        <w:topLinePunct w:val="0"/>
        <w:autoSpaceDE/>
        <w:autoSpaceDN/>
        <w:bidi w:val="0"/>
        <w:spacing w:line="360" w:lineRule="auto"/>
        <w:ind w:firstLine="640" w:firstLineChars="200"/>
        <w:jc w:val="right"/>
        <w:textAlignment w:val="auto"/>
        <w:rPr>
          <w:rFonts w:hint="eastAsia" w:ascii="仿宋_GB2312" w:hAnsi="仿宋_GB2312" w:eastAsia="仿宋_GB2312" w:cs="仿宋_GB2312"/>
          <w:b w:val="0"/>
          <w:bCs/>
          <w:color w:val="auto"/>
          <w:sz w:val="32"/>
          <w:szCs w:val="32"/>
          <w:u w:val="none" w:color="auto"/>
        </w:rPr>
      </w:pPr>
    </w:p>
    <w:p w14:paraId="55F71C23">
      <w:pPr>
        <w:pageBreakBefore w:val="0"/>
        <w:kinsoku/>
        <w:wordWrap/>
        <w:overflowPunct/>
        <w:topLinePunct w:val="0"/>
        <w:autoSpaceDE/>
        <w:autoSpaceDN/>
        <w:bidi w:val="0"/>
        <w:spacing w:line="360" w:lineRule="auto"/>
        <w:ind w:firstLine="640" w:firstLineChars="200"/>
        <w:jc w:val="right"/>
        <w:textAlignment w:val="auto"/>
        <w:rPr>
          <w:rFonts w:hint="eastAsia" w:ascii="仿宋_GB2312" w:hAnsi="仿宋_GB2312" w:eastAsia="仿宋_GB2312" w:cs="仿宋_GB2312"/>
          <w:b w:val="0"/>
          <w:bCs/>
          <w:color w:val="auto"/>
          <w:sz w:val="32"/>
          <w:szCs w:val="32"/>
          <w:u w:val="none" w:color="auto"/>
        </w:rPr>
      </w:pPr>
    </w:p>
    <w:p w14:paraId="34D695EB">
      <w:pPr>
        <w:pageBreakBefore w:val="0"/>
        <w:kinsoku/>
        <w:wordWrap/>
        <w:overflowPunct/>
        <w:topLinePunct w:val="0"/>
        <w:autoSpaceDE/>
        <w:autoSpaceDN/>
        <w:bidi w:val="0"/>
        <w:spacing w:line="360" w:lineRule="auto"/>
        <w:ind w:firstLine="640" w:firstLineChars="200"/>
        <w:jc w:val="right"/>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 xml:space="preserve">    </w:t>
      </w:r>
    </w:p>
    <w:p w14:paraId="4716C77F">
      <w:pPr>
        <w:pageBreakBefore w:val="0"/>
        <w:kinsoku/>
        <w:wordWrap/>
        <w:overflowPunct/>
        <w:topLinePunct w:val="0"/>
        <w:autoSpaceDE/>
        <w:autoSpaceDN/>
        <w:bidi w:val="0"/>
        <w:spacing w:line="360" w:lineRule="auto"/>
        <w:ind w:firstLine="640" w:firstLineChars="200"/>
        <w:jc w:val="right"/>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 xml:space="preserve">                           衡阳市生态环境局                                202</w:t>
      </w:r>
      <w:r>
        <w:rPr>
          <w:rFonts w:hint="eastAsia" w:ascii="仿宋_GB2312" w:hAnsi="仿宋_GB2312" w:eastAsia="仿宋_GB2312" w:cs="仿宋_GB2312"/>
          <w:b w:val="0"/>
          <w:bCs/>
          <w:color w:val="auto"/>
          <w:sz w:val="32"/>
          <w:szCs w:val="32"/>
          <w:u w:val="none" w:color="auto"/>
          <w:lang w:val="en-US" w:eastAsia="zh-CN"/>
        </w:rPr>
        <w:t>5</w:t>
      </w:r>
      <w:r>
        <w:rPr>
          <w:rFonts w:hint="eastAsia" w:ascii="仿宋_GB2312" w:hAnsi="仿宋_GB2312" w:eastAsia="仿宋_GB2312" w:cs="仿宋_GB2312"/>
          <w:b w:val="0"/>
          <w:bCs/>
          <w:color w:val="auto"/>
          <w:sz w:val="32"/>
          <w:szCs w:val="32"/>
          <w:u w:val="none" w:color="auto"/>
        </w:rPr>
        <w:t>年</w:t>
      </w:r>
      <w:r>
        <w:rPr>
          <w:rFonts w:hint="eastAsia" w:ascii="仿宋_GB2312" w:hAnsi="仿宋_GB2312" w:eastAsia="仿宋_GB2312" w:cs="仿宋_GB2312"/>
          <w:b w:val="0"/>
          <w:bCs/>
          <w:color w:val="auto"/>
          <w:sz w:val="32"/>
          <w:szCs w:val="32"/>
          <w:u w:val="none" w:color="auto"/>
          <w:lang w:val="en-US" w:eastAsia="zh-CN"/>
        </w:rPr>
        <w:t>7</w:t>
      </w:r>
      <w:r>
        <w:rPr>
          <w:rFonts w:hint="eastAsia" w:ascii="仿宋_GB2312" w:hAnsi="仿宋_GB2312" w:eastAsia="仿宋_GB2312" w:cs="仿宋_GB2312"/>
          <w:b w:val="0"/>
          <w:bCs/>
          <w:color w:val="auto"/>
          <w:sz w:val="32"/>
          <w:szCs w:val="32"/>
          <w:u w:val="none" w:color="auto"/>
        </w:rPr>
        <w:t>月</w:t>
      </w:r>
      <w:r>
        <w:rPr>
          <w:rFonts w:hint="eastAsia" w:ascii="仿宋_GB2312" w:hAnsi="仿宋_GB2312" w:eastAsia="仿宋_GB2312" w:cs="仿宋_GB2312"/>
          <w:b w:val="0"/>
          <w:bCs/>
          <w:color w:val="auto"/>
          <w:sz w:val="32"/>
          <w:szCs w:val="32"/>
          <w:u w:val="none" w:color="auto"/>
          <w:lang w:val="en-US" w:eastAsia="zh-CN"/>
        </w:rPr>
        <w:t xml:space="preserve">25 </w:t>
      </w:r>
      <w:r>
        <w:rPr>
          <w:rFonts w:hint="eastAsia" w:ascii="仿宋_GB2312" w:hAnsi="仿宋_GB2312" w:eastAsia="仿宋_GB2312" w:cs="仿宋_GB2312"/>
          <w:b w:val="0"/>
          <w:bCs/>
          <w:color w:val="auto"/>
          <w:sz w:val="32"/>
          <w:szCs w:val="32"/>
          <w:u w:val="none" w:color="auto"/>
        </w:rPr>
        <w:t>日</w:t>
      </w:r>
    </w:p>
    <w:p w14:paraId="64DAC24E">
      <w:pPr>
        <w:spacing w:line="400" w:lineRule="exact"/>
        <w:ind w:firstLine="480"/>
        <w:rPr>
          <w:rFonts w:hint="eastAsia" w:ascii="仿宋_GB2312" w:hAnsi="仿宋_GB2312" w:eastAsia="仿宋_GB2312" w:cs="仿宋_GB2312"/>
          <w:b w:val="0"/>
          <w:bCs/>
          <w:color w:val="000000"/>
          <w:sz w:val="32"/>
          <w:szCs w:val="32"/>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3CE18">
    <w:pPr>
      <w:pStyle w:val="3"/>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8C7E359">
                <w:pPr>
                  <w:pStyle w:val="3"/>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21A00"/>
    <w:rsid w:val="00083973"/>
    <w:rsid w:val="000A1DA3"/>
    <w:rsid w:val="00172A27"/>
    <w:rsid w:val="001B5F5A"/>
    <w:rsid w:val="001F54B2"/>
    <w:rsid w:val="00234BC5"/>
    <w:rsid w:val="00242F3C"/>
    <w:rsid w:val="002B29BF"/>
    <w:rsid w:val="002C4BF7"/>
    <w:rsid w:val="0058253E"/>
    <w:rsid w:val="00594A83"/>
    <w:rsid w:val="006C443C"/>
    <w:rsid w:val="006E22AB"/>
    <w:rsid w:val="00975F42"/>
    <w:rsid w:val="00AE7064"/>
    <w:rsid w:val="00B66779"/>
    <w:rsid w:val="00BD3E27"/>
    <w:rsid w:val="00BE104E"/>
    <w:rsid w:val="00C5462F"/>
    <w:rsid w:val="00C91275"/>
    <w:rsid w:val="00D06D76"/>
    <w:rsid w:val="00E27674"/>
    <w:rsid w:val="00F0332E"/>
    <w:rsid w:val="00FA1F2B"/>
    <w:rsid w:val="06CB90F3"/>
    <w:rsid w:val="0CD9214C"/>
    <w:rsid w:val="146D47D1"/>
    <w:rsid w:val="152E289C"/>
    <w:rsid w:val="1FBCE9C2"/>
    <w:rsid w:val="1FF58D0A"/>
    <w:rsid w:val="21AF4504"/>
    <w:rsid w:val="2B5D164D"/>
    <w:rsid w:val="2EE6F44A"/>
    <w:rsid w:val="30DA723C"/>
    <w:rsid w:val="34C706BD"/>
    <w:rsid w:val="35DD5072"/>
    <w:rsid w:val="3DFB3105"/>
    <w:rsid w:val="3E7F2580"/>
    <w:rsid w:val="43D741F4"/>
    <w:rsid w:val="46136BEF"/>
    <w:rsid w:val="4F376FE4"/>
    <w:rsid w:val="50D94D66"/>
    <w:rsid w:val="5EFFCBF4"/>
    <w:rsid w:val="5F775DD4"/>
    <w:rsid w:val="5FF2B8FD"/>
    <w:rsid w:val="62D87F2E"/>
    <w:rsid w:val="62F90F44"/>
    <w:rsid w:val="65FCDA24"/>
    <w:rsid w:val="6CFE0C44"/>
    <w:rsid w:val="713C7FF8"/>
    <w:rsid w:val="72FB2A67"/>
    <w:rsid w:val="736FDE59"/>
    <w:rsid w:val="79FB8F86"/>
    <w:rsid w:val="7BBF0FC0"/>
    <w:rsid w:val="7EFB73CF"/>
    <w:rsid w:val="7F2EC376"/>
    <w:rsid w:val="7F96BCD5"/>
    <w:rsid w:val="97CED285"/>
    <w:rsid w:val="B26F95B9"/>
    <w:rsid w:val="BFEF85E2"/>
    <w:rsid w:val="D7EAAAF8"/>
    <w:rsid w:val="D7FF6C78"/>
    <w:rsid w:val="DBF78A6B"/>
    <w:rsid w:val="DEF5F149"/>
    <w:rsid w:val="F357EC00"/>
    <w:rsid w:val="F3F7DD98"/>
    <w:rsid w:val="F5556115"/>
    <w:rsid w:val="F67553C3"/>
    <w:rsid w:val="F6EFD64E"/>
    <w:rsid w:val="F7FF298A"/>
    <w:rsid w:val="FBF599E5"/>
    <w:rsid w:val="FEDFE6CE"/>
    <w:rsid w:val="FEFFBD2D"/>
    <w:rsid w:val="FF653FB9"/>
    <w:rsid w:val="FFBCBE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Autospacing="0" w:afterAutospacing="0" w:line="360" w:lineRule="auto"/>
      <w:ind w:firstLine="0" w:firstLineChars="0"/>
      <w:outlineLvl w:val="0"/>
    </w:pPr>
    <w:rPr>
      <w:rFonts w:ascii="Times New Roman" w:hAnsi="Times New Roman" w:eastAsia="宋体" w:cs="Times New Roman"/>
      <w:b/>
      <w:bCs/>
      <w:color w:val="000000"/>
      <w:kern w:val="44"/>
      <w:sz w:val="32"/>
      <w:szCs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 w:type="paragraph" w:customStyle="1" w:styleId="9">
    <w:name w:val="Default"/>
    <w:basedOn w:val="10"/>
    <w:unhideWhenUsed/>
    <w:qFormat/>
    <w:uiPriority w:val="99"/>
    <w:pPr>
      <w:widowControl w:val="0"/>
      <w:autoSpaceDE w:val="0"/>
      <w:autoSpaceDN w:val="0"/>
      <w:adjustRightInd w:val="0"/>
    </w:pPr>
    <w:rPr>
      <w:rFonts w:hint="eastAsia" w:eastAsia="Times New Roman"/>
      <w:color w:val="000000"/>
      <w:sz w:val="24"/>
      <w:szCs w:val="22"/>
      <w:lang w:val="en-US" w:eastAsia="zh-CN" w:bidi="ar-SA"/>
    </w:rPr>
  </w:style>
  <w:style w:type="paragraph" w:customStyle="1" w:styleId="10">
    <w:name w:val="纯文本1"/>
    <w:basedOn w:val="1"/>
    <w:qFormat/>
    <w:uiPriority w:val="0"/>
    <w:rPr>
      <w:rFonts w:hint="eastAsia" w:ascii="宋体" w:hAnsi="Courier New"/>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257</Words>
  <Characters>1466</Characters>
  <Lines>12</Lines>
  <Paragraphs>3</Paragraphs>
  <TotalTime>7</TotalTime>
  <ScaleCrop>false</ScaleCrop>
  <LinksUpToDate>false</LinksUpToDate>
  <CharactersWithSpaces>1720</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2022-10-30T16:30:00Z</dcterms:created>
  <dc:creator>HYT</dc:creator>
  <cp:lastModifiedBy>kylin</cp:lastModifiedBy>
  <cp:lastPrinted>2025-05-17T17:18:00Z</cp:lastPrinted>
  <dcterms:modified xsi:type="dcterms:W3CDTF">2025-07-29T09:27:12Z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82A10C1610CDD9A53EAC21681AE21230_42</vt:lpwstr>
  </property>
</Properties>
</file>