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6111CA">
      <w:pPr>
        <w:spacing w:line="800" w:lineRule="exact"/>
        <w:rPr>
          <w:rFonts w:hint="eastAsia" w:ascii="仿宋_GB2312" w:hAnsi="宋体" w:eastAsia="仿宋_GB2312"/>
          <w:sz w:val="32"/>
          <w:szCs w:val="32"/>
        </w:rPr>
      </w:pPr>
    </w:p>
    <w:p w14:paraId="2317927D">
      <w:pPr>
        <w:ind w:firstLine="5280" w:firstLineChars="1650"/>
        <w:rPr>
          <w:rFonts w:hint="default" w:ascii="Times New Roman" w:hAnsi="Times New Roman" w:eastAsia="仿宋_GB2312" w:cs="Times New Roman"/>
          <w:color w:val="auto"/>
          <w:sz w:val="32"/>
          <w:szCs w:val="32"/>
        </w:rPr>
      </w:pPr>
    </w:p>
    <w:p w14:paraId="0C5C052E">
      <w:pPr>
        <w:jc w:val="righ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蒸环评函</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5</w:t>
      </w:r>
      <w:r>
        <w:rPr>
          <w:rFonts w:hint="eastAsia" w:ascii="仿宋_GB2312" w:hAnsi="仿宋_GB2312" w:eastAsia="仿宋_GB2312" w:cs="仿宋_GB2312"/>
          <w:color w:val="auto"/>
          <w:sz w:val="32"/>
          <w:szCs w:val="32"/>
          <w:lang w:val="en-US" w:eastAsia="zh-CN"/>
        </w:rPr>
        <w:t>〕14</w:t>
      </w:r>
      <w:r>
        <w:rPr>
          <w:rFonts w:hint="default" w:ascii="Times New Roman" w:hAnsi="Times New Roman" w:eastAsia="仿宋_GB2312" w:cs="Times New Roman"/>
          <w:color w:val="auto"/>
          <w:sz w:val="32"/>
          <w:szCs w:val="32"/>
        </w:rPr>
        <w:t>号</w:t>
      </w:r>
    </w:p>
    <w:p w14:paraId="529691F3">
      <w:pPr>
        <w:spacing w:line="280" w:lineRule="exact"/>
        <w:ind w:firstLine="5280" w:firstLineChars="1650"/>
        <w:rPr>
          <w:rFonts w:hint="eastAsia" w:ascii="仿宋_GB2312" w:hAnsi="宋体" w:eastAsia="仿宋_GB2312"/>
          <w:color w:val="auto"/>
          <w:sz w:val="44"/>
          <w:szCs w:val="44"/>
        </w:rPr>
      </w:pPr>
      <w:r>
        <w:rPr>
          <w:rFonts w:hint="eastAsia" w:ascii="仿宋_GB2312" w:hAnsi="宋体" w:eastAsia="仿宋_GB2312"/>
          <w:color w:val="auto"/>
          <w:sz w:val="32"/>
          <w:szCs w:val="32"/>
        </w:rPr>
        <w:t xml:space="preserve">  </w:t>
      </w:r>
    </w:p>
    <w:p w14:paraId="35B61ADC">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36"/>
          <w:szCs w:val="36"/>
        </w:rPr>
      </w:pPr>
      <w:r>
        <w:rPr>
          <w:rFonts w:hint="eastAsia" w:ascii="方正小标宋简体" w:hAnsi="方正小标宋简体" w:eastAsia="方正小标宋简体" w:cs="方正小标宋简体"/>
          <w:b/>
          <w:bCs w:val="0"/>
          <w:color w:val="auto"/>
          <w:sz w:val="36"/>
          <w:szCs w:val="36"/>
        </w:rPr>
        <w:t>衡阳市生态环境局</w:t>
      </w:r>
    </w:p>
    <w:p w14:paraId="2697C37D">
      <w:pPr>
        <w:spacing w:line="660" w:lineRule="exact"/>
        <w:jc w:val="center"/>
        <w:rPr>
          <w:rFonts w:ascii="方正小标宋简体" w:hAnsi="宋体" w:eastAsia="方正小标宋简体"/>
          <w:b/>
          <w:bCs w:val="0"/>
          <w:sz w:val="36"/>
          <w:szCs w:val="36"/>
        </w:rPr>
      </w:pPr>
      <w:r>
        <w:rPr>
          <w:rFonts w:hint="eastAsia" w:ascii="方正小标宋简体" w:hAnsi="宋体" w:eastAsia="方正小标宋简体"/>
          <w:b/>
          <w:bCs w:val="0"/>
          <w:sz w:val="36"/>
          <w:szCs w:val="36"/>
        </w:rPr>
        <w:t>关于衡阳县蒸水河流域生态修复工程人工湿地建设项目环境影响报告表的批复</w:t>
      </w:r>
    </w:p>
    <w:p w14:paraId="5357FD5A">
      <w:pPr>
        <w:spacing w:line="360" w:lineRule="auto"/>
        <w:rPr>
          <w:rFonts w:hint="eastAsia"/>
          <w:sz w:val="24"/>
        </w:rPr>
      </w:pPr>
    </w:p>
    <w:p w14:paraId="79A38695">
      <w:pPr>
        <w:spacing w:line="360" w:lineRule="auto"/>
        <w:rPr>
          <w:rFonts w:hint="eastAsia" w:ascii="仿宋_GB2312" w:hAnsi="仿宋_GB2312" w:eastAsia="仿宋_GB2312" w:cs="仿宋_GB2312"/>
          <w:color w:val="auto"/>
          <w:sz w:val="32"/>
          <w:szCs w:val="32"/>
          <w:u w:val="none" w:color="auto"/>
        </w:rPr>
      </w:pPr>
      <w:r>
        <w:rPr>
          <w:rFonts w:hint="eastAsia" w:ascii="仿宋_GB2312" w:hAnsi="仿宋_GB2312" w:eastAsia="仿宋_GB2312" w:cs="仿宋_GB2312"/>
          <w:color w:val="auto"/>
          <w:kern w:val="0"/>
          <w:sz w:val="32"/>
          <w:szCs w:val="32"/>
          <w:lang w:val="en-US" w:eastAsia="zh-CN" w:bidi="ar"/>
        </w:rPr>
        <w:t>衡阳县城市和农村建设投资有限公司</w:t>
      </w:r>
      <w:r>
        <w:rPr>
          <w:rFonts w:hint="eastAsia" w:ascii="仿宋_GB2312" w:hAnsi="仿宋_GB2312" w:eastAsia="仿宋_GB2312" w:cs="仿宋_GB2312"/>
          <w:color w:val="auto"/>
          <w:sz w:val="32"/>
          <w:szCs w:val="32"/>
          <w:u w:val="none" w:color="auto"/>
        </w:rPr>
        <w:t>：</w:t>
      </w:r>
    </w:p>
    <w:p w14:paraId="17CF4515">
      <w:pPr>
        <w:spacing w:line="360" w:lineRule="auto"/>
        <w:ind w:firstLine="640" w:firstLineChars="200"/>
        <w:rPr>
          <w:rFonts w:hint="eastAsia" w:ascii="仿宋_GB2312" w:hAnsi="仿宋_GB2312" w:eastAsia="仿宋_GB2312" w:cs="仿宋_GB2312"/>
          <w:color w:val="auto"/>
          <w:sz w:val="32"/>
          <w:szCs w:val="32"/>
          <w:u w:val="none" w:color="auto"/>
        </w:rPr>
      </w:pPr>
      <w:r>
        <w:rPr>
          <w:rFonts w:hint="eastAsia" w:ascii="仿宋_GB2312" w:hAnsi="仿宋_GB2312" w:eastAsia="仿宋_GB2312" w:cs="仿宋_GB2312"/>
          <w:color w:val="auto"/>
          <w:sz w:val="32"/>
          <w:szCs w:val="32"/>
          <w:u w:val="none" w:color="auto"/>
        </w:rPr>
        <w:t>你公司《</w:t>
      </w:r>
      <w:r>
        <w:rPr>
          <w:rFonts w:hint="eastAsia" w:ascii="仿宋_GB2312" w:hAnsi="仿宋_GB2312" w:eastAsia="仿宋_GB2312" w:cs="仿宋_GB2312"/>
          <w:color w:val="auto"/>
          <w:sz w:val="32"/>
          <w:szCs w:val="32"/>
          <w:u w:val="none" w:color="auto"/>
          <w:lang w:eastAsia="zh-CN"/>
        </w:rPr>
        <w:t>关于对</w:t>
      </w:r>
      <w:r>
        <w:rPr>
          <w:rFonts w:hint="eastAsia" w:ascii="仿宋_GB2312" w:hAnsi="仿宋_GB2312" w:eastAsia="仿宋_GB2312" w:cs="仿宋_GB2312"/>
          <w:color w:val="auto"/>
          <w:sz w:val="32"/>
          <w:szCs w:val="32"/>
        </w:rPr>
        <w:t>衡阳县蒸水河流域生态修复工程人工湿地建设项目</w:t>
      </w:r>
      <w:r>
        <w:rPr>
          <w:rFonts w:hint="eastAsia" w:ascii="仿宋_GB2312" w:hAnsi="仿宋_GB2312" w:eastAsia="仿宋_GB2312" w:cs="仿宋_GB2312"/>
          <w:color w:val="auto"/>
          <w:sz w:val="32"/>
          <w:szCs w:val="32"/>
          <w:u w:val="none" w:color="auto"/>
        </w:rPr>
        <w:t>进行批复的请示》和</w:t>
      </w:r>
      <w:r>
        <w:rPr>
          <w:rFonts w:hint="eastAsia" w:ascii="仿宋_GB2312" w:hAnsi="仿宋_GB2312" w:eastAsia="仿宋_GB2312" w:cs="仿宋_GB2312"/>
          <w:color w:val="auto"/>
          <w:sz w:val="32"/>
          <w:szCs w:val="32"/>
          <w:u w:val="none" w:color="auto"/>
          <w:lang w:eastAsia="zh-CN"/>
        </w:rPr>
        <w:t>衡阳职安环保科技责任有限公司</w:t>
      </w:r>
      <w:r>
        <w:rPr>
          <w:rFonts w:hint="eastAsia" w:ascii="仿宋_GB2312" w:hAnsi="仿宋_GB2312" w:eastAsia="仿宋_GB2312" w:cs="仿宋_GB2312"/>
          <w:color w:val="auto"/>
          <w:sz w:val="32"/>
          <w:szCs w:val="32"/>
          <w:u w:val="none" w:color="auto"/>
        </w:rPr>
        <w:t>编制的《</w:t>
      </w:r>
      <w:r>
        <w:rPr>
          <w:rFonts w:hint="eastAsia" w:ascii="仿宋_GB2312" w:hAnsi="仿宋_GB2312" w:eastAsia="仿宋_GB2312" w:cs="仿宋_GB2312"/>
          <w:color w:val="auto"/>
          <w:sz w:val="32"/>
          <w:szCs w:val="32"/>
        </w:rPr>
        <w:t>衡阳县蒸水河流域生态修复工程人工湿地建设项目</w:t>
      </w:r>
      <w:r>
        <w:rPr>
          <w:rFonts w:hint="eastAsia" w:ascii="仿宋_GB2312" w:hAnsi="仿宋_GB2312" w:eastAsia="仿宋_GB2312" w:cs="仿宋_GB2312"/>
          <w:color w:val="auto"/>
          <w:sz w:val="32"/>
          <w:szCs w:val="32"/>
          <w:u w:val="none" w:color="auto"/>
        </w:rPr>
        <w:t>环境影响报告表》及专家组评审意见均收悉，经研究，批复如下：</w:t>
      </w:r>
    </w:p>
    <w:p w14:paraId="6B6813F0">
      <w:pPr>
        <w:keepNext w:val="0"/>
        <w:keepLines w:val="0"/>
        <w:widowControl/>
        <w:suppressLineNumbers w:val="0"/>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u w:val="none" w:color="auto"/>
        </w:rPr>
        <w:t>一、</w:t>
      </w:r>
      <w:r>
        <w:rPr>
          <w:rFonts w:hint="eastAsia" w:ascii="仿宋_GB2312" w:hAnsi="仿宋_GB2312" w:eastAsia="仿宋_GB2312" w:cs="仿宋_GB2312"/>
          <w:color w:val="auto"/>
          <w:kern w:val="0"/>
          <w:sz w:val="32"/>
          <w:szCs w:val="32"/>
          <w:lang w:val="en-US" w:eastAsia="zh-CN" w:bidi="ar"/>
        </w:rPr>
        <w:t>衡阳县城市和农村建设投资有限公司拟投资779.72</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（全部为环保投资）在</w:t>
      </w:r>
      <w:r>
        <w:rPr>
          <w:rFonts w:hint="eastAsia" w:ascii="仿宋_GB2312" w:hAnsi="仿宋_GB2312" w:eastAsia="仿宋_GB2312" w:cs="仿宋_GB2312"/>
          <w:color w:val="auto"/>
          <w:kern w:val="0"/>
          <w:sz w:val="32"/>
          <w:szCs w:val="32"/>
          <w:lang w:val="en-US" w:eastAsia="zh-CN" w:bidi="ar"/>
        </w:rPr>
        <w:t>衡阳县界牌镇污水处理厂附近、衡阳县渣江镇文德</w:t>
      </w:r>
      <w:r>
        <w:rPr>
          <w:rFonts w:hint="eastAsia" w:ascii="仿宋_GB2312" w:hAnsi="仿宋_GB2312" w:eastAsia="仿宋_GB2312" w:cs="仿宋_GB2312"/>
          <w:color w:val="auto"/>
          <w:sz w:val="32"/>
          <w:szCs w:val="32"/>
        </w:rPr>
        <w:t>村和衡阳县西渡镇三联社区</w:t>
      </w:r>
      <w:r>
        <w:rPr>
          <w:rFonts w:hint="eastAsia" w:ascii="仿宋_GB2312" w:hAnsi="仿宋_GB2312" w:eastAsia="仿宋_GB2312" w:cs="仿宋_GB2312"/>
          <w:color w:val="auto"/>
          <w:sz w:val="32"/>
          <w:szCs w:val="32"/>
          <w:lang w:eastAsia="zh-CN"/>
        </w:rPr>
        <w:t>三个地点</w:t>
      </w:r>
      <w:r>
        <w:rPr>
          <w:rFonts w:hint="eastAsia" w:ascii="仿宋_GB2312" w:hAnsi="仿宋_GB2312" w:eastAsia="仿宋_GB2312" w:cs="仿宋_GB2312"/>
          <w:color w:val="auto"/>
          <w:sz w:val="32"/>
          <w:szCs w:val="32"/>
        </w:rPr>
        <w:t>建设衡阳县蒸水河流域生态修复工程人工湿地建设项目，</w:t>
      </w:r>
      <w:r>
        <w:rPr>
          <w:rFonts w:hint="eastAsia" w:ascii="仿宋_GB2312" w:hAnsi="仿宋_GB2312" w:eastAsia="仿宋_GB2312" w:cs="仿宋_GB2312"/>
          <w:color w:val="auto"/>
          <w:sz w:val="32"/>
          <w:szCs w:val="32"/>
          <w:lang w:eastAsia="zh-CN"/>
        </w:rPr>
        <w:t>建设规模：</w:t>
      </w:r>
      <w:r>
        <w:rPr>
          <w:rFonts w:hint="eastAsia" w:ascii="仿宋_GB2312" w:hAnsi="仿宋_GB2312" w:eastAsia="仿宋_GB2312" w:cs="仿宋_GB2312"/>
          <w:color w:val="auto"/>
          <w:kern w:val="0"/>
          <w:sz w:val="32"/>
          <w:szCs w:val="32"/>
          <w:lang w:val="en-US" w:eastAsia="zh-CN" w:bidi="ar"/>
        </w:rPr>
        <w:t>建设人工湿地工程25753m</w:t>
      </w:r>
      <w:r>
        <w:rPr>
          <w:rFonts w:hint="eastAsia" w:ascii="仿宋_GB2312" w:hAnsi="仿宋_GB2312" w:eastAsia="仿宋_GB2312" w:cs="仿宋_GB2312"/>
          <w:color w:val="auto"/>
          <w:kern w:val="0"/>
          <w:sz w:val="32"/>
          <w:szCs w:val="32"/>
          <w:vertAlign w:val="superscript"/>
          <w:lang w:val="en-US" w:eastAsia="zh-CN" w:bidi="ar"/>
        </w:rPr>
        <w:t>2</w:t>
      </w:r>
      <w:r>
        <w:rPr>
          <w:rFonts w:hint="eastAsia" w:ascii="仿宋_GB2312" w:hAnsi="仿宋_GB2312" w:eastAsia="仿宋_GB2312" w:cs="仿宋_GB2312"/>
          <w:color w:val="auto"/>
          <w:kern w:val="0"/>
          <w:sz w:val="32"/>
          <w:szCs w:val="32"/>
          <w:lang w:val="en-US" w:eastAsia="zh-CN" w:bidi="ar"/>
        </w:rPr>
        <w:t>，总容积约为35591.35m</w:t>
      </w:r>
      <w:r>
        <w:rPr>
          <w:rFonts w:hint="eastAsia" w:ascii="仿宋_GB2312" w:hAnsi="仿宋_GB2312" w:eastAsia="仿宋_GB2312" w:cs="仿宋_GB2312"/>
          <w:color w:val="auto"/>
          <w:kern w:val="0"/>
          <w:sz w:val="32"/>
          <w:szCs w:val="32"/>
          <w:vertAlign w:val="superscript"/>
          <w:lang w:val="en-US" w:eastAsia="zh-CN" w:bidi="ar"/>
        </w:rPr>
        <w:t>3</w:t>
      </w:r>
      <w:r>
        <w:rPr>
          <w:rFonts w:hint="eastAsia" w:ascii="仿宋_GB2312" w:hAnsi="仿宋_GB2312" w:eastAsia="仿宋_GB2312" w:cs="仿宋_GB2312"/>
          <w:color w:val="auto"/>
          <w:sz w:val="32"/>
          <w:szCs w:val="32"/>
          <w:lang w:eastAsia="zh-CN"/>
        </w:rPr>
        <w:t>，处理规模：</w:t>
      </w:r>
      <w:r>
        <w:rPr>
          <w:rFonts w:hint="eastAsia" w:ascii="仿宋_GB2312" w:hAnsi="仿宋_GB2312" w:eastAsia="仿宋_GB2312" w:cs="仿宋_GB2312"/>
          <w:color w:val="auto"/>
          <w:sz w:val="32"/>
          <w:szCs w:val="32"/>
        </w:rPr>
        <w:t>界牌镇污水处理厂尾水处理人工湿地面积9590</w:t>
      </w:r>
      <w:r>
        <w:rPr>
          <w:rFonts w:hint="eastAsia" w:ascii="仿宋_GB2312" w:hAnsi="仿宋_GB2312" w:eastAsia="仿宋_GB2312" w:cs="仿宋_GB2312"/>
          <w:color w:val="auto"/>
          <w:kern w:val="0"/>
          <w:sz w:val="32"/>
          <w:szCs w:val="32"/>
          <w:lang w:val="en-US" w:eastAsia="zh-CN" w:bidi="ar"/>
        </w:rPr>
        <w:t>m</w:t>
      </w:r>
      <w:r>
        <w:rPr>
          <w:rFonts w:hint="eastAsia" w:ascii="仿宋_GB2312" w:hAnsi="仿宋_GB2312" w:eastAsia="仿宋_GB2312" w:cs="仿宋_GB2312"/>
          <w:color w:val="auto"/>
          <w:kern w:val="0"/>
          <w:sz w:val="32"/>
          <w:szCs w:val="32"/>
          <w:vertAlign w:val="superscript"/>
          <w:lang w:val="en-US" w:eastAsia="zh-CN" w:bidi="ar"/>
        </w:rPr>
        <w:t>2</w:t>
      </w:r>
      <w:r>
        <w:rPr>
          <w:rFonts w:hint="eastAsia" w:ascii="仿宋_GB2312" w:hAnsi="仿宋_GB2312" w:eastAsia="仿宋_GB2312" w:cs="仿宋_GB2312"/>
          <w:color w:val="auto"/>
          <w:sz w:val="32"/>
          <w:szCs w:val="32"/>
        </w:rPr>
        <w:t>，渣江镇下游人工湿地面积为4475</w:t>
      </w:r>
      <w:r>
        <w:rPr>
          <w:rFonts w:hint="eastAsia" w:ascii="仿宋_GB2312" w:hAnsi="仿宋_GB2312" w:eastAsia="仿宋_GB2312" w:cs="仿宋_GB2312"/>
          <w:color w:val="auto"/>
          <w:kern w:val="0"/>
          <w:sz w:val="32"/>
          <w:szCs w:val="32"/>
          <w:lang w:val="en-US" w:eastAsia="zh-CN" w:bidi="ar"/>
        </w:rPr>
        <w:t>m</w:t>
      </w:r>
      <w:r>
        <w:rPr>
          <w:rFonts w:hint="eastAsia" w:ascii="仿宋_GB2312" w:hAnsi="仿宋_GB2312" w:eastAsia="仿宋_GB2312" w:cs="仿宋_GB2312"/>
          <w:color w:val="auto"/>
          <w:kern w:val="0"/>
          <w:sz w:val="32"/>
          <w:szCs w:val="32"/>
          <w:vertAlign w:val="superscript"/>
          <w:lang w:val="en-US" w:eastAsia="zh-CN" w:bidi="ar"/>
        </w:rPr>
        <w:t>2</w:t>
      </w:r>
      <w:r>
        <w:rPr>
          <w:rFonts w:hint="eastAsia" w:ascii="仿宋_GB2312" w:hAnsi="仿宋_GB2312" w:eastAsia="仿宋_GB2312" w:cs="仿宋_GB2312"/>
          <w:color w:val="auto"/>
          <w:sz w:val="32"/>
          <w:szCs w:val="32"/>
        </w:rPr>
        <w:t>，衡阳县蒸水饮用水水源保护区上游人工湿地面积为11688</w:t>
      </w:r>
      <w:r>
        <w:rPr>
          <w:rFonts w:hint="eastAsia" w:ascii="仿宋_GB2312" w:hAnsi="仿宋_GB2312" w:eastAsia="仿宋_GB2312" w:cs="仿宋_GB2312"/>
          <w:color w:val="auto"/>
          <w:kern w:val="0"/>
          <w:sz w:val="32"/>
          <w:szCs w:val="32"/>
          <w:lang w:val="en-US" w:eastAsia="zh-CN" w:bidi="ar"/>
        </w:rPr>
        <w:t>m</w:t>
      </w:r>
      <w:r>
        <w:rPr>
          <w:rFonts w:hint="eastAsia" w:ascii="仿宋_GB2312" w:hAnsi="仿宋_GB2312" w:eastAsia="仿宋_GB2312" w:cs="仿宋_GB2312"/>
          <w:color w:val="auto"/>
          <w:kern w:val="0"/>
          <w:sz w:val="32"/>
          <w:szCs w:val="32"/>
          <w:vertAlign w:val="superscript"/>
          <w:lang w:val="en-US" w:eastAsia="zh-CN" w:bidi="ar"/>
        </w:rPr>
        <w:t>2</w:t>
      </w:r>
      <w:r>
        <w:rPr>
          <w:rFonts w:hint="eastAsia" w:ascii="仿宋_GB2312" w:hAnsi="仿宋_GB2312" w:eastAsia="仿宋_GB2312" w:cs="仿宋_GB2312"/>
          <w:color w:val="auto"/>
          <w:sz w:val="32"/>
          <w:szCs w:val="32"/>
        </w:rPr>
        <w:t>，共计约25753</w:t>
      </w:r>
      <w:r>
        <w:rPr>
          <w:rFonts w:hint="eastAsia" w:ascii="仿宋_GB2312" w:hAnsi="仿宋_GB2312" w:eastAsia="仿宋_GB2312" w:cs="仿宋_GB2312"/>
          <w:color w:val="auto"/>
          <w:kern w:val="0"/>
          <w:sz w:val="32"/>
          <w:szCs w:val="32"/>
          <w:lang w:val="en-US" w:eastAsia="zh-CN" w:bidi="ar"/>
        </w:rPr>
        <w:t>m</w:t>
      </w:r>
      <w:r>
        <w:rPr>
          <w:rFonts w:hint="eastAsia" w:ascii="仿宋_GB2312" w:hAnsi="仿宋_GB2312" w:eastAsia="仿宋_GB2312" w:cs="仿宋_GB2312"/>
          <w:color w:val="auto"/>
          <w:kern w:val="0"/>
          <w:sz w:val="32"/>
          <w:szCs w:val="32"/>
          <w:vertAlign w:val="superscript"/>
          <w:lang w:val="en-US" w:eastAsia="zh-CN" w:bidi="ar"/>
        </w:rPr>
        <w:t>2</w:t>
      </w:r>
      <w:r>
        <w:rPr>
          <w:rFonts w:hint="eastAsia" w:ascii="仿宋_GB2312" w:hAnsi="仿宋_GB2312" w:eastAsia="仿宋_GB2312" w:cs="仿宋_GB2312"/>
          <w:color w:val="auto"/>
          <w:sz w:val="32"/>
          <w:szCs w:val="32"/>
        </w:rPr>
        <w:t>，总容积约35591.35m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主要建设内容包括：</w:t>
      </w:r>
      <w:r>
        <w:rPr>
          <w:rFonts w:hint="eastAsia" w:ascii="仿宋_GB2312" w:hAnsi="仿宋_GB2312" w:eastAsia="仿宋_GB2312" w:cs="仿宋_GB2312"/>
          <w:color w:val="auto"/>
          <w:sz w:val="32"/>
          <w:szCs w:val="32"/>
          <w:vertAlign w:val="baseline"/>
          <w:lang w:val="en-US" w:eastAsia="zh-CN"/>
        </w:rPr>
        <w:t>界牌</w:t>
      </w:r>
      <w:r>
        <w:rPr>
          <w:rFonts w:hint="eastAsia" w:ascii="仿宋_GB2312" w:hAnsi="仿宋_GB2312" w:eastAsia="仿宋_GB2312" w:cs="仿宋_GB2312"/>
          <w:color w:val="auto"/>
          <w:sz w:val="32"/>
          <w:szCs w:val="32"/>
          <w:lang w:val="en-US" w:eastAsia="zh-CN"/>
        </w:rPr>
        <w:t>镇</w:t>
      </w:r>
      <w:r>
        <w:rPr>
          <w:rFonts w:hint="eastAsia" w:ascii="仿宋_GB2312" w:hAnsi="仿宋_GB2312" w:eastAsia="仿宋_GB2312" w:cs="仿宋_GB2312"/>
          <w:color w:val="auto"/>
          <w:sz w:val="32"/>
          <w:szCs w:val="32"/>
          <w:vertAlign w:val="baseline"/>
          <w:lang w:val="en-US" w:eastAsia="zh-CN"/>
        </w:rPr>
        <w:t>污水处理厂尾水处理人工湿地</w:t>
      </w:r>
      <w:r>
        <w:rPr>
          <w:rFonts w:hint="eastAsia" w:ascii="仿宋_GB2312" w:hAnsi="仿宋_GB2312" w:eastAsia="仿宋_GB2312" w:cs="仿宋_GB2312"/>
          <w:color w:val="auto"/>
          <w:sz w:val="32"/>
          <w:szCs w:val="32"/>
          <w:lang w:val="en-US" w:eastAsia="zh-CN"/>
        </w:rPr>
        <w:t>为表面流型人工湿地，面积9590m</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，容积15344</w:t>
      </w:r>
      <w:r>
        <w:rPr>
          <w:rFonts w:hint="eastAsia" w:ascii="仿宋_GB2312" w:hAnsi="仿宋_GB2312" w:eastAsia="仿宋_GB2312" w:cs="仿宋_GB2312"/>
          <w:b w:val="0"/>
          <w:bCs w:val="0"/>
          <w:color w:val="auto"/>
          <w:sz w:val="32"/>
          <w:szCs w:val="32"/>
          <w:lang w:val="en-US" w:eastAsia="zh-CN"/>
        </w:rPr>
        <w:t>m</w:t>
      </w:r>
      <w:r>
        <w:rPr>
          <w:rFonts w:hint="eastAsia" w:ascii="仿宋_GB2312" w:hAnsi="仿宋_GB2312" w:eastAsia="仿宋_GB2312" w:cs="仿宋_GB2312"/>
          <w:b w:val="0"/>
          <w:bCs w:val="0"/>
          <w:color w:val="auto"/>
          <w:sz w:val="32"/>
          <w:szCs w:val="32"/>
          <w:vertAlign w:val="superscript"/>
          <w:lang w:val="en-US" w:eastAsia="zh-CN"/>
        </w:rPr>
        <w:t>3</w:t>
      </w:r>
      <w:r>
        <w:rPr>
          <w:rFonts w:hint="eastAsia" w:ascii="仿宋_GB2312" w:hAnsi="仿宋_GB2312" w:eastAsia="仿宋_GB2312" w:cs="仿宋_GB2312"/>
          <w:color w:val="auto"/>
          <w:sz w:val="32"/>
          <w:szCs w:val="32"/>
          <w:lang w:val="en-US" w:eastAsia="zh-CN"/>
        </w:rPr>
        <w:t>，设计处理水量1150.8m</w:t>
      </w:r>
      <w:r>
        <w:rPr>
          <w:rFonts w:hint="eastAsia" w:ascii="仿宋_GB2312" w:hAnsi="仿宋_GB2312" w:eastAsia="仿宋_GB2312" w:cs="仿宋_GB2312"/>
          <w:color w:val="auto"/>
          <w:sz w:val="32"/>
          <w:szCs w:val="32"/>
          <w:vertAlign w:val="superscript"/>
          <w:lang w:val="en-US" w:eastAsia="zh-CN"/>
        </w:rPr>
        <w:t>3</w:t>
      </w:r>
      <w:r>
        <w:rPr>
          <w:rFonts w:hint="eastAsia" w:ascii="仿宋_GB2312" w:hAnsi="仿宋_GB2312" w:eastAsia="仿宋_GB2312" w:cs="仿宋_GB2312"/>
          <w:color w:val="auto"/>
          <w:sz w:val="32"/>
          <w:szCs w:val="32"/>
          <w:lang w:val="en-US" w:eastAsia="zh-CN"/>
        </w:rPr>
        <w:t>/d，表面水力负荷0.12m</w:t>
      </w:r>
      <w:r>
        <w:rPr>
          <w:rFonts w:hint="eastAsia" w:ascii="仿宋_GB2312" w:hAnsi="仿宋_GB2312" w:eastAsia="仿宋_GB2312" w:cs="仿宋_GB2312"/>
          <w:color w:val="auto"/>
          <w:sz w:val="32"/>
          <w:szCs w:val="32"/>
          <w:vertAlign w:val="superscript"/>
          <w:lang w:val="en-US" w:eastAsia="zh-CN"/>
        </w:rPr>
        <w:t>3</w:t>
      </w:r>
      <w:r>
        <w:rPr>
          <w:rFonts w:hint="eastAsia" w:ascii="仿宋_GB2312" w:hAnsi="仿宋_GB2312" w:eastAsia="仿宋_GB2312" w:cs="仿宋_GB2312"/>
          <w:color w:val="auto"/>
          <w:sz w:val="32"/>
          <w:szCs w:val="32"/>
          <w:lang w:val="en-US" w:eastAsia="zh-CN"/>
        </w:rPr>
        <w:t>/（m</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·d），整体高为1.6m，</w:t>
      </w:r>
      <w:r>
        <w:rPr>
          <w:rFonts w:hint="eastAsia" w:ascii="仿宋_GB2312" w:hAnsi="仿宋_GB2312" w:eastAsia="仿宋_GB2312" w:cs="仿宋_GB2312"/>
          <w:color w:val="auto"/>
          <w:sz w:val="32"/>
          <w:szCs w:val="32"/>
          <w:vertAlign w:val="baseline"/>
          <w:lang w:val="en-US" w:eastAsia="zh-CN"/>
        </w:rPr>
        <w:t>湿地内主要种植挺水植物，主要采用黄花鸢尾、菖蒲、美人蕉和风车草等</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vertAlign w:val="baseline"/>
          <w:lang w:val="en-US" w:eastAsia="zh-CN"/>
        </w:rPr>
        <w:t>渣江镇下游人工湿地</w:t>
      </w:r>
      <w:r>
        <w:rPr>
          <w:rFonts w:hint="eastAsia" w:ascii="仿宋_GB2312" w:hAnsi="仿宋_GB2312" w:eastAsia="仿宋_GB2312" w:cs="仿宋_GB2312"/>
          <w:color w:val="auto"/>
          <w:sz w:val="32"/>
          <w:szCs w:val="32"/>
          <w:lang w:val="en-US" w:eastAsia="zh-CN"/>
        </w:rPr>
        <w:t>为表面流型人工湿地，总面积4475m</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，总容积6712.5</w:t>
      </w:r>
      <w:r>
        <w:rPr>
          <w:rFonts w:hint="eastAsia" w:ascii="仿宋_GB2312" w:hAnsi="仿宋_GB2312" w:eastAsia="仿宋_GB2312" w:cs="仿宋_GB2312"/>
          <w:b w:val="0"/>
          <w:bCs w:val="0"/>
          <w:color w:val="auto"/>
          <w:sz w:val="32"/>
          <w:szCs w:val="32"/>
          <w:lang w:val="en-US" w:eastAsia="zh-CN"/>
        </w:rPr>
        <w:t>m</w:t>
      </w:r>
      <w:r>
        <w:rPr>
          <w:rFonts w:hint="eastAsia" w:ascii="仿宋_GB2312" w:hAnsi="仿宋_GB2312" w:eastAsia="仿宋_GB2312" w:cs="仿宋_GB2312"/>
          <w:b w:val="0"/>
          <w:bCs w:val="0"/>
          <w:color w:val="auto"/>
          <w:sz w:val="32"/>
          <w:szCs w:val="32"/>
          <w:vertAlign w:val="superscript"/>
          <w:lang w:val="en-US" w:eastAsia="zh-CN"/>
        </w:rPr>
        <w:t>3</w:t>
      </w:r>
      <w:r>
        <w:rPr>
          <w:rFonts w:hint="eastAsia" w:ascii="仿宋_GB2312" w:hAnsi="仿宋_GB2312" w:eastAsia="仿宋_GB2312" w:cs="仿宋_GB2312"/>
          <w:color w:val="auto"/>
          <w:sz w:val="32"/>
          <w:szCs w:val="32"/>
          <w:lang w:val="en-US" w:eastAsia="zh-CN"/>
        </w:rPr>
        <w:t>，分为串联的2个湿地，湿地1#面积1076m</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，湿地2#面积3399m</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，设计处理水量107.6m</w:t>
      </w:r>
      <w:r>
        <w:rPr>
          <w:rFonts w:hint="eastAsia" w:ascii="仿宋_GB2312" w:hAnsi="仿宋_GB2312" w:eastAsia="仿宋_GB2312" w:cs="仿宋_GB2312"/>
          <w:color w:val="auto"/>
          <w:sz w:val="32"/>
          <w:szCs w:val="32"/>
          <w:vertAlign w:val="superscript"/>
          <w:lang w:val="en-US" w:eastAsia="zh-CN"/>
        </w:rPr>
        <w:t>3</w:t>
      </w:r>
      <w:r>
        <w:rPr>
          <w:rFonts w:hint="eastAsia" w:ascii="仿宋_GB2312" w:hAnsi="仿宋_GB2312" w:eastAsia="仿宋_GB2312" w:cs="仿宋_GB2312"/>
          <w:color w:val="auto"/>
          <w:sz w:val="32"/>
          <w:szCs w:val="32"/>
          <w:lang w:val="en-US" w:eastAsia="zh-CN"/>
        </w:rPr>
        <w:t>/d。2个湿地整体高均为1.5m，主要设计参数相同，表面水力负荷0.1m</w:t>
      </w:r>
      <w:r>
        <w:rPr>
          <w:rFonts w:hint="eastAsia" w:ascii="仿宋_GB2312" w:hAnsi="仿宋_GB2312" w:eastAsia="仿宋_GB2312" w:cs="仿宋_GB2312"/>
          <w:color w:val="auto"/>
          <w:sz w:val="32"/>
          <w:szCs w:val="32"/>
          <w:vertAlign w:val="superscript"/>
          <w:lang w:val="en-US" w:eastAsia="zh-CN"/>
        </w:rPr>
        <w:t>3</w:t>
      </w:r>
      <w:r>
        <w:rPr>
          <w:rFonts w:hint="eastAsia" w:ascii="仿宋_GB2312" w:hAnsi="仿宋_GB2312" w:eastAsia="仿宋_GB2312" w:cs="仿宋_GB2312"/>
          <w:color w:val="auto"/>
          <w:sz w:val="32"/>
          <w:szCs w:val="32"/>
          <w:lang w:val="en-US" w:eastAsia="zh-CN"/>
        </w:rPr>
        <w:t>/（m</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·d），</w:t>
      </w:r>
      <w:r>
        <w:rPr>
          <w:rFonts w:hint="eastAsia" w:ascii="仿宋_GB2312" w:hAnsi="仿宋_GB2312" w:eastAsia="仿宋_GB2312" w:cs="仿宋_GB2312"/>
          <w:color w:val="auto"/>
          <w:sz w:val="32"/>
          <w:szCs w:val="32"/>
          <w:vertAlign w:val="baseline"/>
          <w:lang w:val="en-US" w:eastAsia="zh-CN"/>
        </w:rPr>
        <w:t>湿地内主要种植水生植物，植物配置以挺水植物+沉水植物相搭配，挺水植物主要采用美人蕉、菖蒲和风车草等，沉水植物主要采用苦草等；</w:t>
      </w:r>
      <w:r>
        <w:rPr>
          <w:rFonts w:hint="eastAsia" w:ascii="仿宋_GB2312" w:hAnsi="仿宋_GB2312" w:eastAsia="仿宋_GB2312" w:cs="仿宋_GB2312"/>
          <w:color w:val="auto"/>
          <w:sz w:val="32"/>
          <w:szCs w:val="32"/>
          <w:lang w:val="en-US" w:eastAsia="zh-CN"/>
        </w:rPr>
        <w:t>衡阳县</w:t>
      </w:r>
      <w:r>
        <w:rPr>
          <w:rFonts w:hint="eastAsia" w:ascii="仿宋_GB2312" w:hAnsi="仿宋_GB2312" w:eastAsia="仿宋_GB2312" w:cs="仿宋_GB2312"/>
          <w:color w:val="auto"/>
          <w:sz w:val="32"/>
          <w:szCs w:val="32"/>
          <w:vertAlign w:val="baseline"/>
          <w:lang w:val="en-US" w:eastAsia="zh-CN"/>
        </w:rPr>
        <w:t>蒸水饮用水水源保护区上游人工湿地</w:t>
      </w:r>
      <w:r>
        <w:rPr>
          <w:rFonts w:hint="eastAsia" w:ascii="仿宋_GB2312" w:hAnsi="仿宋_GB2312" w:eastAsia="仿宋_GB2312" w:cs="仿宋_GB2312"/>
          <w:color w:val="auto"/>
          <w:sz w:val="32"/>
          <w:szCs w:val="32"/>
          <w:lang w:val="en-US" w:eastAsia="zh-CN"/>
        </w:rPr>
        <w:t>为表面流型人工湿地，总面积11688m</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，总容积13534.85</w:t>
      </w:r>
      <w:r>
        <w:rPr>
          <w:rFonts w:hint="eastAsia" w:ascii="仿宋_GB2312" w:hAnsi="仿宋_GB2312" w:eastAsia="仿宋_GB2312" w:cs="仿宋_GB2312"/>
          <w:b w:val="0"/>
          <w:bCs w:val="0"/>
          <w:color w:val="auto"/>
          <w:sz w:val="32"/>
          <w:szCs w:val="32"/>
          <w:lang w:val="en-US" w:eastAsia="zh-CN"/>
        </w:rPr>
        <w:t>m</w:t>
      </w:r>
      <w:r>
        <w:rPr>
          <w:rFonts w:hint="eastAsia" w:ascii="仿宋_GB2312" w:hAnsi="仿宋_GB2312" w:eastAsia="仿宋_GB2312" w:cs="仿宋_GB2312"/>
          <w:b w:val="0"/>
          <w:bCs w:val="0"/>
          <w:color w:val="auto"/>
          <w:sz w:val="32"/>
          <w:szCs w:val="32"/>
          <w:vertAlign w:val="superscript"/>
          <w:lang w:val="en-US" w:eastAsia="zh-CN"/>
        </w:rPr>
        <w:t>3</w:t>
      </w:r>
      <w:r>
        <w:rPr>
          <w:rFonts w:hint="eastAsia" w:ascii="仿宋_GB2312" w:hAnsi="仿宋_GB2312" w:eastAsia="仿宋_GB2312" w:cs="仿宋_GB2312"/>
          <w:color w:val="auto"/>
          <w:sz w:val="32"/>
          <w:szCs w:val="32"/>
          <w:lang w:val="en-US" w:eastAsia="zh-CN"/>
        </w:rPr>
        <w:t>，分为并联的3个湿地，设计总处理水量2337.6m</w:t>
      </w:r>
      <w:r>
        <w:rPr>
          <w:rFonts w:hint="eastAsia" w:ascii="仿宋_GB2312" w:hAnsi="仿宋_GB2312" w:eastAsia="仿宋_GB2312" w:cs="仿宋_GB2312"/>
          <w:color w:val="auto"/>
          <w:sz w:val="32"/>
          <w:szCs w:val="32"/>
          <w:vertAlign w:val="superscript"/>
          <w:lang w:val="en-US" w:eastAsia="zh-CN"/>
        </w:rPr>
        <w:t>3</w:t>
      </w:r>
      <w:r>
        <w:rPr>
          <w:rFonts w:hint="eastAsia" w:ascii="仿宋_GB2312" w:hAnsi="仿宋_GB2312" w:eastAsia="仿宋_GB2312" w:cs="仿宋_GB2312"/>
          <w:color w:val="auto"/>
          <w:sz w:val="32"/>
          <w:szCs w:val="32"/>
          <w:lang w:val="en-US" w:eastAsia="zh-CN"/>
        </w:rPr>
        <w:t>/d。湿地1#-3#整体高分别为1.35m、1.0m和1.2m，主要设计参数相同，表面水力负荷0.2m</w:t>
      </w:r>
      <w:r>
        <w:rPr>
          <w:rFonts w:hint="eastAsia" w:ascii="仿宋_GB2312" w:hAnsi="仿宋_GB2312" w:eastAsia="仿宋_GB2312" w:cs="仿宋_GB2312"/>
          <w:color w:val="auto"/>
          <w:sz w:val="32"/>
          <w:szCs w:val="32"/>
          <w:vertAlign w:val="superscript"/>
          <w:lang w:val="en-US" w:eastAsia="zh-CN"/>
        </w:rPr>
        <w:t>3</w:t>
      </w:r>
      <w:r>
        <w:rPr>
          <w:rFonts w:hint="eastAsia" w:ascii="仿宋_GB2312" w:hAnsi="仿宋_GB2312" w:eastAsia="仿宋_GB2312" w:cs="仿宋_GB2312"/>
          <w:color w:val="auto"/>
          <w:sz w:val="32"/>
          <w:szCs w:val="32"/>
          <w:lang w:val="en-US" w:eastAsia="zh-CN"/>
        </w:rPr>
        <w:t>/（m</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·d），</w:t>
      </w:r>
      <w:r>
        <w:rPr>
          <w:rFonts w:hint="eastAsia" w:ascii="仿宋_GB2312" w:hAnsi="仿宋_GB2312" w:eastAsia="仿宋_GB2312" w:cs="仿宋_GB2312"/>
          <w:color w:val="auto"/>
          <w:sz w:val="32"/>
          <w:szCs w:val="32"/>
          <w:vertAlign w:val="baseline"/>
          <w:lang w:val="en-US" w:eastAsia="zh-CN"/>
        </w:rPr>
        <w:t>湿地内主要种植水生植物，植物配置以挺水植物+沉水植物相搭配，挺水植物主要采用美人蕉、菖蒲和风车草等，沉水植物主要采用苦草等</w:t>
      </w:r>
      <w:r>
        <w:rPr>
          <w:rFonts w:hint="eastAsia" w:ascii="仿宋_GB2312" w:hAnsi="仿宋_GB2312" w:eastAsia="仿宋_GB2312" w:cs="仿宋_GB2312"/>
          <w:color w:val="auto"/>
          <w:sz w:val="32"/>
          <w:szCs w:val="32"/>
          <w:lang w:val="en-US" w:eastAsia="zh-CN"/>
        </w:rPr>
        <w:t>。</w:t>
      </w:r>
    </w:p>
    <w:p w14:paraId="46EAFCC1">
      <w:pPr>
        <w:spacing w:line="360" w:lineRule="auto"/>
        <w:rPr>
          <w:rFonts w:hint="eastAsia" w:ascii="仿宋_GB2312" w:hAnsi="仿宋_GB2312" w:eastAsia="仿宋_GB2312" w:cs="仿宋_GB2312"/>
          <w:color w:val="auto"/>
          <w:sz w:val="32"/>
          <w:szCs w:val="32"/>
          <w:u w:val="none" w:color="auto"/>
          <w:lang w:eastAsia="zh-CN"/>
        </w:rPr>
      </w:pPr>
      <w:r>
        <w:rPr>
          <w:rFonts w:hint="eastAsia" w:ascii="仿宋_GB2312" w:hAnsi="仿宋_GB2312" w:eastAsia="仿宋_GB2312" w:cs="仿宋_GB2312"/>
          <w:color w:val="auto"/>
          <w:sz w:val="32"/>
          <w:szCs w:val="32"/>
          <w:u w:val="none" w:color="auto"/>
        </w:rPr>
        <w:t>本项目符合国家产业政策，根据</w:t>
      </w:r>
      <w:r>
        <w:rPr>
          <w:rFonts w:hint="eastAsia" w:ascii="仿宋_GB2312" w:hAnsi="仿宋_GB2312" w:eastAsia="仿宋_GB2312" w:cs="仿宋_GB2312"/>
          <w:color w:val="auto"/>
          <w:sz w:val="32"/>
          <w:szCs w:val="32"/>
          <w:u w:val="none" w:color="auto"/>
          <w:lang w:eastAsia="zh-CN"/>
        </w:rPr>
        <w:t>衡阳职安环保科技责任有限公司</w:t>
      </w:r>
      <w:r>
        <w:rPr>
          <w:rFonts w:hint="eastAsia" w:ascii="仿宋_GB2312" w:hAnsi="仿宋_GB2312" w:eastAsia="仿宋_GB2312" w:cs="仿宋_GB2312"/>
          <w:color w:val="auto"/>
          <w:sz w:val="32"/>
          <w:szCs w:val="32"/>
          <w:u w:val="none" w:color="auto"/>
        </w:rPr>
        <w:t>所编制的环境影响报告表的分析结论和专家组评审意见，在建设单位严格执行环保“三同时”制度，切实落实报告表中提出的各项污染防治措施，确保各类污染物达标排放的情况下，从环保的角度分析，同意该项目</w:t>
      </w:r>
      <w:r>
        <w:rPr>
          <w:rFonts w:hint="eastAsia" w:ascii="仿宋_GB2312" w:hAnsi="仿宋_GB2312" w:eastAsia="仿宋_GB2312" w:cs="仿宋_GB2312"/>
          <w:color w:val="auto"/>
          <w:sz w:val="32"/>
          <w:szCs w:val="32"/>
          <w:u w:val="none" w:color="auto"/>
          <w:lang w:eastAsia="zh-CN"/>
        </w:rPr>
        <w:t>建设</w:t>
      </w:r>
      <w:r>
        <w:rPr>
          <w:rFonts w:hint="eastAsia" w:ascii="仿宋_GB2312" w:hAnsi="仿宋_GB2312" w:eastAsia="仿宋_GB2312" w:cs="仿宋_GB2312"/>
          <w:color w:val="auto"/>
          <w:sz w:val="32"/>
          <w:szCs w:val="32"/>
          <w:u w:val="none" w:color="auto"/>
        </w:rPr>
        <w:t>。本《报告表》可作为项目建设和环境管理的依据</w:t>
      </w:r>
      <w:r>
        <w:rPr>
          <w:rFonts w:hint="eastAsia" w:ascii="仿宋_GB2312" w:hAnsi="仿宋_GB2312" w:eastAsia="仿宋_GB2312" w:cs="仿宋_GB2312"/>
          <w:color w:val="auto"/>
          <w:sz w:val="32"/>
          <w:szCs w:val="32"/>
          <w:u w:val="none" w:color="auto"/>
          <w:lang w:eastAsia="zh-CN"/>
        </w:rPr>
        <w:t>。</w:t>
      </w:r>
    </w:p>
    <w:p w14:paraId="1683EC8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fill="FFFFFF"/>
        </w:rPr>
        <w:t>二、在项目工程设计、建设和环境管理中，你单位必须严格落实《报告表》中提出的各项环保措施和要求，确保各项污染物达标排放，并须着重做好以下工作：</w:t>
      </w:r>
    </w:p>
    <w:p w14:paraId="63125CE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i w:val="0"/>
          <w:iCs w:val="0"/>
          <w:caps w:val="0"/>
          <w:color w:val="auto"/>
          <w:spacing w:val="0"/>
          <w:sz w:val="32"/>
          <w:szCs w:val="32"/>
          <w:shd w:val="clear" w:fill="FFFFFF"/>
        </w:rPr>
        <w:t>（一）严格落实大气污染防治措施。</w:t>
      </w:r>
      <w:r>
        <w:rPr>
          <w:rFonts w:hint="eastAsia" w:ascii="仿宋_GB2312" w:hAnsi="仿宋_GB2312" w:eastAsia="仿宋_GB2312" w:cs="仿宋_GB2312"/>
          <w:color w:val="auto"/>
          <w:sz w:val="32"/>
          <w:szCs w:val="32"/>
          <w:lang w:val="en-US" w:eastAsia="zh-CN"/>
        </w:rPr>
        <w:t>施工期对施工扬尘采取建设围挡、覆盖防尘网、减少堆存、洒水抑尘、合理安排施工时间等措施后无组织排放；施工机械尾气经采取选用符合环保要求的机械设备、加强设备维修保养等措施后无组织排放；清淤恶臭经采取合理安排清淤时间、建设围挡、及时清运处置、必要时喷洒除臭剂等措施后无组织排放。</w:t>
      </w:r>
      <w:r>
        <w:rPr>
          <w:rFonts w:hint="eastAsia" w:ascii="仿宋_GB2312" w:hAnsi="仿宋_GB2312" w:eastAsia="仿宋_GB2312" w:cs="仿宋_GB2312"/>
          <w:color w:val="auto"/>
          <w:sz w:val="32"/>
          <w:szCs w:val="32"/>
          <w:vertAlign w:val="baseline"/>
          <w:lang w:val="en-US" w:eastAsia="zh-CN"/>
        </w:rPr>
        <w:t>厂界无组织排放的颗粒物满足GB16297标准要求，</w:t>
      </w:r>
      <w:r>
        <w:rPr>
          <w:rFonts w:hint="eastAsia" w:ascii="仿宋_GB2312" w:hAnsi="仿宋_GB2312" w:eastAsia="仿宋_GB2312" w:cs="仿宋_GB2312"/>
          <w:color w:val="auto"/>
          <w:sz w:val="32"/>
          <w:szCs w:val="32"/>
          <w:lang w:val="en-US" w:eastAsia="zh-CN"/>
        </w:rPr>
        <w:t>氨、硫化氢、臭气浓度满足GB14554二级新改扩建浓度限值要求。营运期间加强对人工湿地日常维护和管理，加强巡检，及时清理腐败物质、垃圾，减少恶臭气体的排放。</w:t>
      </w:r>
    </w:p>
    <w:p w14:paraId="6219FCF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i w:val="0"/>
          <w:iCs w:val="0"/>
          <w:caps w:val="0"/>
          <w:color w:val="auto"/>
          <w:spacing w:val="0"/>
          <w:sz w:val="32"/>
          <w:szCs w:val="32"/>
          <w:shd w:val="clear" w:fill="FFFFFF"/>
        </w:rPr>
        <w:t>（二）严格落实废水治理措施。</w:t>
      </w:r>
      <w:r>
        <w:rPr>
          <w:rFonts w:hint="eastAsia" w:ascii="仿宋_GB2312" w:hAnsi="仿宋_GB2312" w:eastAsia="仿宋_GB2312" w:cs="仿宋_GB2312"/>
          <w:color w:val="auto"/>
          <w:sz w:val="32"/>
          <w:szCs w:val="32"/>
          <w:lang w:val="en-US" w:eastAsia="zh-CN"/>
        </w:rPr>
        <w:t>施工、基坑废水经隔油沉淀池处理后回用于场地洒水抑尘，不外排；污泥余水、沥水经沉淀池处理后回用于场地洒水抑尘、周边植被绿化等，不外排；施工人员生活污水依托周边居民化粪池处理后用作农肥或通过市政污水管网排入衡阳县污水处理厂进一步处理，处理达标后外排蒸水</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color w:val="auto"/>
          <w:sz w:val="32"/>
          <w:szCs w:val="32"/>
          <w:vertAlign w:val="baseline"/>
          <w:lang w:val="en-US" w:eastAsia="zh-CN"/>
        </w:rPr>
        <w:t>项目运营期自身无废水产生，湿地尾水直接排入地表水体。</w:t>
      </w:r>
    </w:p>
    <w:p w14:paraId="7727930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fill="FFFFFF"/>
        </w:rPr>
        <w:t>（三）</w:t>
      </w:r>
      <w:r>
        <w:rPr>
          <w:rFonts w:hint="eastAsia" w:ascii="仿宋_GB2312" w:hAnsi="仿宋_GB2312" w:eastAsia="仿宋_GB2312" w:cs="仿宋_GB2312"/>
          <w:color w:val="auto"/>
          <w:sz w:val="32"/>
          <w:szCs w:val="32"/>
          <w:vertAlign w:val="baseline"/>
          <w:lang w:val="en-US" w:eastAsia="zh-CN"/>
        </w:rPr>
        <w:t>合理安排施工时间、选用低噪声设备、对动力机械设备定期维修养护等</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确保</w:t>
      </w:r>
      <w:r>
        <w:rPr>
          <w:rFonts w:hint="eastAsia" w:ascii="仿宋_GB2312" w:hAnsi="仿宋_GB2312" w:eastAsia="仿宋_GB2312" w:cs="仿宋_GB2312"/>
          <w:color w:val="auto"/>
          <w:sz w:val="32"/>
          <w:szCs w:val="32"/>
          <w:lang w:val="en-US" w:eastAsia="zh-CN"/>
        </w:rPr>
        <w:t>场界噪声满足GB12523</w:t>
      </w:r>
      <w:r>
        <w:rPr>
          <w:rFonts w:hint="eastAsia" w:ascii="仿宋_GB2312" w:hAnsi="仿宋_GB2312" w:eastAsia="仿宋_GB2312" w:cs="仿宋_GB2312"/>
          <w:color w:val="auto"/>
          <w:sz w:val="32"/>
          <w:szCs w:val="32"/>
          <w:vertAlign w:val="baseline"/>
          <w:lang w:val="en-US" w:eastAsia="zh-CN"/>
        </w:rPr>
        <w:t>要求。营运期确保</w:t>
      </w:r>
      <w:r>
        <w:rPr>
          <w:rFonts w:hint="eastAsia" w:ascii="仿宋_GB2312" w:hAnsi="仿宋_GB2312" w:eastAsia="仿宋_GB2312" w:cs="仿宋_GB2312"/>
          <w:color w:val="auto"/>
          <w:sz w:val="32"/>
          <w:szCs w:val="32"/>
          <w:lang w:val="en-US" w:eastAsia="zh-CN"/>
        </w:rPr>
        <w:t>厂界噪声满足GB12348 2类标准</w:t>
      </w:r>
      <w:r>
        <w:rPr>
          <w:rFonts w:hint="eastAsia" w:ascii="仿宋_GB2312" w:hAnsi="仿宋_GB2312" w:eastAsia="仿宋_GB2312" w:cs="仿宋_GB2312"/>
          <w:color w:val="auto"/>
          <w:sz w:val="32"/>
          <w:szCs w:val="32"/>
          <w:vertAlign w:val="baseline"/>
          <w:lang w:val="en-US" w:eastAsia="zh-CN"/>
        </w:rPr>
        <w:t>要求。</w:t>
      </w:r>
    </w:p>
    <w:p w14:paraId="4036F85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fill="FFFFFF"/>
        </w:rPr>
        <w:t>（四）加强固体废物管理。按“资源化、减量化、无害化”处置原则，认真落实固废分类收集、处置和综合利用措施。施工期场地保持整洁及时清扫，</w:t>
      </w:r>
      <w:r>
        <w:rPr>
          <w:rFonts w:hint="eastAsia" w:ascii="仿宋_GB2312" w:hAnsi="仿宋_GB2312" w:eastAsia="仿宋_GB2312" w:cs="仿宋_GB2312"/>
          <w:color w:val="auto"/>
          <w:sz w:val="32"/>
          <w:szCs w:val="32"/>
          <w:lang w:val="en-US" w:eastAsia="zh-CN"/>
        </w:rPr>
        <w:t>清淤污泥经压滤后送往周边农民作为农用泥质或送至园林建设单位用于园林绿化介质土等；开挖的土石方优先用于项目建设及水生植物的种植用土，剩余弃方就近用于地面平整或运往当地指定的弃渣场处置；隔油沉淀池浮油收集后直接交由有资质单位处置；废水处理沉渣收集后直接回用于项目施工；建筑垃圾首先进行废物利用，集中收集后作为建筑材料使用，不能回收利用的运往当地指定的弃渣场处置；生活垃圾交由当地环卫清运处理。</w:t>
      </w:r>
      <w:r>
        <w:rPr>
          <w:rFonts w:hint="eastAsia" w:ascii="仿宋_GB2312" w:hAnsi="仿宋_GB2312" w:eastAsia="仿宋_GB2312" w:cs="仿宋_GB2312"/>
          <w:i w:val="0"/>
          <w:iCs w:val="0"/>
          <w:caps w:val="0"/>
          <w:color w:val="auto"/>
          <w:spacing w:val="0"/>
          <w:sz w:val="32"/>
          <w:szCs w:val="32"/>
          <w:shd w:val="clear" w:fill="FFFFFF"/>
        </w:rPr>
        <w:t>运营期</w:t>
      </w:r>
      <w:r>
        <w:rPr>
          <w:rFonts w:hint="eastAsia" w:ascii="仿宋_GB2312" w:hAnsi="仿宋_GB2312" w:eastAsia="仿宋_GB2312" w:cs="仿宋_GB2312"/>
          <w:color w:val="auto"/>
          <w:sz w:val="32"/>
          <w:szCs w:val="32"/>
          <w:lang w:val="en-US" w:eastAsia="zh-CN"/>
        </w:rPr>
        <w:t>人工湿地植被定期收割后作为养殖饲料出售；湿地污泥送往周边农民作为农用泥质或送至园林建设单位用于园林绿化介质土等；湿地</w:t>
      </w:r>
      <w:r>
        <w:rPr>
          <w:rFonts w:hint="eastAsia" w:ascii="仿宋_GB2312" w:hAnsi="仿宋_GB2312" w:eastAsia="仿宋_GB2312" w:cs="仿宋_GB2312"/>
          <w:b w:val="0"/>
          <w:bCs w:val="0"/>
          <w:color w:val="auto"/>
          <w:sz w:val="32"/>
          <w:szCs w:val="32"/>
          <w:lang w:val="en-US" w:eastAsia="zh-CN"/>
        </w:rPr>
        <w:t>清除的杂草、垃圾、植物残体、栅渣等交由</w:t>
      </w:r>
      <w:r>
        <w:rPr>
          <w:rFonts w:hint="eastAsia" w:ascii="仿宋_GB2312" w:hAnsi="仿宋_GB2312" w:eastAsia="仿宋_GB2312" w:cs="仿宋_GB2312"/>
          <w:color w:val="auto"/>
          <w:sz w:val="32"/>
          <w:szCs w:val="32"/>
          <w:lang w:val="en-US" w:eastAsia="zh-CN"/>
        </w:rPr>
        <w:t>当地环卫部门清运处理</w:t>
      </w:r>
      <w:r>
        <w:rPr>
          <w:rFonts w:hint="eastAsia" w:ascii="仿宋_GB2312" w:hAnsi="仿宋_GB2312" w:eastAsia="仿宋_GB2312" w:cs="仿宋_GB2312"/>
          <w:i w:val="0"/>
          <w:iCs w:val="0"/>
          <w:caps w:val="0"/>
          <w:color w:val="auto"/>
          <w:spacing w:val="0"/>
          <w:sz w:val="32"/>
          <w:szCs w:val="32"/>
          <w:shd w:val="clear" w:fill="FFFFFF"/>
        </w:rPr>
        <w:t>。</w:t>
      </w:r>
    </w:p>
    <w:p w14:paraId="5970FE6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hint="eastAsia" w:ascii="仿宋_GB2312" w:hAnsi="仿宋_GB2312" w:eastAsia="仿宋_GB2312" w:cs="仿宋_GB2312"/>
          <w:i w:val="0"/>
          <w:iCs w:val="0"/>
          <w:caps w:val="0"/>
          <w:color w:val="auto"/>
          <w:spacing w:val="0"/>
          <w:sz w:val="32"/>
          <w:szCs w:val="32"/>
          <w:lang w:eastAsia="zh-CN"/>
        </w:rPr>
      </w:pPr>
      <w:r>
        <w:rPr>
          <w:rFonts w:hint="eastAsia" w:ascii="仿宋_GB2312" w:hAnsi="仿宋_GB2312" w:eastAsia="仿宋_GB2312" w:cs="仿宋_GB2312"/>
          <w:i w:val="0"/>
          <w:iCs w:val="0"/>
          <w:caps w:val="0"/>
          <w:color w:val="auto"/>
          <w:spacing w:val="0"/>
          <w:sz w:val="32"/>
          <w:szCs w:val="32"/>
          <w:shd w:val="clear" w:fill="FFFFFF"/>
        </w:rPr>
        <w:t>（五）落实各项生态恢复措施。施工期，应认真落实各项生态保护措施，加强施工管理，优化施工占地和布局，减少临时占地面积，尽量减少对作业区周围植被的破坏；施工结束后，严格按照《报告表》中提出的各项措施，对临时占地等采取工程措施和植物措施相结合的方式做好生态恢复工作</w:t>
      </w:r>
      <w:r>
        <w:rPr>
          <w:rFonts w:hint="eastAsia" w:ascii="仿宋_GB2312" w:hAnsi="仿宋_GB2312" w:eastAsia="仿宋_GB2312" w:cs="仿宋_GB2312"/>
          <w:i w:val="0"/>
          <w:iCs w:val="0"/>
          <w:caps w:val="0"/>
          <w:color w:val="auto"/>
          <w:spacing w:val="0"/>
          <w:sz w:val="32"/>
          <w:szCs w:val="32"/>
          <w:shd w:val="clear" w:fill="FFFFFF"/>
          <w:lang w:eastAsia="zh-CN"/>
        </w:rPr>
        <w:t>。</w:t>
      </w:r>
    </w:p>
    <w:p w14:paraId="7A215C46">
      <w:pPr>
        <w:pageBreakBefore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三、项目建设必须严格执行配套的环境保护设施与主体工程同时设计、同时施工、同时投产使用的环境保护“三同时”制度。建设单位应按照《建设项目环境保护管理条例》的规定，及时开展建设项目竣工环境保护自主验收，并将建设项目竣工环境保护验收监测报告和验收意见报送我局备案。</w:t>
      </w:r>
    </w:p>
    <w:p w14:paraId="769C9484">
      <w:pPr>
        <w:pageBreakBefore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四、</w:t>
      </w:r>
      <w:r>
        <w:rPr>
          <w:rFonts w:hint="eastAsia" w:ascii="仿宋_GB2312" w:hAnsi="仿宋_GB2312" w:eastAsia="仿宋_GB2312" w:cs="仿宋_GB2312"/>
          <w:b w:val="0"/>
          <w:bCs/>
          <w:color w:val="auto"/>
          <w:sz w:val="32"/>
          <w:szCs w:val="32"/>
          <w:u w:val="none" w:color="auto"/>
        </w:rPr>
        <w:t>环境影响报告表经批准后，该项目的性质、规模、地点、生产工艺和环境保护措施发生重大变动的，须重新报批环境影响报告表。自环境影响报告表批复文件批准之日起，如超过5年方决定工程开工建设的，环境影响报告表应当报我局重新审核。</w:t>
      </w:r>
    </w:p>
    <w:p w14:paraId="0BCD57E5">
      <w:pPr>
        <w:pageBreakBefore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五</w:t>
      </w:r>
      <w:r>
        <w:rPr>
          <w:rFonts w:hint="eastAsia" w:ascii="仿宋_GB2312" w:hAnsi="仿宋_GB2312" w:eastAsia="仿宋_GB2312" w:cs="仿宋_GB2312"/>
          <w:b w:val="0"/>
          <w:bCs/>
          <w:color w:val="auto"/>
          <w:sz w:val="32"/>
          <w:szCs w:val="32"/>
          <w:u w:val="none" w:color="auto"/>
        </w:rPr>
        <w:t>、衡阳县生态环境保护综合行政执法大队将该项目纳入日常监管并履行项目建设及运营后现场监管职责。</w:t>
      </w:r>
    </w:p>
    <w:p w14:paraId="1CAD9D30">
      <w:pPr>
        <w:pageBreakBefore w:val="0"/>
        <w:kinsoku/>
        <w:wordWrap/>
        <w:overflowPunct/>
        <w:topLinePunct w:val="0"/>
        <w:autoSpaceDE/>
        <w:autoSpaceDN/>
        <w:bidi w:val="0"/>
        <w:spacing w:line="360" w:lineRule="auto"/>
        <w:ind w:firstLine="640" w:firstLineChars="200"/>
        <w:jc w:val="right"/>
        <w:textAlignment w:val="auto"/>
        <w:rPr>
          <w:rFonts w:hint="eastAsia" w:ascii="仿宋_GB2312" w:hAnsi="仿宋_GB2312" w:eastAsia="仿宋_GB2312" w:cs="仿宋_GB2312"/>
          <w:b w:val="0"/>
          <w:bCs/>
          <w:color w:val="auto"/>
          <w:sz w:val="32"/>
          <w:szCs w:val="32"/>
          <w:u w:val="none" w:color="auto"/>
        </w:rPr>
      </w:pPr>
    </w:p>
    <w:p w14:paraId="55F71C23">
      <w:pPr>
        <w:pageBreakBefore w:val="0"/>
        <w:kinsoku/>
        <w:wordWrap/>
        <w:overflowPunct/>
        <w:topLinePunct w:val="0"/>
        <w:autoSpaceDE/>
        <w:autoSpaceDN/>
        <w:bidi w:val="0"/>
        <w:spacing w:line="360" w:lineRule="auto"/>
        <w:ind w:firstLine="640" w:firstLineChars="200"/>
        <w:jc w:val="right"/>
        <w:textAlignment w:val="auto"/>
        <w:rPr>
          <w:rFonts w:hint="eastAsia" w:ascii="仿宋_GB2312" w:hAnsi="仿宋_GB2312" w:eastAsia="仿宋_GB2312" w:cs="仿宋_GB2312"/>
          <w:b w:val="0"/>
          <w:bCs/>
          <w:color w:val="auto"/>
          <w:sz w:val="32"/>
          <w:szCs w:val="32"/>
          <w:u w:val="none" w:color="auto"/>
        </w:rPr>
      </w:pPr>
    </w:p>
    <w:p w14:paraId="34D695EB">
      <w:pPr>
        <w:pageBreakBefore w:val="0"/>
        <w:kinsoku/>
        <w:wordWrap/>
        <w:overflowPunct/>
        <w:topLinePunct w:val="0"/>
        <w:autoSpaceDE/>
        <w:autoSpaceDN/>
        <w:bidi w:val="0"/>
        <w:spacing w:line="360" w:lineRule="auto"/>
        <w:ind w:firstLine="640" w:firstLineChars="200"/>
        <w:jc w:val="right"/>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 xml:space="preserve">    </w:t>
      </w:r>
    </w:p>
    <w:p w14:paraId="4716C77F">
      <w:pPr>
        <w:pageBreakBefore w:val="0"/>
        <w:kinsoku/>
        <w:wordWrap/>
        <w:overflowPunct/>
        <w:topLinePunct w:val="0"/>
        <w:autoSpaceDE/>
        <w:autoSpaceDN/>
        <w:bidi w:val="0"/>
        <w:spacing w:line="360" w:lineRule="auto"/>
        <w:ind w:firstLine="640" w:firstLineChars="200"/>
        <w:jc w:val="right"/>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 xml:space="preserve">                           衡阳市生态环境局                                202</w:t>
      </w:r>
      <w:r>
        <w:rPr>
          <w:rFonts w:hint="eastAsia" w:ascii="仿宋_GB2312" w:hAnsi="仿宋_GB2312" w:eastAsia="仿宋_GB2312" w:cs="仿宋_GB2312"/>
          <w:b w:val="0"/>
          <w:bCs/>
          <w:color w:val="auto"/>
          <w:sz w:val="32"/>
          <w:szCs w:val="32"/>
          <w:u w:val="none" w:color="auto"/>
          <w:lang w:val="en-US" w:eastAsia="zh-CN"/>
        </w:rPr>
        <w:t>5</w:t>
      </w:r>
      <w:r>
        <w:rPr>
          <w:rFonts w:hint="eastAsia" w:ascii="仿宋_GB2312" w:hAnsi="仿宋_GB2312" w:eastAsia="仿宋_GB2312" w:cs="仿宋_GB2312"/>
          <w:b w:val="0"/>
          <w:bCs/>
          <w:color w:val="auto"/>
          <w:sz w:val="32"/>
          <w:szCs w:val="32"/>
          <w:u w:val="none" w:color="auto"/>
        </w:rPr>
        <w:t>年</w:t>
      </w:r>
      <w:r>
        <w:rPr>
          <w:rFonts w:hint="eastAsia" w:ascii="仿宋_GB2312" w:hAnsi="仿宋_GB2312" w:eastAsia="仿宋_GB2312" w:cs="仿宋_GB2312"/>
          <w:b w:val="0"/>
          <w:bCs/>
          <w:color w:val="auto"/>
          <w:sz w:val="32"/>
          <w:szCs w:val="32"/>
          <w:u w:val="none" w:color="auto"/>
          <w:lang w:val="en-US" w:eastAsia="zh-CN"/>
        </w:rPr>
        <w:t>7</w:t>
      </w:r>
      <w:r>
        <w:rPr>
          <w:rFonts w:hint="eastAsia" w:ascii="仿宋_GB2312" w:hAnsi="仿宋_GB2312" w:eastAsia="仿宋_GB2312" w:cs="仿宋_GB2312"/>
          <w:b w:val="0"/>
          <w:bCs/>
          <w:color w:val="auto"/>
          <w:sz w:val="32"/>
          <w:szCs w:val="32"/>
          <w:u w:val="none" w:color="auto"/>
        </w:rPr>
        <w:t>月</w:t>
      </w:r>
      <w:r>
        <w:rPr>
          <w:rFonts w:hint="eastAsia" w:ascii="仿宋_GB2312" w:hAnsi="仿宋_GB2312" w:eastAsia="仿宋_GB2312" w:cs="仿宋_GB2312"/>
          <w:b w:val="0"/>
          <w:bCs/>
          <w:color w:val="auto"/>
          <w:sz w:val="32"/>
          <w:szCs w:val="32"/>
          <w:u w:val="none" w:color="auto"/>
          <w:lang w:val="en-US" w:eastAsia="zh-CN"/>
        </w:rPr>
        <w:t>29</w:t>
      </w:r>
      <w:bookmarkStart w:id="0" w:name="_GoBack"/>
      <w:bookmarkEnd w:id="0"/>
      <w:r>
        <w:rPr>
          <w:rFonts w:hint="eastAsia" w:ascii="仿宋_GB2312" w:hAnsi="仿宋_GB2312" w:eastAsia="仿宋_GB2312" w:cs="仿宋_GB2312"/>
          <w:b w:val="0"/>
          <w:bCs/>
          <w:color w:val="auto"/>
          <w:sz w:val="32"/>
          <w:szCs w:val="32"/>
          <w:u w:val="none" w:color="auto"/>
        </w:rPr>
        <w:t>日</w:t>
      </w:r>
    </w:p>
    <w:p w14:paraId="64DAC24E">
      <w:pPr>
        <w:spacing w:line="400" w:lineRule="exact"/>
        <w:ind w:firstLine="480"/>
        <w:rPr>
          <w:rFonts w:hint="eastAsia" w:ascii="仿宋_GB2312" w:hAnsi="仿宋_GB2312" w:eastAsia="仿宋_GB2312" w:cs="仿宋_GB2312"/>
          <w:b w:val="0"/>
          <w:bCs/>
          <w:color w:val="00000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00007A87" w:usb1="80000000" w:usb2="00000008"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3CE18">
    <w:pPr>
      <w:pStyle w:val="3"/>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8C7E359">
                <w:pPr>
                  <w:pStyle w:val="3"/>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172A27"/>
    <w:rsid w:val="00021A00"/>
    <w:rsid w:val="00083973"/>
    <w:rsid w:val="000A1DA3"/>
    <w:rsid w:val="00172A27"/>
    <w:rsid w:val="001B5F5A"/>
    <w:rsid w:val="001F54B2"/>
    <w:rsid w:val="00234BC5"/>
    <w:rsid w:val="00242F3C"/>
    <w:rsid w:val="002B29BF"/>
    <w:rsid w:val="002C4BF7"/>
    <w:rsid w:val="0058253E"/>
    <w:rsid w:val="00594A83"/>
    <w:rsid w:val="006C443C"/>
    <w:rsid w:val="006E22AB"/>
    <w:rsid w:val="00975F42"/>
    <w:rsid w:val="00AE7064"/>
    <w:rsid w:val="00B66779"/>
    <w:rsid w:val="00BD3E27"/>
    <w:rsid w:val="00BE104E"/>
    <w:rsid w:val="00C5462F"/>
    <w:rsid w:val="00C91275"/>
    <w:rsid w:val="00D06D76"/>
    <w:rsid w:val="00E27674"/>
    <w:rsid w:val="00F0332E"/>
    <w:rsid w:val="00FA1F2B"/>
    <w:rsid w:val="06CB90F3"/>
    <w:rsid w:val="0CD9214C"/>
    <w:rsid w:val="146D47D1"/>
    <w:rsid w:val="152E289C"/>
    <w:rsid w:val="1FBCE9C2"/>
    <w:rsid w:val="21AF4504"/>
    <w:rsid w:val="2B5D164D"/>
    <w:rsid w:val="2EE6F44A"/>
    <w:rsid w:val="30DA723C"/>
    <w:rsid w:val="34C706BD"/>
    <w:rsid w:val="35DD5072"/>
    <w:rsid w:val="3DFB3105"/>
    <w:rsid w:val="3E7F2580"/>
    <w:rsid w:val="3FDFE3DA"/>
    <w:rsid w:val="43D741F4"/>
    <w:rsid w:val="46136BEF"/>
    <w:rsid w:val="4F376FE4"/>
    <w:rsid w:val="50D94D66"/>
    <w:rsid w:val="5EFFCBF4"/>
    <w:rsid w:val="5F775DD4"/>
    <w:rsid w:val="5F8F07D3"/>
    <w:rsid w:val="5FF2B8FD"/>
    <w:rsid w:val="5FF78DCB"/>
    <w:rsid w:val="62D87F2E"/>
    <w:rsid w:val="62F90F44"/>
    <w:rsid w:val="65FCDA24"/>
    <w:rsid w:val="6CFE0C44"/>
    <w:rsid w:val="6D7BF8CF"/>
    <w:rsid w:val="713C7FF8"/>
    <w:rsid w:val="72FB2A67"/>
    <w:rsid w:val="736FDE59"/>
    <w:rsid w:val="79FB8F86"/>
    <w:rsid w:val="7BBF0FC0"/>
    <w:rsid w:val="7DC2124A"/>
    <w:rsid w:val="7EFB4427"/>
    <w:rsid w:val="7EFB73CF"/>
    <w:rsid w:val="7F2EC376"/>
    <w:rsid w:val="7F96BCD5"/>
    <w:rsid w:val="B26F95B9"/>
    <w:rsid w:val="BBEFE620"/>
    <w:rsid w:val="BFE410C1"/>
    <w:rsid w:val="BFEF85E2"/>
    <w:rsid w:val="CFF150AB"/>
    <w:rsid w:val="D7EAAAF8"/>
    <w:rsid w:val="D7FF6C78"/>
    <w:rsid w:val="DBF78A6B"/>
    <w:rsid w:val="DEF5F149"/>
    <w:rsid w:val="DFF7F07C"/>
    <w:rsid w:val="EEFF8478"/>
    <w:rsid w:val="F357EC00"/>
    <w:rsid w:val="F3F7DD98"/>
    <w:rsid w:val="F5556115"/>
    <w:rsid w:val="F67553C3"/>
    <w:rsid w:val="F6EFD64E"/>
    <w:rsid w:val="F7F7DD54"/>
    <w:rsid w:val="F7FF298A"/>
    <w:rsid w:val="FBF599E5"/>
    <w:rsid w:val="FEFFBD2D"/>
    <w:rsid w:val="FF653FB9"/>
    <w:rsid w:val="FFBCBE1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Autospacing="0" w:afterAutospacing="0" w:line="360" w:lineRule="auto"/>
      <w:ind w:firstLine="0" w:firstLineChars="0"/>
      <w:outlineLvl w:val="0"/>
    </w:pPr>
    <w:rPr>
      <w:rFonts w:ascii="Times New Roman" w:hAnsi="Times New Roman" w:eastAsia="宋体" w:cs="Times New Roman"/>
      <w:b/>
      <w:bCs/>
      <w:color w:val="000000"/>
      <w:kern w:val="44"/>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kern w:val="0"/>
      <w:sz w:val="20"/>
      <w:szCs w:val="20"/>
      <w:lang w:val="en-US" w:eastAsia="zh-CN" w:bidi="ar"/>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customStyle="1" w:styleId="10">
    <w:name w:val="页眉 Char"/>
    <w:basedOn w:val="8"/>
    <w:link w:val="4"/>
    <w:qFormat/>
    <w:uiPriority w:val="0"/>
    <w:rPr>
      <w:kern w:val="2"/>
      <w:sz w:val="18"/>
      <w:szCs w:val="18"/>
    </w:rPr>
  </w:style>
  <w:style w:type="character" w:customStyle="1" w:styleId="11">
    <w:name w:val="页脚 Char"/>
    <w:basedOn w:val="8"/>
    <w:link w:val="3"/>
    <w:qFormat/>
    <w:uiPriority w:val="0"/>
    <w:rPr>
      <w:kern w:val="2"/>
      <w:sz w:val="18"/>
      <w:szCs w:val="18"/>
    </w:rPr>
  </w:style>
  <w:style w:type="paragraph" w:customStyle="1" w:styleId="12">
    <w:name w:val="Default"/>
    <w:basedOn w:val="13"/>
    <w:unhideWhenUsed/>
    <w:qFormat/>
    <w:uiPriority w:val="99"/>
    <w:pPr>
      <w:widowControl w:val="0"/>
      <w:autoSpaceDE w:val="0"/>
      <w:autoSpaceDN w:val="0"/>
      <w:adjustRightInd w:val="0"/>
    </w:pPr>
    <w:rPr>
      <w:rFonts w:hint="eastAsia" w:eastAsia="Times New Roman"/>
      <w:color w:val="000000"/>
      <w:sz w:val="24"/>
      <w:szCs w:val="22"/>
      <w:lang w:val="en-US" w:eastAsia="zh-CN" w:bidi="ar-SA"/>
    </w:rPr>
  </w:style>
  <w:style w:type="paragraph" w:customStyle="1" w:styleId="13">
    <w:name w:val="纯文本1"/>
    <w:basedOn w:val="1"/>
    <w:qFormat/>
    <w:uiPriority w:val="0"/>
    <w:rPr>
      <w:rFonts w:hint="eastAsia" w:ascii="宋体" w:hAnsi="Courier New"/>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257</Words>
  <Characters>1466</Characters>
  <Lines>12</Lines>
  <Paragraphs>3</Paragraphs>
  <TotalTime>331</TotalTime>
  <ScaleCrop>false</ScaleCrop>
  <LinksUpToDate>false</LinksUpToDate>
  <CharactersWithSpaces>1720</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2022-10-31T08:30:00Z</dcterms:created>
  <dc:creator>HYT</dc:creator>
  <cp:lastModifiedBy>kylin</cp:lastModifiedBy>
  <cp:lastPrinted>2025-07-24T19:24:00Z</cp:lastPrinted>
  <dcterms:modified xsi:type="dcterms:W3CDTF">2025-07-29T09:26:53Z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82A10C1610CDD9A53EAC21681AE21230_42</vt:lpwstr>
  </property>
</Properties>
</file>