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6111CA">
      <w:pPr>
        <w:spacing w:line="800" w:lineRule="exact"/>
        <w:rPr>
          <w:rFonts w:hint="eastAsia" w:ascii="仿宋_GB2312" w:hAnsi="宋体" w:eastAsia="仿宋_GB2312"/>
          <w:sz w:val="32"/>
          <w:szCs w:val="32"/>
        </w:rPr>
      </w:pPr>
    </w:p>
    <w:p w14:paraId="2317927D">
      <w:pPr>
        <w:ind w:firstLine="5280" w:firstLineChars="1650"/>
        <w:rPr>
          <w:rFonts w:hint="default" w:ascii="Times New Roman" w:hAnsi="Times New Roman" w:eastAsia="仿宋_GB2312" w:cs="Times New Roman"/>
          <w:color w:val="auto"/>
          <w:sz w:val="32"/>
          <w:szCs w:val="32"/>
        </w:rPr>
      </w:pPr>
    </w:p>
    <w:p w14:paraId="0C5C052E">
      <w:pPr>
        <w:jc w:val="right"/>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蒸环评函</w:t>
      </w:r>
      <w:r>
        <w:rPr>
          <w:rFonts w:hint="eastAsia" w:ascii="仿宋_GB2312" w:hAnsi="仿宋_GB2312" w:eastAsia="仿宋_GB2312" w:cs="仿宋_GB2312"/>
          <w:color w:val="auto"/>
          <w:sz w:val="32"/>
          <w:szCs w:val="32"/>
        </w:rPr>
        <w:t>〔</w:t>
      </w:r>
      <w:r>
        <w:rPr>
          <w:rFonts w:hint="default" w:ascii="Times New Roman" w:hAnsi="Times New Roman" w:eastAsia="仿宋_GB2312" w:cs="Times New Roman"/>
          <w:color w:val="auto"/>
          <w:sz w:val="32"/>
          <w:szCs w:val="32"/>
        </w:rPr>
        <w:t>202</w:t>
      </w:r>
      <w:r>
        <w:rPr>
          <w:rFonts w:hint="default" w:ascii="Times New Roman" w:hAnsi="Times New Roman" w:eastAsia="仿宋_GB2312" w:cs="Times New Roman"/>
          <w:color w:val="auto"/>
          <w:sz w:val="32"/>
          <w:szCs w:val="32"/>
          <w:lang w:val="en-US" w:eastAsia="zh-CN"/>
        </w:rPr>
        <w:t>5</w:t>
      </w:r>
      <w:r>
        <w:rPr>
          <w:rFonts w:hint="eastAsia" w:ascii="仿宋_GB2312" w:hAnsi="仿宋_GB2312" w:eastAsia="仿宋_GB2312" w:cs="仿宋_GB2312"/>
          <w:color w:val="auto"/>
          <w:sz w:val="32"/>
          <w:szCs w:val="32"/>
          <w:lang w:val="en-US" w:eastAsia="zh-CN"/>
        </w:rPr>
        <w:t>〕</w:t>
      </w:r>
      <w:r>
        <w:rPr>
          <w:rFonts w:hint="default" w:ascii="Times New Roman" w:hAnsi="Times New Roman" w:eastAsia="仿宋_GB2312" w:cs="Times New Roman"/>
          <w:color w:val="auto"/>
          <w:sz w:val="32"/>
          <w:szCs w:val="32"/>
          <w:lang w:val="en-US" w:eastAsia="zh-CN"/>
        </w:rPr>
        <w:t>1</w:t>
      </w:r>
      <w:r>
        <w:rPr>
          <w:rFonts w:hint="eastAsia"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号</w:t>
      </w:r>
    </w:p>
    <w:p w14:paraId="529691F3">
      <w:pPr>
        <w:spacing w:line="280" w:lineRule="exact"/>
        <w:ind w:firstLine="5280" w:firstLineChars="1650"/>
        <w:rPr>
          <w:rFonts w:hint="eastAsia" w:ascii="仿宋_GB2312" w:hAnsi="宋体" w:eastAsia="仿宋_GB2312"/>
          <w:color w:val="auto"/>
          <w:sz w:val="44"/>
          <w:szCs w:val="44"/>
        </w:rPr>
      </w:pPr>
      <w:r>
        <w:rPr>
          <w:rFonts w:hint="eastAsia" w:ascii="仿宋_GB2312" w:hAnsi="宋体" w:eastAsia="仿宋_GB2312"/>
          <w:color w:val="auto"/>
          <w:sz w:val="32"/>
          <w:szCs w:val="32"/>
        </w:rPr>
        <w:t xml:space="preserve">  </w:t>
      </w:r>
    </w:p>
    <w:p w14:paraId="35B61ADC">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bCs w:val="0"/>
          <w:color w:val="auto"/>
          <w:sz w:val="36"/>
          <w:szCs w:val="36"/>
        </w:rPr>
      </w:pPr>
      <w:r>
        <w:rPr>
          <w:rFonts w:hint="eastAsia" w:ascii="方正小标宋简体" w:hAnsi="方正小标宋简体" w:eastAsia="方正小标宋简体" w:cs="方正小标宋简体"/>
          <w:b/>
          <w:bCs w:val="0"/>
          <w:color w:val="auto"/>
          <w:sz w:val="36"/>
          <w:szCs w:val="36"/>
        </w:rPr>
        <w:t>衡阳市生态环境局</w:t>
      </w:r>
    </w:p>
    <w:p w14:paraId="2697C37D">
      <w:pPr>
        <w:spacing w:line="660" w:lineRule="exact"/>
        <w:jc w:val="center"/>
        <w:rPr>
          <w:rFonts w:ascii="方正小标宋简体" w:hAnsi="宋体" w:eastAsia="方正小标宋简体"/>
          <w:b/>
          <w:bCs w:val="0"/>
          <w:sz w:val="36"/>
          <w:szCs w:val="36"/>
        </w:rPr>
      </w:pPr>
      <w:r>
        <w:rPr>
          <w:rFonts w:hint="eastAsia" w:ascii="方正小标宋简体" w:hAnsi="宋体" w:eastAsia="方正小标宋简体"/>
          <w:b/>
          <w:bCs w:val="0"/>
          <w:sz w:val="36"/>
          <w:szCs w:val="36"/>
        </w:rPr>
        <w:t>关于</w:t>
      </w:r>
      <w:r>
        <w:rPr>
          <w:rFonts w:hint="eastAsia" w:ascii="方正小标宋简体" w:hAnsi="宋体" w:eastAsia="方正小标宋简体"/>
          <w:b/>
          <w:bCs w:val="0"/>
          <w:sz w:val="36"/>
          <w:szCs w:val="36"/>
          <w:lang w:val="en-US" w:eastAsia="zh-CN"/>
        </w:rPr>
        <w:t>衡阳明意湖新材料科技有限公司年产6000万片手机钢化膜建设项目</w:t>
      </w:r>
      <w:r>
        <w:rPr>
          <w:rFonts w:hint="eastAsia" w:ascii="方正小标宋简体" w:hAnsi="宋体" w:eastAsia="方正小标宋简体"/>
          <w:b/>
          <w:bCs w:val="0"/>
          <w:sz w:val="36"/>
          <w:szCs w:val="36"/>
        </w:rPr>
        <w:t>环境影响报告表的批复</w:t>
      </w:r>
    </w:p>
    <w:p w14:paraId="5357FD5A">
      <w:pPr>
        <w:spacing w:line="360" w:lineRule="auto"/>
        <w:rPr>
          <w:rFonts w:hint="eastAsia"/>
          <w:color w:val="1E40D2"/>
          <w:sz w:val="24"/>
        </w:rPr>
      </w:pPr>
    </w:p>
    <w:p w14:paraId="79A38695">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lang w:val="en-US" w:eastAsia="zh-CN"/>
        </w:rPr>
        <w:t>衡阳明意湖新材料科技有限公司</w:t>
      </w:r>
      <w:r>
        <w:rPr>
          <w:rFonts w:hint="eastAsia" w:ascii="仿宋_GB2312" w:hAnsi="仿宋_GB2312" w:eastAsia="仿宋_GB2312" w:cs="仿宋_GB2312"/>
          <w:color w:val="auto"/>
          <w:sz w:val="32"/>
          <w:szCs w:val="32"/>
        </w:rPr>
        <w:t>：</w:t>
      </w:r>
    </w:p>
    <w:p w14:paraId="17CF4515">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你公司《</w:t>
      </w:r>
      <w:r>
        <w:rPr>
          <w:rFonts w:hint="eastAsia" w:ascii="仿宋_GB2312" w:hAnsi="仿宋_GB2312" w:eastAsia="仿宋_GB2312" w:cs="仿宋_GB2312"/>
          <w:color w:val="auto"/>
          <w:sz w:val="32"/>
          <w:szCs w:val="32"/>
          <w:lang w:eastAsia="zh-CN"/>
        </w:rPr>
        <w:t>关于对</w:t>
      </w:r>
      <w:r>
        <w:rPr>
          <w:rFonts w:hint="eastAsia" w:ascii="仿宋_GB2312" w:hAnsi="仿宋_GB2312" w:eastAsia="仿宋_GB2312" w:cs="仿宋_GB2312"/>
          <w:color w:val="auto"/>
          <w:sz w:val="32"/>
          <w:szCs w:val="32"/>
          <w:u w:val="none"/>
          <w:lang w:val="en-US" w:eastAsia="zh-CN"/>
        </w:rPr>
        <w:t>衡阳明意湖新材料科技有限公司年产6000万片手机钢化膜建设项目</w:t>
      </w:r>
      <w:r>
        <w:rPr>
          <w:rFonts w:hint="eastAsia" w:ascii="仿宋_GB2312" w:hAnsi="仿宋_GB2312" w:eastAsia="仿宋_GB2312" w:cs="仿宋_GB2312"/>
          <w:color w:val="auto"/>
          <w:sz w:val="32"/>
          <w:szCs w:val="32"/>
        </w:rPr>
        <w:t>进行批复的请示》和湖南</w:t>
      </w:r>
      <w:r>
        <w:rPr>
          <w:rFonts w:hint="eastAsia" w:ascii="仿宋_GB2312" w:hAnsi="仿宋_GB2312" w:eastAsia="仿宋_GB2312" w:cs="仿宋_GB2312"/>
          <w:color w:val="auto"/>
          <w:sz w:val="32"/>
          <w:szCs w:val="32"/>
          <w:lang w:eastAsia="zh-CN"/>
        </w:rPr>
        <w:t>绿宏</w:t>
      </w:r>
      <w:r>
        <w:rPr>
          <w:rFonts w:hint="eastAsia" w:ascii="仿宋_GB2312" w:hAnsi="仿宋_GB2312" w:eastAsia="仿宋_GB2312" w:cs="仿宋_GB2312"/>
          <w:color w:val="auto"/>
          <w:sz w:val="32"/>
          <w:szCs w:val="32"/>
        </w:rPr>
        <w:t>环保科技有限公司编制的《</w:t>
      </w:r>
      <w:r>
        <w:rPr>
          <w:rFonts w:hint="eastAsia" w:ascii="仿宋_GB2312" w:hAnsi="仿宋_GB2312" w:eastAsia="仿宋_GB2312" w:cs="仿宋_GB2312"/>
          <w:color w:val="auto"/>
          <w:sz w:val="32"/>
          <w:szCs w:val="32"/>
          <w:u w:val="none"/>
          <w:lang w:val="en-US" w:eastAsia="zh-CN"/>
        </w:rPr>
        <w:t>衡阳明意湖新材料科技有限公司年产6000万片手机钢化膜建设项目</w:t>
      </w:r>
      <w:r>
        <w:rPr>
          <w:rFonts w:hint="eastAsia" w:ascii="仿宋_GB2312" w:hAnsi="仿宋_GB2312" w:eastAsia="仿宋_GB2312" w:cs="仿宋_GB2312"/>
          <w:color w:val="auto"/>
          <w:sz w:val="32"/>
          <w:szCs w:val="32"/>
        </w:rPr>
        <w:t>环境影响报告表》及专家组评审意见均收悉，经研究，批复如下：</w:t>
      </w:r>
    </w:p>
    <w:p w14:paraId="46EAFCC1">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u w:val="none"/>
        </w:rPr>
        <w:t>一、</w:t>
      </w:r>
      <w:r>
        <w:rPr>
          <w:rFonts w:hint="eastAsia" w:ascii="仿宋_GB2312" w:hAnsi="仿宋_GB2312" w:eastAsia="仿宋_GB2312" w:cs="仿宋_GB2312"/>
          <w:color w:val="auto"/>
          <w:sz w:val="32"/>
          <w:szCs w:val="32"/>
          <w:u w:val="none"/>
          <w:lang w:val="en-US" w:eastAsia="zh-CN"/>
        </w:rPr>
        <w:t>衡阳明意湖新材料科技有限公司</w:t>
      </w:r>
      <w:r>
        <w:rPr>
          <w:rFonts w:hint="eastAsia" w:ascii="仿宋_GB2312" w:hAnsi="仿宋_GB2312" w:eastAsia="仿宋_GB2312" w:cs="仿宋_GB2312"/>
          <w:color w:val="auto"/>
          <w:sz w:val="32"/>
          <w:szCs w:val="32"/>
          <w:u w:val="none"/>
          <w:lang w:eastAsia="zh-CN"/>
        </w:rPr>
        <w:t>拟</w:t>
      </w:r>
      <w:r>
        <w:rPr>
          <w:rFonts w:hint="eastAsia" w:ascii="仿宋_GB2312" w:hAnsi="仿宋_GB2312" w:eastAsia="仿宋_GB2312" w:cs="仿宋_GB2312"/>
          <w:color w:val="auto"/>
          <w:sz w:val="32"/>
          <w:szCs w:val="32"/>
          <w:u w:val="none"/>
        </w:rPr>
        <w:t>投资</w:t>
      </w:r>
      <w:r>
        <w:rPr>
          <w:rFonts w:hint="eastAsia" w:ascii="仿宋_GB2312" w:hAnsi="仿宋_GB2312" w:eastAsia="仿宋_GB2312" w:cs="仿宋_GB2312"/>
          <w:color w:val="auto"/>
          <w:sz w:val="32"/>
          <w:szCs w:val="32"/>
          <w:u w:val="none"/>
          <w:lang w:val="en-US" w:eastAsia="zh-CN"/>
        </w:rPr>
        <w:t>500</w:t>
      </w:r>
      <w:r>
        <w:rPr>
          <w:rFonts w:hint="eastAsia" w:ascii="仿宋_GB2312" w:hAnsi="仿宋_GB2312" w:eastAsia="仿宋_GB2312" w:cs="仿宋_GB2312"/>
          <w:color w:val="auto"/>
          <w:sz w:val="32"/>
          <w:szCs w:val="32"/>
          <w:u w:val="none"/>
        </w:rPr>
        <w:t>00万元</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kern w:val="0"/>
          <w:sz w:val="32"/>
          <w:szCs w:val="32"/>
          <w:lang w:val="en-US" w:eastAsia="zh-CN" w:bidi="ar"/>
        </w:rPr>
        <w:t>租用衡阳市</w:t>
      </w:r>
      <w:r>
        <w:rPr>
          <w:rFonts w:hint="eastAsia" w:ascii="仿宋_GB2312" w:hAnsi="仿宋_GB2312" w:eastAsia="仿宋_GB2312" w:cs="仿宋_GB2312"/>
          <w:color w:val="auto"/>
          <w:sz w:val="32"/>
          <w:szCs w:val="32"/>
          <w:u w:val="none"/>
          <w:lang w:val="en-US" w:eastAsia="zh-CN"/>
        </w:rPr>
        <w:t>衡阳县西渡镇船山时间谷钟表产业园B区4、9栋厂房</w:t>
      </w:r>
      <w:r>
        <w:rPr>
          <w:rFonts w:hint="eastAsia" w:ascii="仿宋_GB2312" w:hAnsi="仿宋_GB2312" w:eastAsia="仿宋_GB2312" w:cs="仿宋_GB2312"/>
          <w:color w:val="auto"/>
          <w:kern w:val="0"/>
          <w:sz w:val="32"/>
          <w:szCs w:val="32"/>
          <w:lang w:val="en-US" w:eastAsia="zh-CN" w:bidi="ar"/>
        </w:rPr>
        <w:t>(占地面积3042.86m</w:t>
      </w:r>
      <w:r>
        <w:rPr>
          <w:rFonts w:hint="eastAsia" w:ascii="仿宋_GB2312" w:hAnsi="仿宋_GB2312" w:eastAsia="仿宋_GB2312" w:cs="仿宋_GB2312"/>
          <w:color w:val="auto"/>
          <w:kern w:val="0"/>
          <w:sz w:val="32"/>
          <w:szCs w:val="32"/>
          <w:vertAlign w:val="superscript"/>
          <w:lang w:val="en-US" w:eastAsia="zh-CN" w:bidi="ar"/>
        </w:rPr>
        <w:t>2</w:t>
      </w:r>
      <w:r>
        <w:rPr>
          <w:rFonts w:hint="eastAsia" w:ascii="仿宋_GB2312" w:hAnsi="仿宋_GB2312" w:eastAsia="仿宋_GB2312" w:cs="仿宋_GB2312"/>
          <w:color w:val="auto"/>
          <w:kern w:val="0"/>
          <w:sz w:val="32"/>
          <w:szCs w:val="32"/>
          <w:lang w:val="en-US" w:eastAsia="zh-CN" w:bidi="ar"/>
        </w:rPr>
        <w:t>，建筑面积12171.46m</w:t>
      </w:r>
      <w:r>
        <w:rPr>
          <w:rFonts w:hint="eastAsia" w:ascii="仿宋_GB2312" w:hAnsi="仿宋_GB2312" w:eastAsia="仿宋_GB2312" w:cs="仿宋_GB2312"/>
          <w:color w:val="auto"/>
          <w:kern w:val="0"/>
          <w:sz w:val="32"/>
          <w:szCs w:val="32"/>
          <w:vertAlign w:val="superscript"/>
          <w:lang w:val="en-US" w:eastAsia="zh-CN" w:bidi="ar"/>
        </w:rPr>
        <w:t>2</w:t>
      </w:r>
      <w:r>
        <w:rPr>
          <w:rFonts w:hint="eastAsia" w:ascii="仿宋_GB2312" w:hAnsi="仿宋_GB2312" w:eastAsia="仿宋_GB2312" w:cs="仿宋_GB2312"/>
          <w:color w:val="auto"/>
          <w:kern w:val="0"/>
          <w:sz w:val="32"/>
          <w:szCs w:val="32"/>
          <w:lang w:val="en-US" w:eastAsia="zh-CN" w:bidi="ar"/>
        </w:rPr>
        <w:t>)进行改造，设置仓库、开料区、精雕区、扫光区、贴合车间、丝印车间、清洗房、钢化房、包装车间、检测车间等，建筑面积12171.46m</w:t>
      </w:r>
      <w:r>
        <w:rPr>
          <w:rFonts w:hint="eastAsia" w:ascii="仿宋_GB2312" w:hAnsi="仿宋_GB2312" w:eastAsia="仿宋_GB2312" w:cs="仿宋_GB2312"/>
          <w:color w:val="auto"/>
          <w:kern w:val="0"/>
          <w:sz w:val="32"/>
          <w:szCs w:val="32"/>
          <w:vertAlign w:val="superscript"/>
          <w:lang w:val="en-US" w:eastAsia="zh-CN" w:bidi="ar"/>
        </w:rPr>
        <w:t>2</w:t>
      </w:r>
      <w:r>
        <w:rPr>
          <w:rFonts w:hint="eastAsia" w:ascii="仿宋_GB2312" w:hAnsi="仿宋_GB2312" w:eastAsia="仿宋_GB2312" w:cs="仿宋_GB2312"/>
          <w:color w:val="auto"/>
          <w:kern w:val="0"/>
          <w:sz w:val="32"/>
          <w:szCs w:val="32"/>
          <w:lang w:val="en-US" w:eastAsia="zh-CN" w:bidi="ar"/>
        </w:rPr>
        <w:t>。项目建成后年产6000万片手机钢化膜。</w:t>
      </w:r>
      <w:r>
        <w:rPr>
          <w:rFonts w:hint="eastAsia" w:ascii="仿宋_GB2312" w:hAnsi="仿宋_GB2312" w:eastAsia="仿宋_GB2312" w:cs="仿宋_GB2312"/>
          <w:color w:val="auto"/>
          <w:sz w:val="32"/>
          <w:szCs w:val="32"/>
          <w:u w:val="none"/>
        </w:rPr>
        <w:t>本项目符合国家产业政策，根据湖南</w:t>
      </w:r>
      <w:r>
        <w:rPr>
          <w:rFonts w:hint="eastAsia" w:ascii="仿宋_GB2312" w:hAnsi="仿宋_GB2312" w:eastAsia="仿宋_GB2312" w:cs="仿宋_GB2312"/>
          <w:color w:val="auto"/>
          <w:sz w:val="32"/>
          <w:szCs w:val="32"/>
          <w:u w:val="none"/>
          <w:lang w:eastAsia="zh-CN"/>
        </w:rPr>
        <w:t>绿宏</w:t>
      </w:r>
      <w:r>
        <w:rPr>
          <w:rFonts w:hint="eastAsia" w:ascii="仿宋_GB2312" w:hAnsi="仿宋_GB2312" w:eastAsia="仿宋_GB2312" w:cs="仿宋_GB2312"/>
          <w:color w:val="auto"/>
          <w:sz w:val="32"/>
          <w:szCs w:val="32"/>
          <w:u w:val="none"/>
        </w:rPr>
        <w:t>环保科技有限公司所编制的环境影响报告表</w:t>
      </w:r>
      <w:r>
        <w:rPr>
          <w:rFonts w:hint="eastAsia" w:ascii="仿宋_GB2312" w:hAnsi="仿宋_GB2312" w:eastAsia="仿宋_GB2312" w:cs="仿宋_GB2312"/>
          <w:color w:val="auto"/>
          <w:sz w:val="32"/>
          <w:szCs w:val="32"/>
        </w:rPr>
        <w:t>的分析结论和专家组评审意见，在建设单位严格执行环保“三同时”制度，切实落实报告表中提出的各项污染防治措施，确保各类污染物达标排放的情况下，从环保的角度分析，同意该项目建设。本《报告表》可作为项目建设和环境管理的依据</w:t>
      </w:r>
      <w:r>
        <w:rPr>
          <w:rFonts w:hint="eastAsia" w:ascii="仿宋_GB2312" w:hAnsi="仿宋_GB2312" w:eastAsia="仿宋_GB2312" w:cs="仿宋_GB2312"/>
          <w:color w:val="auto"/>
          <w:sz w:val="32"/>
          <w:szCs w:val="32"/>
          <w:lang w:eastAsia="zh-CN"/>
        </w:rPr>
        <w:t>。</w:t>
      </w:r>
    </w:p>
    <w:p w14:paraId="4411AC3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二、项目在建设和管理过程中必须按照环保“三同时”制度的要求，落实污染防治措施，并在工程建设和环境管理中着重注意以下问题:</w:t>
      </w:r>
    </w:p>
    <w:p w14:paraId="191491ED">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（一）加强废水的污染防治。</w:t>
      </w:r>
      <w:r>
        <w:rPr>
          <w:rFonts w:hint="eastAsia" w:ascii="仿宋_GB2312" w:hAnsi="仿宋_GB2312" w:eastAsia="仿宋_GB2312" w:cs="仿宋_GB2312"/>
          <w:b w:val="0"/>
          <w:bCs w:val="0"/>
          <w:sz w:val="32"/>
          <w:szCs w:val="32"/>
          <w:u w:val="none"/>
          <w:lang w:val="en-US" w:eastAsia="zh-CN"/>
        </w:rPr>
        <w:t>纯水制备废水和经</w:t>
      </w:r>
      <w:r>
        <w:rPr>
          <w:rFonts w:hint="eastAsia" w:ascii="仿宋_GB2312" w:hAnsi="仿宋_GB2312" w:eastAsia="仿宋_GB2312" w:cs="仿宋_GB2312"/>
          <w:i w:val="0"/>
          <w:iCs w:val="0"/>
          <w:caps w:val="0"/>
          <w:color w:val="333333"/>
          <w:spacing w:val="0"/>
          <w:sz w:val="32"/>
          <w:szCs w:val="32"/>
          <w:shd w:val="clear" w:fill="FFFFFF"/>
          <w:lang w:val="en-US" w:eastAsia="zh-CN"/>
        </w:rPr>
        <w:t>混凝沉淀</w:t>
      </w:r>
      <w:r>
        <w:rPr>
          <w:rFonts w:hint="eastAsia" w:ascii="仿宋_GB2312" w:hAnsi="仿宋_GB2312" w:eastAsia="仿宋_GB2312" w:cs="仿宋_GB2312"/>
          <w:b w:val="0"/>
          <w:bCs w:val="0"/>
          <w:color w:val="auto"/>
          <w:sz w:val="32"/>
          <w:szCs w:val="32"/>
          <w:u w:val="none"/>
          <w:lang w:val="en-US" w:eastAsia="zh-CN"/>
        </w:rPr>
        <w:t>处理达标</w:t>
      </w:r>
      <w:r>
        <w:rPr>
          <w:rFonts w:hint="eastAsia" w:ascii="仿宋_GB2312" w:hAnsi="仿宋_GB2312" w:eastAsia="仿宋_GB2312" w:cs="仿宋_GB2312"/>
          <w:i w:val="0"/>
          <w:iCs w:val="0"/>
          <w:caps w:val="0"/>
          <w:color w:val="333333"/>
          <w:spacing w:val="0"/>
          <w:sz w:val="32"/>
          <w:szCs w:val="32"/>
          <w:shd w:val="clear" w:fill="FFFFFF"/>
          <w:lang w:val="en-US" w:eastAsia="zh-CN"/>
        </w:rPr>
        <w:t>后的</w:t>
      </w:r>
      <w:r>
        <w:rPr>
          <w:rFonts w:hint="eastAsia" w:ascii="仿宋_GB2312" w:hAnsi="仿宋_GB2312" w:eastAsia="仿宋_GB2312" w:cs="仿宋_GB2312"/>
          <w:b w:val="0"/>
          <w:bCs w:val="0"/>
          <w:sz w:val="32"/>
          <w:szCs w:val="32"/>
          <w:u w:val="none"/>
          <w:lang w:val="en-US" w:eastAsia="zh-CN"/>
        </w:rPr>
        <w:t>清洗废水经</w:t>
      </w:r>
      <w:r>
        <w:rPr>
          <w:rFonts w:hint="eastAsia" w:ascii="仿宋_GB2312" w:hAnsi="仿宋_GB2312" w:eastAsia="仿宋_GB2312" w:cs="仿宋_GB2312"/>
          <w:b w:val="0"/>
          <w:bCs w:val="0"/>
          <w:color w:val="auto"/>
          <w:sz w:val="32"/>
          <w:szCs w:val="32"/>
          <w:u w:val="none"/>
          <w:lang w:val="en-US" w:eastAsia="zh-CN"/>
        </w:rPr>
        <w:t>市政管网排入</w:t>
      </w:r>
      <w:r>
        <w:rPr>
          <w:rFonts w:hint="eastAsia" w:ascii="仿宋_GB2312" w:hAnsi="仿宋_GB2312" w:eastAsia="仿宋_GB2312" w:cs="仿宋_GB2312"/>
          <w:color w:val="auto"/>
          <w:sz w:val="32"/>
          <w:szCs w:val="32"/>
          <w:vertAlign w:val="baseline"/>
          <w:lang w:val="en-US" w:eastAsia="zh-CN"/>
        </w:rPr>
        <w:t>衡阳西渡高新区污水处理厂处理达标后排至蒸水；生活污水经化粪池处理后排入衡阳西渡高新区污水处理厂处理达标后排至蒸水。</w:t>
      </w:r>
    </w:p>
    <w:p w14:paraId="1F33E4C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color w:val="000000"/>
          <w:sz w:val="32"/>
          <w:szCs w:val="32"/>
          <w:lang w:val="en-US"/>
        </w:rPr>
      </w:pPr>
      <w:r>
        <w:rPr>
          <w:rFonts w:hint="eastAsia" w:ascii="仿宋_GB2312" w:hAnsi="仿宋_GB2312" w:eastAsia="仿宋_GB2312" w:cs="仿宋_GB2312"/>
          <w:b w:val="0"/>
          <w:bCs/>
          <w:color w:val="000000"/>
          <w:sz w:val="32"/>
          <w:szCs w:val="32"/>
        </w:rPr>
        <w:t>（二）加强废气的污染防治。</w:t>
      </w:r>
      <w:r>
        <w:rPr>
          <w:rFonts w:hint="eastAsia" w:ascii="仿宋_GB2312" w:hAnsi="仿宋_GB2312" w:eastAsia="仿宋_GB2312" w:cs="仿宋_GB2312"/>
          <w:b w:val="0"/>
          <w:bCs/>
          <w:color w:val="000000"/>
          <w:sz w:val="32"/>
          <w:szCs w:val="32"/>
          <w:lang w:eastAsia="zh-CN"/>
        </w:rPr>
        <w:t>加强车间通风，在</w:t>
      </w:r>
      <w:r>
        <w:rPr>
          <w:rFonts w:hint="eastAsia" w:ascii="仿宋_GB2312" w:hAnsi="仿宋_GB2312" w:eastAsia="仿宋_GB2312" w:cs="仿宋_GB2312"/>
          <w:sz w:val="32"/>
          <w:szCs w:val="32"/>
          <w:lang w:val="en-US" w:eastAsia="zh-CN"/>
        </w:rPr>
        <w:t>密闭式丝印车间进行调墨、网版擦洗、丝印等工序产生的废气经密闭负压收集后通过15米高排气筒达标排放。</w:t>
      </w:r>
    </w:p>
    <w:p w14:paraId="7D11424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color w:val="000000"/>
          <w:sz w:val="32"/>
          <w:szCs w:val="32"/>
          <w:lang w:eastAsia="zh-CN"/>
        </w:rPr>
      </w:pPr>
      <w:r>
        <w:rPr>
          <w:rFonts w:hint="eastAsia" w:ascii="仿宋_GB2312" w:hAnsi="仿宋_GB2312" w:eastAsia="仿宋_GB2312" w:cs="仿宋_GB2312"/>
          <w:b w:val="0"/>
          <w:bCs/>
          <w:color w:val="000000"/>
          <w:sz w:val="32"/>
          <w:szCs w:val="32"/>
        </w:rPr>
        <w:t>（三）加强固体废物的污染防治。应按“资源化、减量化、无害化”处置原则，认真落实固废分类收集、处置和综合利用措施，确保不造成二次污染。</w:t>
      </w:r>
      <w:r>
        <w:rPr>
          <w:rFonts w:hint="eastAsia" w:ascii="仿宋_GB2312" w:hAnsi="仿宋_GB2312" w:eastAsia="仿宋_GB2312" w:cs="仿宋_GB2312"/>
          <w:color w:val="auto"/>
          <w:sz w:val="32"/>
          <w:szCs w:val="32"/>
          <w:lang w:val="zh-TW" w:eastAsia="zh-CN"/>
        </w:rPr>
        <w:t>玻璃边角料及碎屑、滤渣、废弃包装材料、废</w:t>
      </w:r>
      <w:r>
        <w:rPr>
          <w:rFonts w:hint="eastAsia" w:ascii="仿宋_GB2312" w:hAnsi="仿宋_GB2312" w:eastAsia="仿宋_GB2312" w:cs="仿宋_GB2312"/>
          <w:color w:val="auto"/>
          <w:sz w:val="32"/>
          <w:szCs w:val="32"/>
          <w:lang w:val="en-US" w:eastAsia="zh-CN"/>
        </w:rPr>
        <w:t>AB胶</w:t>
      </w:r>
      <w:r>
        <w:rPr>
          <w:rFonts w:hint="eastAsia" w:ascii="仿宋_GB2312" w:hAnsi="仿宋_GB2312" w:eastAsia="仿宋_GB2312" w:cs="仿宋_GB2312"/>
          <w:color w:val="auto"/>
          <w:sz w:val="32"/>
          <w:szCs w:val="32"/>
          <w:lang w:val="zh-TW" w:eastAsia="zh-CN"/>
        </w:rPr>
        <w:t>、</w:t>
      </w:r>
      <w:r>
        <w:rPr>
          <w:rFonts w:hint="eastAsia" w:ascii="仿宋_GB2312" w:hAnsi="仿宋_GB2312" w:eastAsia="仿宋_GB2312" w:cs="仿宋_GB2312"/>
          <w:color w:val="auto"/>
          <w:sz w:val="32"/>
          <w:szCs w:val="32"/>
          <w:lang w:val="en-US" w:eastAsia="zh-CN"/>
        </w:rPr>
        <w:t>废底板等一般固废收集后外售；</w:t>
      </w:r>
      <w:r>
        <w:rPr>
          <w:rFonts w:hint="eastAsia" w:ascii="仿宋_GB2312" w:hAnsi="仿宋_GB2312" w:eastAsia="仿宋_GB2312" w:cs="仿宋_GB2312"/>
          <w:color w:val="auto"/>
          <w:sz w:val="32"/>
          <w:szCs w:val="32"/>
          <w:lang w:val="zh-TW" w:eastAsia="zh-CN"/>
        </w:rPr>
        <w:t>纯水制备废过滤介质(</w:t>
      </w:r>
      <w:r>
        <w:rPr>
          <w:rFonts w:hint="eastAsia" w:ascii="仿宋_GB2312" w:hAnsi="仿宋_GB2312" w:eastAsia="仿宋_GB2312" w:cs="仿宋_GB2312"/>
          <w:color w:val="auto"/>
          <w:sz w:val="32"/>
          <w:szCs w:val="32"/>
          <w:lang w:val="en-US" w:eastAsia="zh-CN"/>
        </w:rPr>
        <w:t>废石英砂、</w:t>
      </w:r>
      <w:r>
        <w:rPr>
          <w:rFonts w:hint="eastAsia" w:ascii="仿宋_GB2312" w:hAnsi="仿宋_GB2312" w:eastAsia="仿宋_GB2312" w:cs="仿宋_GB2312"/>
          <w:color w:val="auto"/>
          <w:sz w:val="32"/>
          <w:szCs w:val="32"/>
          <w:lang w:val="zh-TW" w:eastAsia="zh-CN"/>
        </w:rPr>
        <w:t>废活性炭、废</w:t>
      </w:r>
      <w:r>
        <w:rPr>
          <w:rFonts w:hint="eastAsia" w:ascii="仿宋_GB2312" w:hAnsi="仿宋_GB2312" w:eastAsia="仿宋_GB2312" w:cs="仿宋_GB2312"/>
          <w:color w:val="auto"/>
          <w:sz w:val="32"/>
          <w:szCs w:val="32"/>
          <w:lang w:val="en-US" w:eastAsia="zh-CN"/>
        </w:rPr>
        <w:t>反渗透膜</w:t>
      </w:r>
      <w:r>
        <w:rPr>
          <w:rFonts w:hint="eastAsia" w:ascii="仿宋_GB2312" w:hAnsi="仿宋_GB2312" w:eastAsia="仿宋_GB2312" w:cs="仿宋_GB2312"/>
          <w:color w:val="auto"/>
          <w:sz w:val="32"/>
          <w:szCs w:val="32"/>
          <w:lang w:val="zh-TW" w:eastAsia="zh-CN"/>
        </w:rPr>
        <w:t>、废</w:t>
      </w:r>
      <w:r>
        <w:rPr>
          <w:rFonts w:hint="eastAsia" w:ascii="仿宋_GB2312" w:hAnsi="仿宋_GB2312" w:eastAsia="仿宋_GB2312" w:cs="仿宋_GB2312"/>
          <w:color w:val="auto"/>
          <w:sz w:val="32"/>
          <w:szCs w:val="32"/>
          <w:lang w:val="en-US" w:eastAsia="zh-CN"/>
        </w:rPr>
        <w:t>精密过滤器滤芯</w:t>
      </w:r>
      <w:r>
        <w:rPr>
          <w:rFonts w:hint="eastAsia" w:ascii="仿宋_GB2312" w:hAnsi="仿宋_GB2312" w:eastAsia="仿宋_GB2312" w:cs="仿宋_GB2312"/>
          <w:color w:val="auto"/>
          <w:sz w:val="32"/>
          <w:szCs w:val="32"/>
          <w:lang w:val="zh-TW" w:eastAsia="zh-CN"/>
        </w:rPr>
        <w:t>、废</w:t>
      </w:r>
      <w:r>
        <w:rPr>
          <w:rFonts w:hint="eastAsia" w:ascii="仿宋_GB2312" w:hAnsi="仿宋_GB2312" w:eastAsia="仿宋_GB2312" w:cs="仿宋_GB2312"/>
          <w:color w:val="auto"/>
          <w:sz w:val="32"/>
          <w:szCs w:val="32"/>
          <w:lang w:val="en-US" w:eastAsia="zh-CN"/>
        </w:rPr>
        <w:t>离子树脂</w:t>
      </w:r>
      <w:r>
        <w:rPr>
          <w:rFonts w:hint="eastAsia" w:ascii="仿宋_GB2312" w:hAnsi="仿宋_GB2312" w:eastAsia="仿宋_GB2312" w:cs="仿宋_GB2312"/>
          <w:color w:val="auto"/>
          <w:sz w:val="32"/>
          <w:szCs w:val="32"/>
          <w:lang w:val="zh-TW" w:eastAsia="zh-CN"/>
        </w:rPr>
        <w:t>)、</w:t>
      </w:r>
      <w:r>
        <w:rPr>
          <w:rFonts w:hint="eastAsia" w:ascii="仿宋_GB2312" w:hAnsi="仿宋_GB2312" w:eastAsia="仿宋_GB2312" w:cs="仿宋_GB2312"/>
          <w:color w:val="auto"/>
          <w:sz w:val="32"/>
          <w:szCs w:val="32"/>
          <w:lang w:val="en-US" w:eastAsia="zh-CN"/>
        </w:rPr>
        <w:t>硝酸钾废料及其包装、</w:t>
      </w:r>
      <w:r>
        <w:rPr>
          <w:rFonts w:hint="eastAsia" w:ascii="仿宋_GB2312" w:hAnsi="仿宋_GB2312" w:eastAsia="仿宋_GB2312" w:cs="仿宋_GB2312"/>
          <w:color w:val="auto"/>
          <w:kern w:val="2"/>
          <w:sz w:val="32"/>
          <w:szCs w:val="32"/>
          <w:lang w:val="en-US" w:eastAsia="zh-CN" w:bidi="ar-SA"/>
        </w:rPr>
        <w:t>废洗网水桶、</w:t>
      </w:r>
      <w:r>
        <w:rPr>
          <w:rFonts w:hint="eastAsia" w:ascii="仿宋_GB2312" w:hAnsi="仿宋_GB2312" w:eastAsia="仿宋_GB2312" w:cs="仿宋_GB2312"/>
          <w:color w:val="auto"/>
          <w:sz w:val="32"/>
          <w:szCs w:val="32"/>
          <w:lang w:val="en-US" w:eastAsia="zh-CN"/>
        </w:rPr>
        <w:t>废网版等危废收集后按相关要求做好暂存工作，并交由厂家回收利用；废切削液桶</w:t>
      </w:r>
      <w:r>
        <w:rPr>
          <w:rFonts w:hint="eastAsia" w:ascii="仿宋_GB2312" w:hAnsi="仿宋_GB2312" w:eastAsia="仿宋_GB2312" w:cs="仿宋_GB2312"/>
          <w:b w:val="0"/>
          <w:bCs/>
          <w:color w:val="000000"/>
          <w:sz w:val="32"/>
          <w:szCs w:val="32"/>
          <w:lang w:eastAsia="zh-CN"/>
        </w:rPr>
        <w:t>、</w:t>
      </w:r>
      <w:r>
        <w:rPr>
          <w:rFonts w:hint="eastAsia" w:ascii="仿宋_GB2312" w:hAnsi="仿宋_GB2312" w:eastAsia="仿宋_GB2312" w:cs="仿宋_GB2312"/>
          <w:color w:val="auto"/>
          <w:sz w:val="32"/>
          <w:szCs w:val="32"/>
          <w:lang w:val="en-US" w:eastAsia="zh-CN"/>
        </w:rPr>
        <w:t>废清洗剂桶</w:t>
      </w:r>
      <w:r>
        <w:rPr>
          <w:rFonts w:hint="eastAsia" w:ascii="仿宋_GB2312" w:hAnsi="仿宋_GB2312" w:eastAsia="仿宋_GB2312" w:cs="仿宋_GB2312"/>
          <w:b w:val="0"/>
          <w:bCs/>
          <w:color w:val="000000"/>
          <w:sz w:val="32"/>
          <w:szCs w:val="32"/>
          <w:lang w:eastAsia="zh-CN"/>
        </w:rPr>
        <w:t>、</w:t>
      </w:r>
      <w:r>
        <w:rPr>
          <w:rFonts w:hint="eastAsia" w:ascii="仿宋_GB2312" w:hAnsi="仿宋_GB2312" w:eastAsia="仿宋_GB2312" w:cs="仿宋_GB2312"/>
          <w:color w:val="auto"/>
          <w:sz w:val="32"/>
          <w:szCs w:val="32"/>
          <w:lang w:val="en-US" w:eastAsia="zh-CN"/>
        </w:rPr>
        <w:t>废抹布、废油墨桶、废AF防指纹液瓶、废空压机油、导轨油及油桶及污水处理废污泥</w:t>
      </w:r>
      <w:r>
        <w:rPr>
          <w:rFonts w:hint="eastAsia" w:ascii="仿宋_GB2312" w:hAnsi="仿宋_GB2312" w:eastAsia="仿宋_GB2312" w:cs="仿宋_GB2312"/>
          <w:b w:val="0"/>
          <w:bCs/>
          <w:color w:val="000000"/>
          <w:sz w:val="32"/>
          <w:szCs w:val="32"/>
        </w:rPr>
        <w:t>等危险废物收集后</w:t>
      </w:r>
      <w:r>
        <w:rPr>
          <w:rFonts w:hint="eastAsia" w:ascii="仿宋_GB2312" w:hAnsi="仿宋_GB2312" w:eastAsia="仿宋_GB2312" w:cs="仿宋_GB2312"/>
          <w:b w:val="0"/>
          <w:bCs/>
          <w:color w:val="000000"/>
          <w:sz w:val="32"/>
          <w:szCs w:val="32"/>
          <w:lang w:eastAsia="zh-CN"/>
        </w:rPr>
        <w:t>按相关要求</w:t>
      </w:r>
      <w:r>
        <w:rPr>
          <w:rFonts w:hint="eastAsia" w:ascii="仿宋_GB2312" w:hAnsi="仿宋_GB2312" w:eastAsia="仿宋_GB2312" w:cs="仿宋_GB2312"/>
          <w:b w:val="0"/>
          <w:bCs/>
          <w:color w:val="000000"/>
          <w:sz w:val="32"/>
          <w:szCs w:val="32"/>
        </w:rPr>
        <w:t>暂存于危废暂存间</w:t>
      </w:r>
      <w:r>
        <w:rPr>
          <w:rFonts w:hint="eastAsia" w:ascii="仿宋_GB2312" w:hAnsi="仿宋_GB2312" w:eastAsia="仿宋_GB2312" w:cs="仿宋_GB2312"/>
          <w:b w:val="0"/>
          <w:bCs/>
          <w:color w:val="000000"/>
          <w:sz w:val="32"/>
          <w:szCs w:val="32"/>
          <w:lang w:eastAsia="zh-CN"/>
        </w:rPr>
        <w:t>，并定期</w:t>
      </w:r>
      <w:r>
        <w:rPr>
          <w:rFonts w:hint="eastAsia" w:ascii="仿宋_GB2312" w:hAnsi="仿宋_GB2312" w:eastAsia="仿宋_GB2312" w:cs="仿宋_GB2312"/>
          <w:b w:val="0"/>
          <w:bCs/>
          <w:color w:val="000000"/>
          <w:sz w:val="32"/>
          <w:szCs w:val="32"/>
        </w:rPr>
        <w:t>交由有资质的单位处置</w:t>
      </w:r>
      <w:r>
        <w:rPr>
          <w:rFonts w:hint="eastAsia" w:ascii="仿宋_GB2312" w:hAnsi="仿宋_GB2312" w:eastAsia="仿宋_GB2312" w:cs="仿宋_GB2312"/>
          <w:b w:val="0"/>
          <w:bCs/>
          <w:color w:val="000000"/>
          <w:sz w:val="32"/>
          <w:szCs w:val="32"/>
          <w:lang w:eastAsia="zh-CN"/>
        </w:rPr>
        <w:t>；</w:t>
      </w:r>
      <w:r>
        <w:rPr>
          <w:rFonts w:hint="eastAsia" w:ascii="仿宋_GB2312" w:hAnsi="仿宋_GB2312" w:eastAsia="仿宋_GB2312" w:cs="仿宋_GB2312"/>
          <w:b w:val="0"/>
          <w:bCs/>
          <w:color w:val="000000"/>
          <w:sz w:val="32"/>
          <w:szCs w:val="32"/>
        </w:rPr>
        <w:t>生活垃圾由环卫部门清运处理</w:t>
      </w:r>
      <w:r>
        <w:rPr>
          <w:rFonts w:hint="eastAsia" w:ascii="仿宋_GB2312" w:hAnsi="仿宋_GB2312" w:eastAsia="仿宋_GB2312" w:cs="仿宋_GB2312"/>
          <w:b w:val="0"/>
          <w:bCs/>
          <w:color w:val="000000"/>
          <w:sz w:val="32"/>
          <w:szCs w:val="32"/>
          <w:lang w:eastAsia="zh-CN"/>
        </w:rPr>
        <w:t>。</w:t>
      </w:r>
    </w:p>
    <w:p w14:paraId="7C335685">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（四）加强噪声污染防治工作。合理布局，选用低噪声设备，采取厂房隔声、减震降噪等降噪措施，确保厂界噪声达到《工业企业厂界环境噪声排放标准》（GB12348-2008）</w:t>
      </w:r>
      <w:r>
        <w:rPr>
          <w:rFonts w:hint="eastAsia" w:ascii="仿宋_GB2312" w:hAnsi="仿宋_GB2312" w:eastAsia="仿宋_GB2312" w:cs="仿宋_GB2312"/>
          <w:b w:val="0"/>
          <w:bCs/>
          <w:color w:val="auto"/>
          <w:sz w:val="32"/>
          <w:szCs w:val="32"/>
          <w:lang w:val="en-US" w:eastAsia="zh-CN"/>
        </w:rPr>
        <w:t>3</w:t>
      </w:r>
      <w:r>
        <w:rPr>
          <w:rFonts w:hint="eastAsia" w:ascii="仿宋_GB2312" w:hAnsi="仿宋_GB2312" w:eastAsia="仿宋_GB2312" w:cs="仿宋_GB2312"/>
          <w:b w:val="0"/>
          <w:bCs/>
          <w:color w:val="auto"/>
          <w:sz w:val="32"/>
          <w:szCs w:val="32"/>
        </w:rPr>
        <w:t>类标准。</w:t>
      </w:r>
    </w:p>
    <w:p w14:paraId="4BD76FFD">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五</w:t>
      </w:r>
      <w:r>
        <w:rPr>
          <w:rFonts w:hint="eastAsia" w:ascii="仿宋_GB2312" w:hAnsi="仿宋_GB2312" w:eastAsia="仿宋_GB2312" w:cs="仿宋_GB2312"/>
          <w:color w:val="auto"/>
          <w:sz w:val="32"/>
          <w:szCs w:val="32"/>
        </w:rPr>
        <w:t>）严格落实污染物排放总量控制措施。项目实施后污染物排放必须严格控制在以下指标内：</w:t>
      </w:r>
    </w:p>
    <w:p w14:paraId="3D62D05A">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color w:val="auto"/>
          <w:sz w:val="32"/>
          <w:szCs w:val="32"/>
          <w:lang w:val="en-US" w:eastAsia="zh-CN"/>
        </w:rPr>
        <w:t>CODcr</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2.2916t/a</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氨氮</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0.3962t/a</w:t>
      </w:r>
      <w:r>
        <w:rPr>
          <w:rFonts w:hint="eastAsia" w:ascii="仿宋_GB2312" w:hAnsi="仿宋_GB2312" w:eastAsia="仿宋_GB2312" w:cs="仿宋_GB2312"/>
          <w:color w:val="auto"/>
          <w:sz w:val="32"/>
          <w:szCs w:val="32"/>
        </w:rPr>
        <w:t>。</w:t>
      </w:r>
    </w:p>
    <w:p w14:paraId="7A215C46">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rPr>
        <w:t>三、项目建设必须严格执行配套的环境保护设施与主体工程同时设计、同时施工、同时投产使用的环境保护“三同时”制度。建设单位应按照《建设项目环境保护管理条例》的规定，及时开展建设项目竣工环境保护自主验收，并将建设项目竣工环境保护验收监测报告和验收意见报送我局备案；在启动生产设施或实际排污之前应依法取得排污许可证。</w:t>
      </w:r>
    </w:p>
    <w:p w14:paraId="769C948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lang w:eastAsia="zh-CN"/>
        </w:rPr>
        <w:t>四、</w:t>
      </w:r>
      <w:r>
        <w:rPr>
          <w:rFonts w:hint="eastAsia" w:ascii="仿宋_GB2312" w:hAnsi="仿宋_GB2312" w:eastAsia="仿宋_GB2312" w:cs="仿宋_GB2312"/>
          <w:b w:val="0"/>
          <w:bCs/>
          <w:color w:val="auto"/>
          <w:sz w:val="32"/>
          <w:szCs w:val="32"/>
          <w:u w:val="none" w:color="auto"/>
        </w:rPr>
        <w:t>环境影响报告表经批准后，该项目的性质、规模、地点、生产工艺和环境保护措施发生重大变动的，须重新报批环境影响报告表。自环境影响报告表批复文件批准之日起，如超过5年</w:t>
      </w:r>
      <w:bookmarkStart w:id="0" w:name="_GoBack"/>
      <w:bookmarkEnd w:id="0"/>
      <w:r>
        <w:rPr>
          <w:rFonts w:hint="eastAsia" w:ascii="仿宋_GB2312" w:hAnsi="仿宋_GB2312" w:eastAsia="仿宋_GB2312" w:cs="仿宋_GB2312"/>
          <w:b w:val="0"/>
          <w:bCs/>
          <w:color w:val="auto"/>
          <w:sz w:val="32"/>
          <w:szCs w:val="32"/>
          <w:u w:val="none" w:color="auto"/>
        </w:rPr>
        <w:t>决定工程开工建设的，环境影响报告表应当报我局重新审核。</w:t>
      </w:r>
    </w:p>
    <w:p w14:paraId="1CAD9D3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lang w:eastAsia="zh-CN"/>
        </w:rPr>
        <w:t>五</w:t>
      </w:r>
      <w:r>
        <w:rPr>
          <w:rFonts w:hint="eastAsia" w:ascii="仿宋_GB2312" w:hAnsi="仿宋_GB2312" w:eastAsia="仿宋_GB2312" w:cs="仿宋_GB2312"/>
          <w:b w:val="0"/>
          <w:bCs/>
          <w:color w:val="auto"/>
          <w:sz w:val="32"/>
          <w:szCs w:val="32"/>
          <w:u w:val="none" w:color="auto"/>
        </w:rPr>
        <w:t>、衡阳县生态环境保护综合行政执法大队将该项目纳入日常监管并履行项目建设及运营后现场监管职责。</w:t>
      </w:r>
    </w:p>
    <w:p w14:paraId="6BAC8C3B">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b w:val="0"/>
          <w:bCs/>
          <w:color w:val="auto"/>
          <w:sz w:val="32"/>
          <w:szCs w:val="32"/>
          <w:u w:val="none" w:color="auto"/>
        </w:rPr>
      </w:pPr>
    </w:p>
    <w:p w14:paraId="64DAC24E">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right"/>
        <w:textAlignment w:val="auto"/>
        <w:rPr>
          <w:rFonts w:hint="eastAsia" w:ascii="仿宋_GB2312" w:hAnsi="仿宋_GB2312" w:eastAsia="仿宋_GB2312" w:cs="仿宋_GB2312"/>
          <w:b w:val="0"/>
          <w:bCs/>
          <w:color w:val="000000"/>
          <w:sz w:val="32"/>
          <w:szCs w:val="32"/>
        </w:rPr>
      </w:pPr>
      <w:r>
        <w:rPr>
          <w:rFonts w:hint="eastAsia" w:ascii="仿宋_GB2312" w:hAnsi="仿宋_GB2312" w:eastAsia="仿宋_GB2312" w:cs="仿宋_GB2312"/>
          <w:b w:val="0"/>
          <w:bCs/>
          <w:color w:val="auto"/>
          <w:sz w:val="32"/>
          <w:szCs w:val="32"/>
          <w:u w:val="none" w:color="auto"/>
        </w:rPr>
        <w:t>衡阳市生态环境局                                202</w:t>
      </w:r>
      <w:r>
        <w:rPr>
          <w:rFonts w:hint="eastAsia" w:ascii="仿宋_GB2312" w:hAnsi="仿宋_GB2312" w:eastAsia="仿宋_GB2312" w:cs="仿宋_GB2312"/>
          <w:b w:val="0"/>
          <w:bCs/>
          <w:color w:val="auto"/>
          <w:sz w:val="32"/>
          <w:szCs w:val="32"/>
          <w:u w:val="none" w:color="auto"/>
          <w:lang w:val="en-US" w:eastAsia="zh-CN"/>
        </w:rPr>
        <w:t>5</w:t>
      </w:r>
      <w:r>
        <w:rPr>
          <w:rFonts w:hint="eastAsia" w:ascii="仿宋_GB2312" w:hAnsi="仿宋_GB2312" w:eastAsia="仿宋_GB2312" w:cs="仿宋_GB2312"/>
          <w:b w:val="0"/>
          <w:bCs/>
          <w:color w:val="auto"/>
          <w:sz w:val="32"/>
          <w:szCs w:val="32"/>
          <w:u w:val="none" w:color="auto"/>
        </w:rPr>
        <w:t>年</w:t>
      </w:r>
      <w:r>
        <w:rPr>
          <w:rFonts w:hint="eastAsia" w:ascii="仿宋_GB2312" w:hAnsi="仿宋_GB2312" w:eastAsia="仿宋_GB2312" w:cs="仿宋_GB2312"/>
          <w:b w:val="0"/>
          <w:bCs/>
          <w:color w:val="auto"/>
          <w:sz w:val="32"/>
          <w:szCs w:val="32"/>
          <w:u w:val="none" w:color="auto"/>
          <w:lang w:val="en-US" w:eastAsia="zh-CN"/>
        </w:rPr>
        <w:t>8</w:t>
      </w:r>
      <w:r>
        <w:rPr>
          <w:rFonts w:hint="eastAsia" w:ascii="仿宋_GB2312" w:hAnsi="仿宋_GB2312" w:eastAsia="仿宋_GB2312" w:cs="仿宋_GB2312"/>
          <w:b w:val="0"/>
          <w:bCs/>
          <w:color w:val="auto"/>
          <w:sz w:val="32"/>
          <w:szCs w:val="32"/>
          <w:u w:val="none" w:color="auto"/>
        </w:rPr>
        <w:t>月</w:t>
      </w:r>
      <w:r>
        <w:rPr>
          <w:rFonts w:hint="eastAsia" w:ascii="仿宋_GB2312" w:hAnsi="仿宋_GB2312" w:eastAsia="仿宋_GB2312" w:cs="仿宋_GB2312"/>
          <w:b w:val="0"/>
          <w:bCs/>
          <w:color w:val="auto"/>
          <w:sz w:val="32"/>
          <w:szCs w:val="32"/>
          <w:u w:val="none" w:color="auto"/>
          <w:lang w:val="en-US" w:eastAsia="zh-CN"/>
        </w:rPr>
        <w:t>4</w:t>
      </w:r>
      <w:r>
        <w:rPr>
          <w:rFonts w:hint="eastAsia" w:ascii="仿宋_GB2312" w:hAnsi="仿宋_GB2312" w:eastAsia="仿宋_GB2312" w:cs="仿宋_GB2312"/>
          <w:b w:val="0"/>
          <w:bCs/>
          <w:color w:val="auto"/>
          <w:sz w:val="32"/>
          <w:szCs w:val="32"/>
          <w:u w:val="none" w:color="auto"/>
        </w:rPr>
        <w:t xml:space="preserve">日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13CE18">
    <w:pPr>
      <w:pStyle w:val="3"/>
    </w:pPr>
    <w:r>
      <w:rPr>
        <w:sz w:val="18"/>
      </w:rP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68C7E359">
                <w:pPr>
                  <w:pStyle w:val="3"/>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21A00"/>
    <w:rsid w:val="00083973"/>
    <w:rsid w:val="000A1DA3"/>
    <w:rsid w:val="00172A27"/>
    <w:rsid w:val="001B5F5A"/>
    <w:rsid w:val="001F54B2"/>
    <w:rsid w:val="00234BC5"/>
    <w:rsid w:val="00242F3C"/>
    <w:rsid w:val="002B29BF"/>
    <w:rsid w:val="002C4BF7"/>
    <w:rsid w:val="0058253E"/>
    <w:rsid w:val="00594A83"/>
    <w:rsid w:val="006C443C"/>
    <w:rsid w:val="006E22AB"/>
    <w:rsid w:val="00975F42"/>
    <w:rsid w:val="00AE7064"/>
    <w:rsid w:val="00B66779"/>
    <w:rsid w:val="00BD3E27"/>
    <w:rsid w:val="00BE104E"/>
    <w:rsid w:val="00C5462F"/>
    <w:rsid w:val="00C91275"/>
    <w:rsid w:val="00D06D76"/>
    <w:rsid w:val="00E27674"/>
    <w:rsid w:val="00F0332E"/>
    <w:rsid w:val="00FA1F2B"/>
    <w:rsid w:val="06CB90F3"/>
    <w:rsid w:val="146D47D1"/>
    <w:rsid w:val="152E289C"/>
    <w:rsid w:val="1FBCE9C2"/>
    <w:rsid w:val="21AF4504"/>
    <w:rsid w:val="2B5D164D"/>
    <w:rsid w:val="2EE6F44A"/>
    <w:rsid w:val="30DA723C"/>
    <w:rsid w:val="34C706BD"/>
    <w:rsid w:val="3DFB3105"/>
    <w:rsid w:val="3EBC00FD"/>
    <w:rsid w:val="43D741F4"/>
    <w:rsid w:val="46136BEF"/>
    <w:rsid w:val="467CC39F"/>
    <w:rsid w:val="4F376FE4"/>
    <w:rsid w:val="50D94D66"/>
    <w:rsid w:val="5F775DD4"/>
    <w:rsid w:val="5FF2B8FD"/>
    <w:rsid w:val="62D87F2E"/>
    <w:rsid w:val="62F90F44"/>
    <w:rsid w:val="65FCDA24"/>
    <w:rsid w:val="6BBFFCA8"/>
    <w:rsid w:val="6CA7A3FD"/>
    <w:rsid w:val="713C7FF8"/>
    <w:rsid w:val="72FB2A67"/>
    <w:rsid w:val="736FDE59"/>
    <w:rsid w:val="79FB8F86"/>
    <w:rsid w:val="7BBF0FC0"/>
    <w:rsid w:val="7EFB73CF"/>
    <w:rsid w:val="7F96BCD5"/>
    <w:rsid w:val="B26F95B9"/>
    <w:rsid w:val="BFEF85E2"/>
    <w:rsid w:val="C4FBE205"/>
    <w:rsid w:val="DEF5F149"/>
    <w:rsid w:val="DF3F66B2"/>
    <w:rsid w:val="DFF57F32"/>
    <w:rsid w:val="EDB7D1C0"/>
    <w:rsid w:val="F5556115"/>
    <w:rsid w:val="F67553C3"/>
    <w:rsid w:val="FBF599E5"/>
    <w:rsid w:val="FBFB04F0"/>
    <w:rsid w:val="FBFE37A9"/>
    <w:rsid w:val="FD5F44F5"/>
    <w:rsid w:val="FDCDB298"/>
    <w:rsid w:val="FF653FB9"/>
    <w:rsid w:val="FFBCBE1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Autospacing="0" w:afterAutospacing="0" w:line="360" w:lineRule="auto"/>
      <w:ind w:firstLine="0" w:firstLineChars="0"/>
      <w:outlineLvl w:val="0"/>
    </w:pPr>
    <w:rPr>
      <w:rFonts w:ascii="Times New Roman" w:hAnsi="Times New Roman" w:eastAsia="宋体" w:cs="Times New Roman"/>
      <w:b/>
      <w:bCs/>
      <w:color w:val="000000"/>
      <w:kern w:val="44"/>
      <w:sz w:val="32"/>
      <w:szCs w:val="32"/>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kern w:val="2"/>
      <w:sz w:val="18"/>
      <w:szCs w:val="18"/>
    </w:rPr>
  </w:style>
  <w:style w:type="character" w:customStyle="1" w:styleId="8">
    <w:name w:val="页脚 Char"/>
    <w:basedOn w:val="6"/>
    <w:link w:val="3"/>
    <w:qFormat/>
    <w:uiPriority w:val="0"/>
    <w:rPr>
      <w:kern w:val="2"/>
      <w:sz w:val="18"/>
      <w:szCs w:val="18"/>
    </w:rPr>
  </w:style>
  <w:style w:type="paragraph" w:customStyle="1" w:styleId="9">
    <w:name w:val="Default"/>
    <w:basedOn w:val="10"/>
    <w:unhideWhenUsed/>
    <w:qFormat/>
    <w:uiPriority w:val="99"/>
    <w:pPr>
      <w:widowControl w:val="0"/>
      <w:autoSpaceDE w:val="0"/>
      <w:autoSpaceDN w:val="0"/>
      <w:adjustRightInd w:val="0"/>
    </w:pPr>
    <w:rPr>
      <w:rFonts w:hint="eastAsia" w:eastAsia="Times New Roman"/>
      <w:color w:val="000000"/>
      <w:sz w:val="24"/>
      <w:szCs w:val="22"/>
      <w:lang w:val="en-US" w:eastAsia="zh-CN" w:bidi="ar-SA"/>
    </w:rPr>
  </w:style>
  <w:style w:type="paragraph" w:customStyle="1" w:styleId="10">
    <w:name w:val="纯文本1"/>
    <w:basedOn w:val="1"/>
    <w:qFormat/>
    <w:uiPriority w:val="0"/>
    <w:rPr>
      <w:rFonts w:hint="eastAsia" w:ascii="宋体" w:hAnsi="Courier New"/>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257</Words>
  <Characters>1466</Characters>
  <Lines>12</Lines>
  <Paragraphs>3</Paragraphs>
  <TotalTime>5</TotalTime>
  <ScaleCrop>false</ScaleCrop>
  <LinksUpToDate>false</LinksUpToDate>
  <CharactersWithSpaces>1720</CharactersWithSpaces>
  <Application>WPS Office_12.8.2.1114_F1E327BC-269C-435d-A152-05C5408002CA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2022-10-30T08:30:00Z</dcterms:created>
  <dc:creator>HYT</dc:creator>
  <cp:lastModifiedBy>kylin</cp:lastModifiedBy>
  <cp:lastPrinted>2025-05-17T09:18:00Z</cp:lastPrinted>
  <dcterms:modified xsi:type="dcterms:W3CDTF">2025-08-04T16:06:12Z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2052-12.8.2.1114</vt:lpwstr>
  </property>
  <property fmtid="{D5CDD505-2E9C-101B-9397-08002B2CF9AE}" pid="3" name="ICV">
    <vt:lpwstr>82A10C1610CDD9A53EAC21681AE21230_42</vt:lpwstr>
  </property>
</Properties>
</file>