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6111CA">
      <w:pPr>
        <w:spacing w:line="800" w:lineRule="exact"/>
        <w:rPr>
          <w:rFonts w:hint="eastAsia" w:ascii="仿宋_GB2312" w:hAnsi="宋体" w:eastAsia="仿宋_GB2312"/>
          <w:sz w:val="32"/>
          <w:szCs w:val="32"/>
        </w:rPr>
      </w:pPr>
    </w:p>
    <w:p w14:paraId="2317927D">
      <w:pPr>
        <w:ind w:firstLine="5280" w:firstLineChars="1650"/>
        <w:rPr>
          <w:rFonts w:hint="default" w:ascii="Times New Roman" w:hAnsi="Times New Roman" w:eastAsia="仿宋_GB2312" w:cs="Times New Roman"/>
          <w:color w:val="auto"/>
          <w:sz w:val="32"/>
          <w:szCs w:val="32"/>
        </w:rPr>
      </w:pPr>
    </w:p>
    <w:p w14:paraId="0C5C052E">
      <w:pPr>
        <w:jc w:val="right"/>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蒸环评函</w:t>
      </w:r>
      <w:r>
        <w:rPr>
          <w:rFonts w:hint="eastAsia"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202</w:t>
      </w:r>
      <w:r>
        <w:rPr>
          <w:rFonts w:hint="default" w:ascii="Times New Roman" w:hAnsi="Times New Roman" w:eastAsia="仿宋_GB2312" w:cs="Times New Roman"/>
          <w:color w:val="auto"/>
          <w:sz w:val="32"/>
          <w:szCs w:val="32"/>
          <w:lang w:val="en-US" w:eastAsia="zh-CN"/>
        </w:rPr>
        <w:t>5</w:t>
      </w:r>
      <w:r>
        <w:rPr>
          <w:rFonts w:hint="eastAsia" w:ascii="仿宋_GB2312" w:hAnsi="仿宋_GB2312" w:eastAsia="仿宋_GB2312" w:cs="仿宋_GB2312"/>
          <w:color w:val="auto"/>
          <w:sz w:val="32"/>
          <w:szCs w:val="32"/>
          <w:lang w:val="en-US" w:eastAsia="zh-CN"/>
        </w:rPr>
        <w:t>〕</w:t>
      </w:r>
      <w:r>
        <w:rPr>
          <w:rFonts w:hint="default" w:ascii="Times New Roman" w:hAnsi="Times New Roman" w:eastAsia="仿宋_GB2312" w:cs="Times New Roman"/>
          <w:color w:val="auto"/>
          <w:sz w:val="32"/>
          <w:szCs w:val="32"/>
          <w:lang w:val="en-US" w:eastAsia="zh-CN"/>
        </w:rPr>
        <w:t>1</w:t>
      </w:r>
      <w:r>
        <w:rPr>
          <w:rFonts w:hint="eastAsia" w:ascii="Times New Roman" w:hAnsi="Times New Roman" w:eastAsia="仿宋_GB2312" w:cs="Times New Roman"/>
          <w:color w:val="auto"/>
          <w:sz w:val="32"/>
          <w:szCs w:val="32"/>
          <w:lang w:val="en-US" w:eastAsia="zh-CN"/>
        </w:rPr>
        <w:t>7</w:t>
      </w:r>
      <w:r>
        <w:rPr>
          <w:rFonts w:hint="default" w:ascii="Times New Roman" w:hAnsi="Times New Roman" w:eastAsia="仿宋_GB2312" w:cs="Times New Roman"/>
          <w:color w:val="auto"/>
          <w:sz w:val="32"/>
          <w:szCs w:val="32"/>
        </w:rPr>
        <w:t>号</w:t>
      </w:r>
    </w:p>
    <w:p w14:paraId="529691F3">
      <w:pPr>
        <w:spacing w:line="280" w:lineRule="exact"/>
        <w:ind w:firstLine="5280" w:firstLineChars="1650"/>
        <w:rPr>
          <w:rFonts w:hint="eastAsia" w:ascii="仿宋_GB2312" w:hAnsi="宋体" w:eastAsia="仿宋_GB2312"/>
          <w:color w:val="auto"/>
          <w:sz w:val="44"/>
          <w:szCs w:val="44"/>
        </w:rPr>
      </w:pPr>
      <w:r>
        <w:rPr>
          <w:rFonts w:hint="eastAsia" w:ascii="仿宋_GB2312" w:hAnsi="宋体" w:eastAsia="仿宋_GB2312"/>
          <w:color w:val="auto"/>
          <w:sz w:val="32"/>
          <w:szCs w:val="32"/>
        </w:rPr>
        <w:t xml:space="preserve">  </w:t>
      </w:r>
    </w:p>
    <w:p w14:paraId="35B61ADC">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b/>
          <w:bCs w:val="0"/>
          <w:color w:val="auto"/>
          <w:sz w:val="36"/>
          <w:szCs w:val="36"/>
        </w:rPr>
      </w:pPr>
      <w:r>
        <w:rPr>
          <w:rFonts w:hint="eastAsia" w:ascii="方正小标宋简体" w:hAnsi="方正小标宋简体" w:eastAsia="方正小标宋简体" w:cs="方正小标宋简体"/>
          <w:b/>
          <w:bCs w:val="0"/>
          <w:color w:val="auto"/>
          <w:sz w:val="36"/>
          <w:szCs w:val="36"/>
        </w:rPr>
        <w:t>衡阳市生态环境局</w:t>
      </w:r>
    </w:p>
    <w:p w14:paraId="2697C37D">
      <w:pPr>
        <w:pStyle w:val="7"/>
        <w:keepNext w:val="0"/>
        <w:keepLines w:val="0"/>
        <w:widowControl/>
        <w:suppressLineNumbers w:val="0"/>
        <w:rPr>
          <w:rFonts w:hint="eastAsia" w:ascii="方正小标宋简体" w:hAnsi="宋体" w:eastAsia="方正小标宋简体"/>
          <w:b/>
          <w:bCs w:val="0"/>
          <w:sz w:val="36"/>
          <w:szCs w:val="36"/>
        </w:rPr>
      </w:pPr>
      <w:r>
        <w:rPr>
          <w:rFonts w:hint="eastAsia" w:ascii="方正小标宋简体" w:hAnsi="宋体" w:eastAsia="方正小标宋简体"/>
          <w:b/>
          <w:bCs w:val="0"/>
          <w:sz w:val="36"/>
          <w:szCs w:val="36"/>
        </w:rPr>
        <w:t>关于</w:t>
      </w:r>
      <w:r>
        <w:rPr>
          <w:rFonts w:hint="eastAsia" w:ascii="方正小标宋简体" w:hAnsi="宋体" w:eastAsia="方正小标宋简体" w:cstheme="minorBidi"/>
          <w:b/>
          <w:bCs w:val="0"/>
          <w:kern w:val="2"/>
          <w:sz w:val="36"/>
          <w:szCs w:val="36"/>
          <w:lang w:val="en-US" w:eastAsia="zh-CN" w:bidi="ar-SA"/>
        </w:rPr>
        <w:t>衡阳县樟木乡风电项目</w:t>
      </w:r>
      <w:r>
        <w:rPr>
          <w:rFonts w:hint="eastAsia" w:ascii="方正小标宋简体" w:hAnsi="宋体" w:eastAsia="方正小标宋简体"/>
          <w:b/>
          <w:bCs w:val="0"/>
          <w:sz w:val="36"/>
          <w:szCs w:val="36"/>
        </w:rPr>
        <w:t>环境影响报告表的批复</w:t>
      </w:r>
    </w:p>
    <w:p w14:paraId="34AE41A8">
      <w:pPr>
        <w:pStyle w:val="7"/>
        <w:keepNext w:val="0"/>
        <w:keepLines w:val="0"/>
        <w:pageBreakBefore w:val="0"/>
        <w:widowControl/>
        <w:suppressLineNumbers w:val="0"/>
        <w:kinsoku/>
        <w:wordWrap/>
        <w:overflowPunct/>
        <w:topLinePunct w:val="0"/>
        <w:autoSpaceDE/>
        <w:autoSpaceDN/>
        <w:bidi w:val="0"/>
        <w:adjustRightInd/>
        <w:snapToGrid/>
        <w:spacing w:line="320" w:lineRule="exact"/>
        <w:textAlignment w:val="auto"/>
        <w:rPr>
          <w:rFonts w:hint="eastAsia" w:ascii="方正小标宋简体" w:hAnsi="宋体" w:eastAsia="方正小标宋简体"/>
          <w:b/>
          <w:bCs w:val="0"/>
          <w:sz w:val="36"/>
          <w:szCs w:val="36"/>
        </w:rPr>
      </w:pPr>
    </w:p>
    <w:p w14:paraId="79A38695">
      <w:pPr>
        <w:pStyle w:val="7"/>
        <w:keepNext w:val="0"/>
        <w:keepLines w:val="0"/>
        <w:pageBreakBefore w:val="0"/>
        <w:widowControl/>
        <w:suppressLineNumbers w:val="0"/>
        <w:kinsoku/>
        <w:wordWrap/>
        <w:overflowPunct/>
        <w:topLinePunct w:val="0"/>
        <w:autoSpaceDE/>
        <w:autoSpaceDN/>
        <w:bidi w:val="0"/>
        <w:spacing w:beforeAutospacing="0" w:afterAutospacing="0" w:line="360" w:lineRule="auto"/>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衡阳县中电新能源有限公司：</w:t>
      </w:r>
    </w:p>
    <w:p w14:paraId="17CF4515">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你公司《</w:t>
      </w:r>
      <w:r>
        <w:rPr>
          <w:rFonts w:hint="eastAsia" w:ascii="仿宋_GB2312" w:hAnsi="仿宋_GB2312" w:eastAsia="仿宋_GB2312" w:cs="仿宋_GB2312"/>
          <w:color w:val="auto"/>
          <w:sz w:val="32"/>
          <w:szCs w:val="32"/>
          <w:lang w:eastAsia="zh-CN"/>
        </w:rPr>
        <w:t>关于对</w:t>
      </w:r>
      <w:r>
        <w:rPr>
          <w:rFonts w:hint="eastAsia" w:ascii="仿宋_GB2312" w:hAnsi="仿宋_GB2312" w:eastAsia="仿宋_GB2312" w:cs="仿宋_GB2312"/>
          <w:color w:val="auto"/>
          <w:sz w:val="32"/>
          <w:szCs w:val="32"/>
          <w:lang w:val="en-US" w:eastAsia="zh-CN"/>
        </w:rPr>
        <w:t>衡阳县樟木乡风电项目</w:t>
      </w:r>
      <w:r>
        <w:rPr>
          <w:rFonts w:hint="eastAsia" w:ascii="仿宋_GB2312" w:hAnsi="仿宋_GB2312" w:eastAsia="仿宋_GB2312" w:cs="仿宋_GB2312"/>
          <w:color w:val="auto"/>
          <w:sz w:val="32"/>
          <w:szCs w:val="32"/>
        </w:rPr>
        <w:t>进行批复的请示》和</w:t>
      </w:r>
      <w:r>
        <w:rPr>
          <w:rFonts w:hint="eastAsia" w:ascii="仿宋_GB2312" w:hAnsi="仿宋_GB2312" w:eastAsia="仿宋_GB2312" w:cs="仿宋_GB2312"/>
          <w:color w:val="auto"/>
          <w:sz w:val="32"/>
          <w:szCs w:val="32"/>
          <w:lang w:eastAsia="zh-CN"/>
        </w:rPr>
        <w:t>湖南省万竑生态环境工程有限公司</w:t>
      </w:r>
      <w:r>
        <w:rPr>
          <w:rFonts w:hint="eastAsia" w:ascii="仿宋_GB2312" w:hAnsi="仿宋_GB2312" w:eastAsia="仿宋_GB2312" w:cs="仿宋_GB2312"/>
          <w:color w:val="auto"/>
          <w:sz w:val="32"/>
          <w:szCs w:val="32"/>
        </w:rPr>
        <w:t>编制的《</w:t>
      </w:r>
      <w:r>
        <w:rPr>
          <w:rFonts w:hint="eastAsia" w:ascii="仿宋_GB2312" w:hAnsi="仿宋_GB2312" w:eastAsia="仿宋_GB2312" w:cs="仿宋_GB2312"/>
          <w:color w:val="auto"/>
          <w:sz w:val="32"/>
          <w:szCs w:val="32"/>
          <w:lang w:val="en-US" w:eastAsia="zh-CN"/>
        </w:rPr>
        <w:t>衡阳县樟木乡风电项目</w:t>
      </w:r>
      <w:r>
        <w:rPr>
          <w:rFonts w:hint="eastAsia" w:ascii="仿宋_GB2312" w:hAnsi="仿宋_GB2312" w:eastAsia="仿宋_GB2312" w:cs="仿宋_GB2312"/>
          <w:color w:val="auto"/>
          <w:sz w:val="32"/>
          <w:szCs w:val="32"/>
        </w:rPr>
        <w:t>环境影响报告表》</w:t>
      </w:r>
      <w:r>
        <w:rPr>
          <w:rFonts w:hint="eastAsia" w:ascii="仿宋_GB2312" w:hAnsi="仿宋_GB2312" w:eastAsia="仿宋_GB2312" w:cs="仿宋_GB2312"/>
          <w:color w:val="auto"/>
          <w:sz w:val="32"/>
          <w:szCs w:val="32"/>
          <w:lang w:eastAsia="zh-CN"/>
        </w:rPr>
        <w:t>（报批稿）</w:t>
      </w:r>
      <w:r>
        <w:rPr>
          <w:rFonts w:hint="eastAsia" w:ascii="仿宋_GB2312" w:hAnsi="仿宋_GB2312" w:eastAsia="仿宋_GB2312" w:cs="仿宋_GB2312"/>
          <w:color w:val="auto"/>
          <w:sz w:val="32"/>
          <w:szCs w:val="32"/>
        </w:rPr>
        <w:t>及专家组评审意见均收悉，经研究，批复如下：</w:t>
      </w:r>
    </w:p>
    <w:p w14:paraId="46EAFCC1">
      <w:pPr>
        <w:keepNext w:val="0"/>
        <w:keepLines w:val="0"/>
        <w:pageBreakBefore w:val="0"/>
        <w:widowControl/>
        <w:suppressLineNumbers w:val="0"/>
        <w:kinsoku/>
        <w:wordWrap/>
        <w:overflowPunct/>
        <w:topLinePunct w:val="0"/>
        <w:autoSpaceDE/>
        <w:autoSpaceDN/>
        <w:bidi w:val="0"/>
        <w:spacing w:beforeAutospacing="0" w:afterAutospacing="0" w:line="360" w:lineRule="auto"/>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u w:val="none"/>
        </w:rPr>
        <w:t>一、</w:t>
      </w:r>
      <w:r>
        <w:rPr>
          <w:rFonts w:hint="eastAsia" w:ascii="仿宋_GB2312" w:hAnsi="仿宋_GB2312" w:eastAsia="仿宋_GB2312" w:cs="仿宋_GB2312"/>
          <w:color w:val="auto"/>
          <w:sz w:val="32"/>
          <w:szCs w:val="32"/>
        </w:rPr>
        <w:t>衡阳县中电新能源有限公司</w:t>
      </w:r>
      <w:r>
        <w:rPr>
          <w:rFonts w:hint="eastAsia" w:ascii="仿宋_GB2312" w:hAnsi="仿宋_GB2312" w:eastAsia="仿宋_GB2312" w:cs="仿宋_GB2312"/>
          <w:color w:val="auto"/>
          <w:sz w:val="32"/>
          <w:szCs w:val="32"/>
          <w:u w:val="none"/>
          <w:lang w:eastAsia="zh-CN"/>
        </w:rPr>
        <w:t>拟</w:t>
      </w:r>
      <w:r>
        <w:rPr>
          <w:rFonts w:hint="eastAsia" w:ascii="仿宋_GB2312" w:hAnsi="仿宋_GB2312" w:eastAsia="仿宋_GB2312" w:cs="仿宋_GB2312"/>
          <w:color w:val="auto"/>
          <w:sz w:val="32"/>
          <w:szCs w:val="32"/>
          <w:u w:val="none"/>
        </w:rPr>
        <w:t>投资</w:t>
      </w:r>
      <w:r>
        <w:rPr>
          <w:rFonts w:hint="eastAsia" w:ascii="仿宋_GB2312" w:hAnsi="仿宋_GB2312" w:eastAsia="仿宋_GB2312" w:cs="仿宋_GB2312"/>
          <w:color w:val="auto"/>
          <w:sz w:val="32"/>
          <w:szCs w:val="32"/>
          <w:u w:val="none"/>
          <w:lang w:val="en-US" w:eastAsia="zh-CN"/>
        </w:rPr>
        <w:t>30803</w:t>
      </w:r>
      <w:r>
        <w:rPr>
          <w:rFonts w:hint="eastAsia" w:ascii="仿宋_GB2312" w:hAnsi="仿宋_GB2312" w:eastAsia="仿宋_GB2312" w:cs="仿宋_GB2312"/>
          <w:color w:val="auto"/>
          <w:sz w:val="32"/>
          <w:szCs w:val="32"/>
          <w:u w:val="none"/>
        </w:rPr>
        <w:t>万元</w:t>
      </w:r>
      <w:r>
        <w:rPr>
          <w:rFonts w:hint="eastAsia" w:ascii="仿宋_GB2312" w:hAnsi="仿宋_GB2312" w:eastAsia="仿宋_GB2312" w:cs="仿宋_GB2312"/>
          <w:color w:val="auto"/>
          <w:sz w:val="32"/>
          <w:szCs w:val="32"/>
          <w:u w:val="none"/>
          <w:lang w:eastAsia="zh-CN"/>
        </w:rPr>
        <w:t>（环保投资</w:t>
      </w:r>
      <w:r>
        <w:rPr>
          <w:rFonts w:hint="eastAsia" w:ascii="仿宋_GB2312" w:hAnsi="仿宋_GB2312" w:eastAsia="仿宋_GB2312" w:cs="仿宋_GB2312"/>
          <w:color w:val="auto"/>
          <w:sz w:val="32"/>
          <w:szCs w:val="32"/>
          <w:u w:val="none"/>
          <w:lang w:val="en-US" w:eastAsia="zh-CN"/>
        </w:rPr>
        <w:t>600万元，占总投资的1.95 %</w:t>
      </w:r>
      <w:r>
        <w:rPr>
          <w:rFonts w:hint="eastAsia" w:ascii="仿宋_GB2312" w:hAnsi="仿宋_GB2312" w:eastAsia="仿宋_GB2312" w:cs="仿宋_GB2312"/>
          <w:color w:val="auto"/>
          <w:sz w:val="32"/>
          <w:szCs w:val="32"/>
          <w:u w:val="none"/>
          <w:lang w:eastAsia="zh-CN"/>
        </w:rPr>
        <w:t>），在</w:t>
      </w:r>
      <w:r>
        <w:rPr>
          <w:rFonts w:hint="eastAsia" w:ascii="仿宋_GB2312" w:hAnsi="仿宋_GB2312" w:eastAsia="仿宋_GB2312" w:cs="仿宋_GB2312"/>
          <w:color w:val="auto"/>
          <w:sz w:val="32"/>
          <w:szCs w:val="32"/>
        </w:rPr>
        <w:t>衡阳县界牌镇、岣嵝乡</w:t>
      </w:r>
      <w:r>
        <w:rPr>
          <w:rFonts w:hint="eastAsia" w:ascii="仿宋_GB2312" w:hAnsi="仿宋_GB2312" w:eastAsia="仿宋_GB2312" w:cs="仿宋_GB2312"/>
          <w:color w:val="auto"/>
          <w:sz w:val="32"/>
          <w:szCs w:val="32"/>
          <w:lang w:eastAsia="zh-CN"/>
        </w:rPr>
        <w:t>境内建设</w:t>
      </w:r>
      <w:r>
        <w:rPr>
          <w:rFonts w:hint="eastAsia" w:ascii="仿宋_GB2312" w:hAnsi="仿宋_GB2312" w:eastAsia="仿宋_GB2312" w:cs="仿宋_GB2312"/>
          <w:color w:val="auto"/>
          <w:sz w:val="32"/>
          <w:szCs w:val="32"/>
          <w:lang w:val="en-US" w:eastAsia="zh-CN"/>
        </w:rPr>
        <w:t>衡阳县樟木乡风电项目，项目总占地面积292370m</w:t>
      </w:r>
      <w:r>
        <w:rPr>
          <w:rFonts w:hint="eastAsia" w:ascii="仿宋_GB2312" w:hAnsi="仿宋_GB2312" w:eastAsia="仿宋_GB2312" w:cs="仿宋_GB2312"/>
          <w:color w:val="auto"/>
          <w:sz w:val="32"/>
          <w:szCs w:val="32"/>
          <w:vertAlign w:val="superscript"/>
          <w:lang w:val="en-US" w:eastAsia="zh-CN"/>
        </w:rPr>
        <w:t>2</w:t>
      </w:r>
      <w:r>
        <w:rPr>
          <w:rFonts w:hint="eastAsia" w:ascii="仿宋_GB2312" w:hAnsi="仿宋_GB2312" w:eastAsia="仿宋_GB2312" w:cs="仿宋_GB2312"/>
          <w:color w:val="auto"/>
          <w:sz w:val="32"/>
          <w:szCs w:val="32"/>
          <w:lang w:val="en-US" w:eastAsia="zh-CN"/>
        </w:rPr>
        <w:t>（其中永久占地：13704m</w:t>
      </w:r>
      <w:r>
        <w:rPr>
          <w:rFonts w:hint="eastAsia" w:ascii="仿宋_GB2312" w:hAnsi="仿宋_GB2312" w:eastAsia="仿宋_GB2312" w:cs="仿宋_GB2312"/>
          <w:color w:val="auto"/>
          <w:sz w:val="32"/>
          <w:szCs w:val="32"/>
          <w:vertAlign w:val="superscript"/>
          <w:lang w:val="en-US" w:eastAsia="zh-CN"/>
        </w:rPr>
        <w:t>2</w:t>
      </w:r>
      <w:r>
        <w:rPr>
          <w:rFonts w:hint="eastAsia" w:ascii="仿宋_GB2312" w:hAnsi="仿宋_GB2312" w:eastAsia="仿宋_GB2312" w:cs="仿宋_GB2312"/>
          <w:color w:val="auto"/>
          <w:sz w:val="32"/>
          <w:szCs w:val="32"/>
          <w:lang w:val="en-US" w:eastAsia="zh-CN"/>
        </w:rPr>
        <w:t>，临时占地278666m</w:t>
      </w:r>
      <w:r>
        <w:rPr>
          <w:rFonts w:hint="eastAsia" w:ascii="仿宋_GB2312" w:hAnsi="仿宋_GB2312" w:eastAsia="仿宋_GB2312" w:cs="仿宋_GB2312"/>
          <w:color w:val="auto"/>
          <w:sz w:val="32"/>
          <w:szCs w:val="32"/>
          <w:vertAlign w:val="superscript"/>
          <w:lang w:val="en-US" w:eastAsia="zh-CN"/>
        </w:rPr>
        <w:t>2</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kern w:val="0"/>
          <w:sz w:val="32"/>
          <w:szCs w:val="32"/>
          <w:lang w:val="en-US" w:eastAsia="zh-CN" w:bidi="ar"/>
        </w:rPr>
        <w:t>项目主要建设内容包括：规划安装7台单机容量为</w:t>
      </w:r>
      <w:r>
        <w:rPr>
          <w:rFonts w:hint="eastAsia" w:ascii="仿宋_GB2312" w:hAnsi="仿宋_GB2312" w:eastAsia="仿宋_GB2312" w:cs="仿宋_GB2312"/>
          <w:color w:val="auto"/>
          <w:sz w:val="32"/>
          <w:szCs w:val="32"/>
        </w:rPr>
        <w:t>7.143MW的机组（机型轮毂中心高度为125m，叶轮直径为220m），总装机规模为50MW。配套新建一座电压等级为110kV的升压站，位于场区西南部。7台风力发电机组以2回35kV集电线路接入升压站内，新建场内道路12.319km、升压站进站道路0.088km，利用现有村道改建2.314km，合计长14.721km；进场道路完全利用现有 S333省道、S219省道。新建35kV集电线路17km，采用全直埋方式沿风电场道路敷设。项目建设完成后以1回110kV线接入湛佳塘变电站（送出线路不在本次评价范围内，本项目不包含储能系统）。</w:t>
      </w:r>
      <w:r>
        <w:rPr>
          <w:rFonts w:hint="eastAsia" w:ascii="仿宋_GB2312" w:hAnsi="仿宋_GB2312" w:eastAsia="仿宋_GB2312" w:cs="仿宋_GB2312"/>
          <w:color w:val="auto"/>
          <w:sz w:val="32"/>
          <w:szCs w:val="32"/>
          <w:u w:val="none"/>
        </w:rPr>
        <w:t>本项目符合国家产业政策，根据</w:t>
      </w:r>
      <w:r>
        <w:rPr>
          <w:rFonts w:hint="eastAsia" w:ascii="仿宋_GB2312" w:hAnsi="仿宋_GB2312" w:eastAsia="仿宋_GB2312" w:cs="仿宋_GB2312"/>
          <w:color w:val="auto"/>
          <w:sz w:val="32"/>
          <w:szCs w:val="32"/>
          <w:u w:val="none"/>
          <w:lang w:eastAsia="zh-CN"/>
        </w:rPr>
        <w:t>湖南省万竑生态环境工程有限公司</w:t>
      </w:r>
      <w:r>
        <w:rPr>
          <w:rFonts w:hint="eastAsia" w:ascii="仿宋_GB2312" w:hAnsi="仿宋_GB2312" w:eastAsia="仿宋_GB2312" w:cs="仿宋_GB2312"/>
          <w:color w:val="auto"/>
          <w:sz w:val="32"/>
          <w:szCs w:val="32"/>
          <w:u w:val="none"/>
        </w:rPr>
        <w:t>所编制的环境影响报告表</w:t>
      </w:r>
      <w:r>
        <w:rPr>
          <w:rFonts w:hint="eastAsia" w:ascii="仿宋_GB2312" w:hAnsi="仿宋_GB2312" w:eastAsia="仿宋_GB2312" w:cs="仿宋_GB2312"/>
          <w:color w:val="auto"/>
          <w:sz w:val="32"/>
          <w:szCs w:val="32"/>
        </w:rPr>
        <w:t>的分析结论和专家组评审意见，在建设单位严格执行环保“三同时”制度，切实落实报告表中提出的各项污染防治措施</w:t>
      </w:r>
      <w:r>
        <w:rPr>
          <w:rFonts w:hint="eastAsia" w:ascii="仿宋_GB2312" w:hAnsi="仿宋_GB2312" w:eastAsia="仿宋_GB2312" w:cs="仿宋_GB2312"/>
          <w:color w:val="auto"/>
          <w:sz w:val="32"/>
          <w:szCs w:val="32"/>
          <w:lang w:eastAsia="zh-CN"/>
        </w:rPr>
        <w:t>和生态保护措施</w:t>
      </w:r>
      <w:r>
        <w:rPr>
          <w:rFonts w:hint="eastAsia" w:ascii="仿宋_GB2312" w:hAnsi="仿宋_GB2312" w:eastAsia="仿宋_GB2312" w:cs="仿宋_GB2312"/>
          <w:color w:val="auto"/>
          <w:sz w:val="32"/>
          <w:szCs w:val="32"/>
        </w:rPr>
        <w:t>，确保各类污染物达标排放的情况下，从环保的角度分析，同意该项目建设。本《报告表》可作为项目建设和环境管理的依据</w:t>
      </w:r>
      <w:r>
        <w:rPr>
          <w:rFonts w:hint="eastAsia" w:ascii="仿宋_GB2312" w:hAnsi="仿宋_GB2312" w:eastAsia="仿宋_GB2312" w:cs="仿宋_GB2312"/>
          <w:color w:val="auto"/>
          <w:sz w:val="32"/>
          <w:szCs w:val="32"/>
          <w:lang w:eastAsia="zh-CN"/>
        </w:rPr>
        <w:t>。</w:t>
      </w:r>
    </w:p>
    <w:p w14:paraId="4411AC3E">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二、项目在建设和管理过程中必须按照环保“三同时”制度的要求，落实污染防治措施，并在工程建设和环境管理中着重注意以下问题:</w:t>
      </w:r>
    </w:p>
    <w:p w14:paraId="0D76741C">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640" w:firstLineChars="200"/>
        <w:jc w:val="both"/>
        <w:textAlignment w:val="auto"/>
        <w:rPr>
          <w:rFonts w:hint="eastAsia" w:ascii="仿宋_GB2312" w:hAnsi="仿宋_GB2312" w:eastAsia="仿宋_GB2312" w:cs="仿宋_GB2312"/>
          <w:b w:val="0"/>
          <w:bCs/>
          <w:color w:val="auto"/>
          <w:sz w:val="32"/>
          <w:szCs w:val="32"/>
          <w:lang w:eastAsia="zh-CN"/>
        </w:rPr>
      </w:pPr>
      <w:r>
        <w:rPr>
          <w:rFonts w:hint="eastAsia" w:ascii="仿宋_GB2312" w:hAnsi="仿宋_GB2312" w:eastAsia="仿宋_GB2312" w:cs="仿宋_GB2312"/>
          <w:b w:val="0"/>
          <w:bCs/>
          <w:color w:val="auto"/>
          <w:sz w:val="32"/>
          <w:szCs w:val="32"/>
        </w:rPr>
        <w:t>（一）</w:t>
      </w:r>
      <w:r>
        <w:rPr>
          <w:rFonts w:hint="eastAsia" w:ascii="仿宋_GB2312" w:hAnsi="仿宋_GB2312" w:eastAsia="仿宋_GB2312" w:cs="仿宋_GB2312"/>
          <w:b w:val="0"/>
          <w:bCs/>
          <w:color w:val="auto"/>
          <w:sz w:val="32"/>
          <w:szCs w:val="32"/>
          <w:lang w:eastAsia="zh-CN"/>
        </w:rPr>
        <w:t>认真落实《报告表》提出的环境影响缓减措施及要求，避免出现环境污染和生态破坏事件。施工过程中须合理安排施工时序，不跨界施工，严格在施工红线范围内施工；尽量少占地，少破坏植物茂盛区；永临结合土方就近平衡；临时占地土地整治、植被恢复措施；剥离表土用于覆土绿化；临时排水及护坡措施，防治水土流失；禁止施工期间施工人员对动物的肆虐猎取和捕捉，增强对野生动物保护的宣传；减少夜间光源；优化施工时间，减少对动物的惊扰。在工程建设期结束前，应及时对临时占地的植被进行恢复，对临时施工道路平整后及时恢复原有土地用途，使项目开发建设对生态环境的影响降到最低程度。</w:t>
      </w:r>
    </w:p>
    <w:p w14:paraId="191491ED">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640" w:firstLineChars="200"/>
        <w:jc w:val="both"/>
        <w:textAlignment w:val="auto"/>
        <w:rPr>
          <w:rFonts w:hint="eastAsia" w:ascii="仿宋_GB2312" w:hAnsi="仿宋_GB2312" w:eastAsia="仿宋_GB2312" w:cs="仿宋_GB2312"/>
          <w:b w:val="0"/>
          <w:bCs/>
          <w:color w:val="auto"/>
          <w:sz w:val="32"/>
          <w:szCs w:val="32"/>
          <w:lang w:val="en-US"/>
        </w:rPr>
      </w:pPr>
      <w:r>
        <w:rPr>
          <w:rFonts w:hint="eastAsia" w:ascii="仿宋_GB2312" w:hAnsi="仿宋_GB2312" w:eastAsia="仿宋_GB2312" w:cs="仿宋_GB2312"/>
          <w:b w:val="0"/>
          <w:bCs/>
          <w:color w:val="auto"/>
          <w:sz w:val="32"/>
          <w:szCs w:val="32"/>
          <w:lang w:eastAsia="zh-CN"/>
        </w:rPr>
        <w:t>（二）</w:t>
      </w:r>
      <w:r>
        <w:rPr>
          <w:rFonts w:hint="eastAsia" w:ascii="仿宋_GB2312" w:hAnsi="仿宋_GB2312" w:eastAsia="仿宋_GB2312" w:cs="仿宋_GB2312"/>
          <w:b w:val="0"/>
          <w:bCs/>
          <w:color w:val="auto"/>
          <w:sz w:val="32"/>
          <w:szCs w:val="32"/>
        </w:rPr>
        <w:t>加强废水的污染防治。</w:t>
      </w:r>
      <w:r>
        <w:rPr>
          <w:rFonts w:hint="eastAsia" w:ascii="仿宋_GB2312" w:hAnsi="仿宋_GB2312" w:eastAsia="仿宋_GB2312" w:cs="仿宋_GB2312"/>
          <w:b w:val="0"/>
          <w:bCs w:val="0"/>
          <w:color w:val="auto"/>
          <w:sz w:val="32"/>
          <w:szCs w:val="32"/>
          <w:u w:val="none"/>
          <w:lang w:val="en-US" w:eastAsia="zh-CN"/>
        </w:rPr>
        <w:t>施工期生产废水经隔油沉淀后用于场地抑尘场区绿化，不外排;运营期生活污水经一体化污水处理装置处理后回用于场区绿化，不外排。</w:t>
      </w:r>
    </w:p>
    <w:p w14:paraId="1F33E4CC">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640" w:firstLineChars="200"/>
        <w:jc w:val="both"/>
        <w:textAlignment w:val="auto"/>
        <w:rPr>
          <w:rFonts w:hint="eastAsia" w:ascii="仿宋_GB2312" w:hAnsi="仿宋_GB2312" w:eastAsia="仿宋_GB2312" w:cs="仿宋_GB2312"/>
          <w:b w:val="0"/>
          <w:bCs/>
          <w:color w:val="auto"/>
          <w:sz w:val="32"/>
          <w:szCs w:val="32"/>
          <w:lang w:val="en-US" w:eastAsia="zh-CN"/>
        </w:rPr>
      </w:pPr>
      <w:r>
        <w:rPr>
          <w:rFonts w:hint="eastAsia" w:ascii="仿宋_GB2312" w:hAnsi="仿宋_GB2312" w:eastAsia="仿宋_GB2312" w:cs="仿宋_GB2312"/>
          <w:b w:val="0"/>
          <w:bCs/>
          <w:color w:val="auto"/>
          <w:sz w:val="32"/>
          <w:szCs w:val="32"/>
        </w:rPr>
        <w:t>（</w:t>
      </w:r>
      <w:r>
        <w:rPr>
          <w:rFonts w:hint="eastAsia" w:ascii="仿宋_GB2312" w:hAnsi="仿宋_GB2312" w:eastAsia="仿宋_GB2312" w:cs="仿宋_GB2312"/>
          <w:b w:val="0"/>
          <w:bCs/>
          <w:color w:val="auto"/>
          <w:sz w:val="32"/>
          <w:szCs w:val="32"/>
          <w:lang w:eastAsia="zh-CN"/>
        </w:rPr>
        <w:t>三</w:t>
      </w:r>
      <w:r>
        <w:rPr>
          <w:rFonts w:hint="eastAsia" w:ascii="仿宋_GB2312" w:hAnsi="仿宋_GB2312" w:eastAsia="仿宋_GB2312" w:cs="仿宋_GB2312"/>
          <w:b w:val="0"/>
          <w:bCs/>
          <w:color w:val="auto"/>
          <w:sz w:val="32"/>
          <w:szCs w:val="32"/>
        </w:rPr>
        <w:t>）</w:t>
      </w:r>
      <w:r>
        <w:rPr>
          <w:rFonts w:hint="eastAsia" w:ascii="仿宋_GB2312" w:hAnsi="仿宋_GB2312" w:eastAsia="仿宋_GB2312" w:cs="仿宋_GB2312"/>
          <w:b w:val="0"/>
          <w:bCs/>
          <w:color w:val="auto"/>
          <w:sz w:val="32"/>
          <w:szCs w:val="32"/>
          <w:lang w:eastAsia="zh-CN"/>
        </w:rPr>
        <w:t>按照《报告表》要求认真落实无组织废气污染治理措施。施工期严格落实“六个百分百”扬尘措施，加强对土建、物料堆场、施工营地等的科学设置与管理，粉状材料运输、存储必须采取密闭方式；优化施工现场组织，合理确定施工时间，避免大风天气施工作业；施工生产区地面硬化；使用商品混凝土；施工道路及裸露地面定期洒水；回填土、临时堆料采取围挡、覆盖措施；装卸建筑材料，必须采用封闭式车辆运输，减少扬尘对周边的环境污染。食堂油烟经油烟净化装置处理后排放。</w:t>
      </w:r>
    </w:p>
    <w:p w14:paraId="7D11424E">
      <w:pPr>
        <w:pStyle w:val="7"/>
        <w:keepNext w:val="0"/>
        <w:keepLines w:val="0"/>
        <w:pageBreakBefore w:val="0"/>
        <w:widowControl/>
        <w:suppressLineNumbers w:val="0"/>
        <w:kinsoku/>
        <w:wordWrap/>
        <w:overflowPunct/>
        <w:topLinePunct w:val="0"/>
        <w:autoSpaceDE/>
        <w:autoSpaceDN/>
        <w:bidi w:val="0"/>
        <w:spacing w:beforeAutospacing="0" w:afterAutospacing="0" w:line="360" w:lineRule="auto"/>
        <w:ind w:left="0" w:firstLine="640"/>
        <w:jc w:val="both"/>
        <w:textAlignment w:val="auto"/>
        <w:rPr>
          <w:rFonts w:hint="eastAsia" w:ascii="仿宋_GB2312" w:hAnsi="仿宋_GB2312" w:eastAsia="仿宋_GB2312" w:cs="仿宋_GB2312"/>
          <w:b w:val="0"/>
          <w:bCs/>
          <w:color w:val="auto"/>
          <w:sz w:val="32"/>
          <w:szCs w:val="32"/>
          <w:lang w:eastAsia="zh-CN"/>
        </w:rPr>
      </w:pPr>
      <w:r>
        <w:rPr>
          <w:rFonts w:hint="eastAsia" w:ascii="仿宋_GB2312" w:hAnsi="仿宋_GB2312" w:eastAsia="仿宋_GB2312" w:cs="仿宋_GB2312"/>
          <w:b w:val="0"/>
          <w:bCs/>
          <w:color w:val="auto"/>
          <w:sz w:val="32"/>
          <w:szCs w:val="32"/>
        </w:rPr>
        <w:t>（</w:t>
      </w:r>
      <w:r>
        <w:rPr>
          <w:rFonts w:hint="eastAsia" w:ascii="仿宋_GB2312" w:hAnsi="仿宋_GB2312" w:eastAsia="仿宋_GB2312" w:cs="仿宋_GB2312"/>
          <w:b w:val="0"/>
          <w:bCs/>
          <w:color w:val="auto"/>
          <w:sz w:val="32"/>
          <w:szCs w:val="32"/>
          <w:lang w:eastAsia="zh-CN"/>
        </w:rPr>
        <w:t>四</w:t>
      </w:r>
      <w:r>
        <w:rPr>
          <w:rFonts w:hint="eastAsia" w:ascii="仿宋_GB2312" w:hAnsi="仿宋_GB2312" w:eastAsia="仿宋_GB2312" w:cs="仿宋_GB2312"/>
          <w:b w:val="0"/>
          <w:bCs/>
          <w:color w:val="auto"/>
          <w:sz w:val="32"/>
          <w:szCs w:val="32"/>
        </w:rPr>
        <w:t>）加强固体废物的污染防治。应按“资源化、减量化、无害化”处置原则，认真落实固废分类收集、处置和综合利用措施，确保不造成二次污染。</w:t>
      </w:r>
      <w:r>
        <w:rPr>
          <w:rFonts w:hint="eastAsia" w:ascii="仿宋_GB2312" w:hAnsi="仿宋_GB2312" w:eastAsia="仿宋_GB2312" w:cs="仿宋_GB2312"/>
          <w:b w:val="0"/>
          <w:bCs/>
          <w:color w:val="auto"/>
          <w:sz w:val="32"/>
          <w:szCs w:val="32"/>
          <w:lang w:eastAsia="zh-CN"/>
        </w:rPr>
        <w:t>施工期间的工程弃渣在弃渣场妥善堆存；营运期产生的废变压器油、废机油、废蓄电池、</w:t>
      </w:r>
      <w:r>
        <w:rPr>
          <w:rFonts w:hint="eastAsia" w:ascii="仿宋_GB2312" w:hAnsi="仿宋_GB2312" w:eastAsia="仿宋_GB2312" w:cs="仿宋_GB2312"/>
          <w:color w:val="auto"/>
          <w:sz w:val="32"/>
          <w:szCs w:val="32"/>
        </w:rPr>
        <w:t>废蓄电池</w:t>
      </w:r>
      <w:r>
        <w:rPr>
          <w:rFonts w:hint="eastAsia" w:ascii="仿宋_GB2312" w:hAnsi="仿宋_GB2312" w:eastAsia="仿宋_GB2312" w:cs="仿宋_GB2312"/>
          <w:color w:val="auto"/>
          <w:sz w:val="32"/>
          <w:szCs w:val="32"/>
          <w:lang w:eastAsia="zh-CN"/>
        </w:rPr>
        <w:t>等危险废物应按相关要求做好暂存工作，并定期交由有资质的单位处置；</w:t>
      </w:r>
      <w:r>
        <w:rPr>
          <w:rFonts w:hint="eastAsia" w:ascii="仿宋_GB2312" w:hAnsi="仿宋_GB2312" w:eastAsia="仿宋_GB2312" w:cs="仿宋_GB2312"/>
          <w:b w:val="0"/>
          <w:bCs/>
          <w:color w:val="auto"/>
          <w:sz w:val="32"/>
          <w:szCs w:val="32"/>
        </w:rPr>
        <w:t>生活垃圾由环卫部门清运处理</w:t>
      </w:r>
      <w:r>
        <w:rPr>
          <w:rFonts w:hint="eastAsia" w:ascii="仿宋_GB2312" w:hAnsi="仿宋_GB2312" w:eastAsia="仿宋_GB2312" w:cs="仿宋_GB2312"/>
          <w:b w:val="0"/>
          <w:bCs/>
          <w:color w:val="auto"/>
          <w:sz w:val="32"/>
          <w:szCs w:val="32"/>
          <w:lang w:eastAsia="zh-CN"/>
        </w:rPr>
        <w:t>。</w:t>
      </w:r>
    </w:p>
    <w:p w14:paraId="0A2D0A9D">
      <w:pPr>
        <w:keepNext w:val="0"/>
        <w:keepLines w:val="0"/>
        <w:pageBreakBefore w:val="0"/>
        <w:widowControl/>
        <w:suppressLineNumbers w:val="0"/>
        <w:kinsoku/>
        <w:wordWrap/>
        <w:overflowPunct/>
        <w:topLinePunct w:val="0"/>
        <w:autoSpaceDE/>
        <w:autoSpaceDN/>
        <w:bidi w:val="0"/>
        <w:spacing w:beforeAutospacing="0" w:afterAutospacing="0" w:line="360" w:lineRule="auto"/>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val="0"/>
          <w:bCs/>
          <w:color w:val="auto"/>
          <w:sz w:val="32"/>
          <w:szCs w:val="32"/>
        </w:rPr>
        <w:t>（</w:t>
      </w:r>
      <w:r>
        <w:rPr>
          <w:rFonts w:hint="eastAsia" w:ascii="仿宋_GB2312" w:hAnsi="仿宋_GB2312" w:eastAsia="仿宋_GB2312" w:cs="仿宋_GB2312"/>
          <w:b w:val="0"/>
          <w:bCs/>
          <w:color w:val="auto"/>
          <w:sz w:val="32"/>
          <w:szCs w:val="32"/>
          <w:lang w:eastAsia="zh-CN"/>
        </w:rPr>
        <w:t>五</w:t>
      </w:r>
      <w:r>
        <w:rPr>
          <w:rFonts w:hint="eastAsia" w:ascii="仿宋_GB2312" w:hAnsi="仿宋_GB2312" w:eastAsia="仿宋_GB2312" w:cs="仿宋_GB2312"/>
          <w:b w:val="0"/>
          <w:bCs/>
          <w:color w:val="auto"/>
          <w:sz w:val="32"/>
          <w:szCs w:val="32"/>
        </w:rPr>
        <w:t>）加强噪声污染防治工作。合理布局，</w:t>
      </w:r>
      <w:r>
        <w:rPr>
          <w:rFonts w:hint="eastAsia" w:ascii="仿宋_GB2312" w:hAnsi="仿宋_GB2312" w:eastAsia="仿宋_GB2312" w:cs="仿宋_GB2312"/>
          <w:b w:val="0"/>
          <w:bCs/>
          <w:color w:val="auto"/>
          <w:sz w:val="32"/>
          <w:szCs w:val="32"/>
          <w:lang w:eastAsia="zh-CN"/>
        </w:rPr>
        <w:t>优先</w:t>
      </w:r>
      <w:r>
        <w:rPr>
          <w:rFonts w:hint="eastAsia" w:ascii="仿宋_GB2312" w:hAnsi="仿宋_GB2312" w:eastAsia="仿宋_GB2312" w:cs="仿宋_GB2312"/>
          <w:b w:val="0"/>
          <w:bCs/>
          <w:color w:val="auto"/>
          <w:sz w:val="32"/>
          <w:szCs w:val="32"/>
        </w:rPr>
        <w:t>选用低噪声设备，</w:t>
      </w:r>
      <w:r>
        <w:rPr>
          <w:rFonts w:hint="eastAsia" w:ascii="仿宋_GB2312" w:hAnsi="仿宋_GB2312" w:eastAsia="仿宋_GB2312" w:cs="仿宋_GB2312"/>
          <w:b w:val="0"/>
          <w:bCs/>
          <w:color w:val="auto"/>
          <w:sz w:val="32"/>
          <w:szCs w:val="32"/>
          <w:lang w:eastAsia="zh-CN"/>
        </w:rPr>
        <w:t>加强设备的运行维护，并</w:t>
      </w:r>
      <w:r>
        <w:rPr>
          <w:rFonts w:hint="eastAsia" w:ascii="仿宋_GB2312" w:hAnsi="仿宋_GB2312" w:eastAsia="仿宋_GB2312" w:cs="仿宋_GB2312"/>
          <w:b w:val="0"/>
          <w:bCs/>
          <w:color w:val="auto"/>
          <w:sz w:val="32"/>
          <w:szCs w:val="32"/>
        </w:rPr>
        <w:t>采取隔声、</w:t>
      </w:r>
      <w:r>
        <w:rPr>
          <w:rFonts w:hint="eastAsia" w:ascii="仿宋_GB2312" w:hAnsi="仿宋_GB2312" w:eastAsia="仿宋_GB2312" w:cs="仿宋_GB2312"/>
          <w:b w:val="0"/>
          <w:bCs/>
          <w:color w:val="auto"/>
          <w:sz w:val="32"/>
          <w:szCs w:val="32"/>
          <w:lang w:eastAsia="zh-CN"/>
        </w:rPr>
        <w:t>吸</w:t>
      </w:r>
      <w:r>
        <w:rPr>
          <w:rFonts w:hint="eastAsia" w:ascii="仿宋_GB2312" w:hAnsi="仿宋_GB2312" w:eastAsia="仿宋_GB2312" w:cs="仿宋_GB2312"/>
          <w:b w:val="0"/>
          <w:bCs/>
          <w:color w:val="auto"/>
          <w:sz w:val="32"/>
          <w:szCs w:val="32"/>
        </w:rPr>
        <w:t>声</w:t>
      </w:r>
      <w:r>
        <w:rPr>
          <w:rFonts w:hint="eastAsia" w:ascii="仿宋_GB2312" w:hAnsi="仿宋_GB2312" w:eastAsia="仿宋_GB2312" w:cs="仿宋_GB2312"/>
          <w:b w:val="0"/>
          <w:bCs/>
          <w:color w:val="auto"/>
          <w:sz w:val="32"/>
          <w:szCs w:val="32"/>
          <w:lang w:eastAsia="zh-CN"/>
        </w:rPr>
        <w:t>、消</w:t>
      </w:r>
      <w:r>
        <w:rPr>
          <w:rFonts w:hint="eastAsia" w:ascii="仿宋_GB2312" w:hAnsi="仿宋_GB2312" w:eastAsia="仿宋_GB2312" w:cs="仿宋_GB2312"/>
          <w:b w:val="0"/>
          <w:bCs/>
          <w:color w:val="auto"/>
          <w:sz w:val="32"/>
          <w:szCs w:val="32"/>
        </w:rPr>
        <w:t>声</w:t>
      </w:r>
      <w:r>
        <w:rPr>
          <w:rFonts w:hint="eastAsia" w:ascii="仿宋_GB2312" w:hAnsi="仿宋_GB2312" w:eastAsia="仿宋_GB2312" w:cs="仿宋_GB2312"/>
          <w:b w:val="0"/>
          <w:bCs/>
          <w:color w:val="auto"/>
          <w:sz w:val="32"/>
          <w:szCs w:val="32"/>
          <w:lang w:eastAsia="zh-CN"/>
        </w:rPr>
        <w:t>、</w:t>
      </w:r>
      <w:r>
        <w:rPr>
          <w:rFonts w:hint="eastAsia" w:ascii="仿宋_GB2312" w:hAnsi="仿宋_GB2312" w:eastAsia="仿宋_GB2312" w:cs="仿宋_GB2312"/>
          <w:b w:val="0"/>
          <w:bCs/>
          <w:color w:val="auto"/>
          <w:sz w:val="32"/>
          <w:szCs w:val="32"/>
        </w:rPr>
        <w:t>减震降噪等降噪措施，确保厂界噪声达到《工业企业厂界环境噪声排放标准》（GB12348-2008）</w:t>
      </w:r>
      <w:r>
        <w:rPr>
          <w:rFonts w:hint="eastAsia" w:ascii="仿宋_GB2312" w:hAnsi="仿宋_GB2312" w:eastAsia="仿宋_GB2312" w:cs="仿宋_GB2312"/>
          <w:b w:val="0"/>
          <w:bCs/>
          <w:color w:val="auto"/>
          <w:sz w:val="32"/>
          <w:szCs w:val="32"/>
          <w:lang w:val="en-US" w:eastAsia="zh-CN"/>
        </w:rPr>
        <w:t>2</w:t>
      </w:r>
      <w:r>
        <w:rPr>
          <w:rFonts w:hint="eastAsia" w:ascii="仿宋_GB2312" w:hAnsi="仿宋_GB2312" w:eastAsia="仿宋_GB2312" w:cs="仿宋_GB2312"/>
          <w:b w:val="0"/>
          <w:bCs/>
          <w:color w:val="auto"/>
          <w:sz w:val="32"/>
          <w:szCs w:val="32"/>
        </w:rPr>
        <w:t>类标准。预留噪声防治资金，若跟踪监测出现敏感点超标，</w:t>
      </w:r>
      <w:r>
        <w:rPr>
          <w:rFonts w:hint="eastAsia" w:ascii="仿宋_GB2312" w:hAnsi="仿宋_GB2312" w:eastAsia="仿宋_GB2312" w:cs="仿宋_GB2312"/>
          <w:color w:val="auto"/>
          <w:kern w:val="0"/>
          <w:sz w:val="32"/>
          <w:szCs w:val="32"/>
          <w:lang w:val="en-US" w:eastAsia="zh-CN" w:bidi="ar"/>
        </w:rPr>
        <w:t>建设单位需</w:t>
      </w:r>
      <w:r>
        <w:rPr>
          <w:rFonts w:hint="eastAsia" w:ascii="仿宋_GB2312" w:hAnsi="仿宋_GB2312" w:eastAsia="仿宋_GB2312" w:cs="仿宋_GB2312"/>
          <w:color w:val="auto"/>
          <w:sz w:val="32"/>
          <w:szCs w:val="32"/>
        </w:rPr>
        <w:t>对保护目标的房屋采取隔声方案</w:t>
      </w:r>
      <w:r>
        <w:rPr>
          <w:rFonts w:hint="eastAsia" w:ascii="仿宋_GB2312" w:hAnsi="仿宋_GB2312" w:eastAsia="仿宋_GB2312" w:cs="仿宋_GB2312"/>
          <w:color w:val="auto"/>
          <w:sz w:val="32"/>
          <w:szCs w:val="32"/>
          <w:lang w:eastAsia="zh-CN"/>
        </w:rPr>
        <w:t>。</w:t>
      </w:r>
    </w:p>
    <w:p w14:paraId="697D65A5">
      <w:pPr>
        <w:pStyle w:val="8"/>
        <w:keepNext w:val="0"/>
        <w:keepLines w:val="0"/>
        <w:pageBreakBefore w:val="0"/>
        <w:widowControl/>
        <w:suppressLineNumbers w:val="0"/>
        <w:kinsoku/>
        <w:wordWrap/>
        <w:overflowPunct/>
        <w:topLinePunct w:val="0"/>
        <w:autoSpaceDE/>
        <w:autoSpaceDN/>
        <w:bidi w:val="0"/>
        <w:spacing w:beforeAutospacing="0" w:afterAutospacing="0" w:line="360" w:lineRule="auto"/>
        <w:ind w:left="0" w:firstLine="420"/>
        <w:jc w:val="both"/>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b w:val="0"/>
          <w:bCs/>
          <w:color w:val="auto"/>
          <w:sz w:val="32"/>
          <w:szCs w:val="32"/>
        </w:rPr>
        <w:t>（</w:t>
      </w:r>
      <w:r>
        <w:rPr>
          <w:rFonts w:hint="eastAsia" w:ascii="仿宋_GB2312" w:hAnsi="仿宋_GB2312" w:eastAsia="仿宋_GB2312" w:cs="仿宋_GB2312"/>
          <w:b w:val="0"/>
          <w:bCs/>
          <w:color w:val="auto"/>
          <w:sz w:val="32"/>
          <w:szCs w:val="32"/>
          <w:lang w:eastAsia="zh-CN"/>
        </w:rPr>
        <w:t>六</w:t>
      </w:r>
      <w:r>
        <w:rPr>
          <w:rFonts w:hint="eastAsia" w:ascii="仿宋_GB2312" w:hAnsi="仿宋_GB2312" w:eastAsia="仿宋_GB2312" w:cs="仿宋_GB2312"/>
          <w:b w:val="0"/>
          <w:bCs/>
          <w:color w:val="auto"/>
          <w:sz w:val="32"/>
          <w:szCs w:val="32"/>
        </w:rPr>
        <w:t>）</w:t>
      </w:r>
      <w:r>
        <w:rPr>
          <w:rFonts w:hint="eastAsia" w:ascii="仿宋_GB2312" w:hAnsi="仿宋_GB2312" w:eastAsia="仿宋_GB2312" w:cs="仿宋_GB2312"/>
          <w:i w:val="0"/>
          <w:iCs w:val="0"/>
          <w:caps w:val="0"/>
          <w:color w:val="auto"/>
          <w:spacing w:val="0"/>
          <w:sz w:val="32"/>
          <w:szCs w:val="32"/>
        </w:rPr>
        <w:t>配合做好周边控规工作。你公司应配合当地政府及有关主管部门做好相关规划用地，在本工程区风机平台周边</w:t>
      </w:r>
      <w:r>
        <w:rPr>
          <w:rFonts w:hint="eastAsia" w:ascii="仿宋_GB2312" w:hAnsi="仿宋_GB2312" w:eastAsia="仿宋_GB2312" w:cs="仿宋_GB2312"/>
          <w:i w:val="0"/>
          <w:iCs w:val="0"/>
          <w:caps w:val="0"/>
          <w:color w:val="auto"/>
          <w:spacing w:val="0"/>
          <w:sz w:val="32"/>
          <w:szCs w:val="32"/>
          <w:lang w:val="en-US" w:eastAsia="zh-CN"/>
        </w:rPr>
        <w:t>400</w:t>
      </w:r>
      <w:bookmarkStart w:id="0" w:name="_GoBack"/>
      <w:bookmarkEnd w:id="0"/>
      <w:r>
        <w:rPr>
          <w:rFonts w:hint="eastAsia" w:ascii="仿宋_GB2312" w:hAnsi="仿宋_GB2312" w:eastAsia="仿宋_GB2312" w:cs="仿宋_GB2312"/>
          <w:i w:val="0"/>
          <w:iCs w:val="0"/>
          <w:caps w:val="0"/>
          <w:color w:val="auto"/>
          <w:spacing w:val="0"/>
          <w:sz w:val="32"/>
          <w:szCs w:val="32"/>
        </w:rPr>
        <w:t>米范围内禁止新建居民点、幼儿园、学校、医院等噪声敏感建筑物。</w:t>
      </w:r>
    </w:p>
    <w:p w14:paraId="74E1246F">
      <w:pPr>
        <w:pStyle w:val="8"/>
        <w:keepNext w:val="0"/>
        <w:keepLines w:val="0"/>
        <w:pageBreakBefore w:val="0"/>
        <w:widowControl/>
        <w:suppressLineNumbers w:val="0"/>
        <w:kinsoku/>
        <w:wordWrap/>
        <w:overflowPunct/>
        <w:topLinePunct w:val="0"/>
        <w:autoSpaceDE/>
        <w:autoSpaceDN/>
        <w:bidi w:val="0"/>
        <w:spacing w:beforeAutospacing="0" w:afterAutospacing="0" w:line="360" w:lineRule="auto"/>
        <w:ind w:left="0" w:firstLine="420"/>
        <w:jc w:val="both"/>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b w:val="0"/>
          <w:bCs/>
          <w:color w:val="auto"/>
          <w:sz w:val="32"/>
          <w:szCs w:val="32"/>
        </w:rPr>
        <w:t>（</w:t>
      </w:r>
      <w:r>
        <w:rPr>
          <w:rFonts w:hint="eastAsia" w:ascii="仿宋_GB2312" w:hAnsi="仿宋_GB2312" w:eastAsia="仿宋_GB2312" w:cs="仿宋_GB2312"/>
          <w:b w:val="0"/>
          <w:bCs/>
          <w:color w:val="auto"/>
          <w:sz w:val="32"/>
          <w:szCs w:val="32"/>
          <w:lang w:eastAsia="zh-CN"/>
        </w:rPr>
        <w:t>七</w:t>
      </w:r>
      <w:r>
        <w:rPr>
          <w:rFonts w:hint="eastAsia" w:ascii="仿宋_GB2312" w:hAnsi="仿宋_GB2312" w:eastAsia="仿宋_GB2312" w:cs="仿宋_GB2312"/>
          <w:b w:val="0"/>
          <w:bCs/>
          <w:color w:val="auto"/>
          <w:sz w:val="32"/>
          <w:szCs w:val="32"/>
        </w:rPr>
        <w:t>）</w:t>
      </w:r>
      <w:r>
        <w:rPr>
          <w:rFonts w:hint="eastAsia" w:ascii="仿宋_GB2312" w:hAnsi="仿宋_GB2312" w:eastAsia="仿宋_GB2312" w:cs="仿宋_GB2312"/>
          <w:i w:val="0"/>
          <w:iCs w:val="0"/>
          <w:caps w:val="0"/>
          <w:color w:val="auto"/>
          <w:spacing w:val="0"/>
          <w:sz w:val="32"/>
          <w:szCs w:val="32"/>
        </w:rPr>
        <w:t>加强环境管理。项目施工、运营过程中，若对周边环境保护目标的环境影响超出报告表预测结果，应及时采取停止施工、停止运行相应风机等措施。</w:t>
      </w:r>
    </w:p>
    <w:p w14:paraId="3C12279A">
      <w:pPr>
        <w:pStyle w:val="8"/>
        <w:keepNext w:val="0"/>
        <w:keepLines w:val="0"/>
        <w:pageBreakBefore w:val="0"/>
        <w:widowControl/>
        <w:suppressLineNumbers w:val="0"/>
        <w:kinsoku/>
        <w:wordWrap/>
        <w:overflowPunct/>
        <w:topLinePunct w:val="0"/>
        <w:autoSpaceDE/>
        <w:autoSpaceDN/>
        <w:bidi w:val="0"/>
        <w:spacing w:beforeAutospacing="0" w:afterAutospacing="0" w:line="360" w:lineRule="auto"/>
        <w:ind w:left="0" w:firstLine="420"/>
        <w:jc w:val="both"/>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b w:val="0"/>
          <w:bCs/>
          <w:color w:val="auto"/>
          <w:sz w:val="32"/>
          <w:szCs w:val="32"/>
        </w:rPr>
        <w:t>（</w:t>
      </w:r>
      <w:r>
        <w:rPr>
          <w:rFonts w:hint="eastAsia" w:ascii="仿宋_GB2312" w:hAnsi="仿宋_GB2312" w:eastAsia="仿宋_GB2312" w:cs="仿宋_GB2312"/>
          <w:b w:val="0"/>
          <w:bCs/>
          <w:color w:val="auto"/>
          <w:sz w:val="32"/>
          <w:szCs w:val="32"/>
          <w:lang w:eastAsia="zh-CN"/>
        </w:rPr>
        <w:t>八</w:t>
      </w:r>
      <w:r>
        <w:rPr>
          <w:rFonts w:hint="eastAsia" w:ascii="仿宋_GB2312" w:hAnsi="仿宋_GB2312" w:eastAsia="仿宋_GB2312" w:cs="仿宋_GB2312"/>
          <w:b w:val="0"/>
          <w:bCs/>
          <w:color w:val="auto"/>
          <w:sz w:val="32"/>
          <w:szCs w:val="32"/>
        </w:rPr>
        <w:t>）</w:t>
      </w:r>
      <w:r>
        <w:rPr>
          <w:rFonts w:hint="eastAsia" w:ascii="仿宋_GB2312" w:hAnsi="仿宋_GB2312" w:eastAsia="仿宋_GB2312" w:cs="仿宋_GB2312"/>
          <w:i w:val="0"/>
          <w:iCs w:val="0"/>
          <w:caps w:val="0"/>
          <w:color w:val="auto"/>
          <w:spacing w:val="0"/>
          <w:sz w:val="32"/>
          <w:szCs w:val="32"/>
        </w:rPr>
        <w:t>强化生态环境保护措施。按水行政主管部门批复的水土保持方案，采取有效措施加强生态修复、恢复工作，防止水土流失。严格落实报告表中提出的相关鸟类保护措施。加强鸟类保护宣传，切实履行保护职责；完善鸟类保护措施，不得捕杀。</w:t>
      </w:r>
    </w:p>
    <w:p w14:paraId="091995B4">
      <w:pPr>
        <w:pStyle w:val="8"/>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645"/>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三、环境影响评价是对建设项目实施后可能造成的不良环境影响提出预防或减轻的对策和措施，本意见仅针对环境影响提出相关要求，项目如涉及土地、规划、林业、应急、水利、消防、水土保持、立项等方面，请按规定到相应行政主管部门依法办理手续。</w:t>
      </w:r>
    </w:p>
    <w:p w14:paraId="7A215C46">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640" w:firstLineChars="200"/>
        <w:jc w:val="both"/>
        <w:textAlignment w:val="auto"/>
        <w:rPr>
          <w:rFonts w:hint="eastAsia" w:ascii="仿宋_GB2312" w:hAnsi="仿宋_GB2312" w:eastAsia="仿宋_GB2312" w:cs="仿宋_GB2312"/>
          <w:b w:val="0"/>
          <w:bCs/>
          <w:color w:val="auto"/>
          <w:sz w:val="32"/>
          <w:szCs w:val="32"/>
          <w:u w:val="none" w:color="auto"/>
        </w:rPr>
      </w:pPr>
      <w:r>
        <w:rPr>
          <w:rFonts w:hint="eastAsia" w:ascii="仿宋_GB2312" w:hAnsi="仿宋_GB2312" w:eastAsia="仿宋_GB2312" w:cs="仿宋_GB2312"/>
          <w:b w:val="0"/>
          <w:bCs/>
          <w:color w:val="auto"/>
          <w:sz w:val="32"/>
          <w:szCs w:val="32"/>
          <w:u w:val="none" w:color="auto"/>
          <w:lang w:eastAsia="zh-CN"/>
        </w:rPr>
        <w:t>四</w:t>
      </w:r>
      <w:r>
        <w:rPr>
          <w:rFonts w:hint="eastAsia" w:ascii="仿宋_GB2312" w:hAnsi="仿宋_GB2312" w:eastAsia="仿宋_GB2312" w:cs="仿宋_GB2312"/>
          <w:b w:val="0"/>
          <w:bCs/>
          <w:color w:val="auto"/>
          <w:sz w:val="32"/>
          <w:szCs w:val="32"/>
          <w:u w:val="none" w:color="auto"/>
        </w:rPr>
        <w:t>、项目建设必须严格执行配套的环境保护设施与主体工程同时设计、同时施工、同时投产使用的环境保护“三同时”制度。建设单位应按照《建设项目环境保护管理条例》的规定，及时开展建设项目竣工环境保护自主验收，并将建设项目竣工环境保护验收监测报告和验收意见报送我局备案；在启动生产设施或实际排污之前应依法取得排污许可证。</w:t>
      </w:r>
    </w:p>
    <w:p w14:paraId="769C9484">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640" w:firstLineChars="200"/>
        <w:jc w:val="both"/>
        <w:textAlignment w:val="auto"/>
        <w:rPr>
          <w:rFonts w:hint="eastAsia" w:ascii="仿宋_GB2312" w:hAnsi="仿宋_GB2312" w:eastAsia="仿宋_GB2312" w:cs="仿宋_GB2312"/>
          <w:b w:val="0"/>
          <w:bCs/>
          <w:color w:val="auto"/>
          <w:sz w:val="32"/>
          <w:szCs w:val="32"/>
          <w:u w:val="none" w:color="auto"/>
        </w:rPr>
      </w:pPr>
      <w:r>
        <w:rPr>
          <w:rFonts w:hint="eastAsia" w:ascii="仿宋_GB2312" w:hAnsi="仿宋_GB2312" w:eastAsia="仿宋_GB2312" w:cs="仿宋_GB2312"/>
          <w:b w:val="0"/>
          <w:bCs/>
          <w:color w:val="auto"/>
          <w:sz w:val="32"/>
          <w:szCs w:val="32"/>
          <w:u w:val="none" w:color="auto"/>
          <w:lang w:eastAsia="zh-CN"/>
        </w:rPr>
        <w:t>五、</w:t>
      </w:r>
      <w:r>
        <w:rPr>
          <w:rFonts w:hint="eastAsia" w:ascii="仿宋_GB2312" w:hAnsi="仿宋_GB2312" w:eastAsia="仿宋_GB2312" w:cs="仿宋_GB2312"/>
          <w:b w:val="0"/>
          <w:bCs/>
          <w:color w:val="auto"/>
          <w:sz w:val="32"/>
          <w:szCs w:val="32"/>
          <w:u w:val="none" w:color="auto"/>
        </w:rPr>
        <w:t>环境影响报告表经批准后，该项目的性质、规模、地点、生产工艺和环境保护措施发生重大变动的，须重新报批环境影响报告表。自环境影响报告表批复文件批准之日起，如超过5年</w:t>
      </w:r>
      <w:r>
        <w:rPr>
          <w:rFonts w:hint="eastAsia" w:ascii="仿宋_GB2312" w:hAnsi="仿宋_GB2312" w:eastAsia="仿宋_GB2312" w:cs="仿宋_GB2312"/>
          <w:b w:val="0"/>
          <w:bCs/>
          <w:color w:val="auto"/>
          <w:sz w:val="32"/>
          <w:szCs w:val="32"/>
          <w:u w:val="none" w:color="auto"/>
          <w:lang w:eastAsia="zh-CN"/>
        </w:rPr>
        <w:t>方</w:t>
      </w:r>
      <w:r>
        <w:rPr>
          <w:rFonts w:hint="eastAsia" w:ascii="仿宋_GB2312" w:hAnsi="仿宋_GB2312" w:eastAsia="仿宋_GB2312" w:cs="仿宋_GB2312"/>
          <w:b w:val="0"/>
          <w:bCs/>
          <w:color w:val="auto"/>
          <w:sz w:val="32"/>
          <w:szCs w:val="32"/>
          <w:u w:val="none" w:color="auto"/>
        </w:rPr>
        <w:t>决定工程开工建设的，环境影响报告表应当报我局重新审核。</w:t>
      </w:r>
    </w:p>
    <w:p w14:paraId="1CAD9D30">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640" w:firstLineChars="200"/>
        <w:jc w:val="both"/>
        <w:textAlignment w:val="auto"/>
        <w:rPr>
          <w:rFonts w:hint="eastAsia" w:ascii="仿宋_GB2312" w:hAnsi="仿宋_GB2312" w:eastAsia="仿宋_GB2312" w:cs="仿宋_GB2312"/>
          <w:b w:val="0"/>
          <w:bCs/>
          <w:color w:val="auto"/>
          <w:sz w:val="32"/>
          <w:szCs w:val="32"/>
          <w:u w:val="none" w:color="auto"/>
        </w:rPr>
      </w:pPr>
      <w:r>
        <w:rPr>
          <w:rFonts w:hint="eastAsia" w:ascii="仿宋_GB2312" w:hAnsi="仿宋_GB2312" w:eastAsia="仿宋_GB2312" w:cs="仿宋_GB2312"/>
          <w:b w:val="0"/>
          <w:bCs/>
          <w:color w:val="auto"/>
          <w:sz w:val="32"/>
          <w:szCs w:val="32"/>
          <w:u w:val="none" w:color="auto"/>
          <w:lang w:eastAsia="zh-CN"/>
        </w:rPr>
        <w:t>六</w:t>
      </w:r>
      <w:r>
        <w:rPr>
          <w:rFonts w:hint="eastAsia" w:ascii="仿宋_GB2312" w:hAnsi="仿宋_GB2312" w:eastAsia="仿宋_GB2312" w:cs="仿宋_GB2312"/>
          <w:b w:val="0"/>
          <w:bCs/>
          <w:color w:val="auto"/>
          <w:sz w:val="32"/>
          <w:szCs w:val="32"/>
          <w:u w:val="none" w:color="auto"/>
        </w:rPr>
        <w:t>、衡阳县生态环境保护综合行政执法大队将该项目纳入日常监管并履行项目建设及运营后现场监管职责。</w:t>
      </w:r>
    </w:p>
    <w:p w14:paraId="6BAC8C3B">
      <w:pPr>
        <w:keepNext w:val="0"/>
        <w:keepLines w:val="0"/>
        <w:pageBreakBefore w:val="0"/>
        <w:widowControl w:val="0"/>
        <w:kinsoku/>
        <w:wordWrap/>
        <w:overflowPunct/>
        <w:topLinePunct w:val="0"/>
        <w:autoSpaceDE/>
        <w:autoSpaceDN/>
        <w:bidi w:val="0"/>
        <w:adjustRightInd/>
        <w:snapToGrid/>
        <w:spacing w:beforeAutospacing="0" w:afterAutospacing="0" w:line="360" w:lineRule="auto"/>
        <w:jc w:val="both"/>
        <w:textAlignment w:val="auto"/>
        <w:rPr>
          <w:rFonts w:hint="eastAsia" w:ascii="仿宋_GB2312" w:hAnsi="仿宋_GB2312" w:eastAsia="仿宋_GB2312" w:cs="仿宋_GB2312"/>
          <w:b w:val="0"/>
          <w:bCs/>
          <w:color w:val="auto"/>
          <w:sz w:val="32"/>
          <w:szCs w:val="32"/>
          <w:u w:val="none" w:color="auto"/>
        </w:rPr>
      </w:pPr>
    </w:p>
    <w:p w14:paraId="70792268">
      <w:pPr>
        <w:pStyle w:val="2"/>
        <w:keepNext w:val="0"/>
        <w:keepLines w:val="0"/>
        <w:pageBreakBefore w:val="0"/>
        <w:kinsoku/>
        <w:wordWrap/>
        <w:overflowPunct/>
        <w:topLinePunct w:val="0"/>
        <w:bidi w:val="0"/>
        <w:spacing w:beforeAutospacing="0" w:afterAutospacing="0" w:line="360" w:lineRule="auto"/>
        <w:textAlignment w:val="auto"/>
        <w:rPr>
          <w:rFonts w:hint="eastAsia" w:ascii="仿宋_GB2312" w:hAnsi="仿宋_GB2312" w:eastAsia="仿宋_GB2312" w:cs="仿宋_GB2312"/>
          <w:b w:val="0"/>
          <w:bCs/>
          <w:color w:val="auto"/>
          <w:sz w:val="32"/>
          <w:szCs w:val="32"/>
          <w:u w:val="none" w:color="auto"/>
        </w:rPr>
      </w:pPr>
    </w:p>
    <w:p w14:paraId="0B0A5EDD">
      <w:pPr>
        <w:pStyle w:val="2"/>
        <w:keepNext w:val="0"/>
        <w:keepLines w:val="0"/>
        <w:pageBreakBefore w:val="0"/>
        <w:kinsoku/>
        <w:wordWrap/>
        <w:overflowPunct/>
        <w:topLinePunct w:val="0"/>
        <w:bidi w:val="0"/>
        <w:spacing w:beforeAutospacing="0" w:afterAutospacing="0" w:line="360" w:lineRule="auto"/>
        <w:textAlignment w:val="auto"/>
        <w:rPr>
          <w:rFonts w:hint="eastAsia" w:ascii="仿宋_GB2312" w:hAnsi="仿宋_GB2312" w:eastAsia="仿宋_GB2312" w:cs="仿宋_GB2312"/>
          <w:b w:val="0"/>
          <w:bCs/>
          <w:color w:val="auto"/>
          <w:sz w:val="32"/>
          <w:szCs w:val="32"/>
          <w:u w:val="none" w:color="auto"/>
        </w:rPr>
      </w:pPr>
    </w:p>
    <w:p w14:paraId="7B8C4504">
      <w:pPr>
        <w:pStyle w:val="2"/>
        <w:keepNext w:val="0"/>
        <w:keepLines w:val="0"/>
        <w:pageBreakBefore w:val="0"/>
        <w:kinsoku/>
        <w:wordWrap/>
        <w:overflowPunct/>
        <w:topLinePunct w:val="0"/>
        <w:bidi w:val="0"/>
        <w:spacing w:beforeAutospacing="0" w:afterAutospacing="0" w:line="360" w:lineRule="auto"/>
        <w:textAlignment w:val="auto"/>
        <w:rPr>
          <w:rFonts w:hint="eastAsia" w:ascii="仿宋_GB2312" w:hAnsi="仿宋_GB2312" w:eastAsia="仿宋_GB2312" w:cs="仿宋_GB2312"/>
          <w:b w:val="0"/>
          <w:bCs/>
          <w:color w:val="auto"/>
          <w:sz w:val="32"/>
          <w:szCs w:val="32"/>
          <w:u w:val="none" w:color="auto"/>
        </w:rPr>
      </w:pPr>
    </w:p>
    <w:p w14:paraId="64DAC24E">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640" w:firstLineChars="200"/>
        <w:jc w:val="right"/>
        <w:textAlignment w:val="auto"/>
        <w:rPr>
          <w:rFonts w:hint="eastAsia" w:ascii="仿宋_GB2312" w:hAnsi="仿宋_GB2312" w:eastAsia="仿宋_GB2312" w:cs="仿宋_GB2312"/>
          <w:b w:val="0"/>
          <w:bCs/>
          <w:color w:val="000000"/>
          <w:sz w:val="32"/>
          <w:szCs w:val="32"/>
        </w:rPr>
      </w:pPr>
      <w:r>
        <w:rPr>
          <w:rFonts w:hint="eastAsia" w:ascii="仿宋_GB2312" w:hAnsi="仿宋_GB2312" w:eastAsia="仿宋_GB2312" w:cs="仿宋_GB2312"/>
          <w:b w:val="0"/>
          <w:bCs/>
          <w:color w:val="auto"/>
          <w:sz w:val="32"/>
          <w:szCs w:val="32"/>
          <w:u w:val="none" w:color="auto"/>
        </w:rPr>
        <w:t>衡阳市生态环境局                                202</w:t>
      </w:r>
      <w:r>
        <w:rPr>
          <w:rFonts w:hint="eastAsia" w:ascii="仿宋_GB2312" w:hAnsi="仿宋_GB2312" w:eastAsia="仿宋_GB2312" w:cs="仿宋_GB2312"/>
          <w:b w:val="0"/>
          <w:bCs/>
          <w:color w:val="auto"/>
          <w:sz w:val="32"/>
          <w:szCs w:val="32"/>
          <w:u w:val="none" w:color="auto"/>
          <w:lang w:val="en-US" w:eastAsia="zh-CN"/>
        </w:rPr>
        <w:t>5</w:t>
      </w:r>
      <w:r>
        <w:rPr>
          <w:rFonts w:hint="eastAsia" w:ascii="仿宋_GB2312" w:hAnsi="仿宋_GB2312" w:eastAsia="仿宋_GB2312" w:cs="仿宋_GB2312"/>
          <w:b w:val="0"/>
          <w:bCs/>
          <w:color w:val="auto"/>
          <w:sz w:val="32"/>
          <w:szCs w:val="32"/>
          <w:u w:val="none" w:color="auto"/>
        </w:rPr>
        <w:t>年</w:t>
      </w:r>
      <w:r>
        <w:rPr>
          <w:rFonts w:hint="eastAsia" w:ascii="仿宋_GB2312" w:hAnsi="仿宋_GB2312" w:eastAsia="仿宋_GB2312" w:cs="仿宋_GB2312"/>
          <w:b w:val="0"/>
          <w:bCs/>
          <w:color w:val="auto"/>
          <w:sz w:val="32"/>
          <w:szCs w:val="32"/>
          <w:u w:val="none" w:color="auto"/>
          <w:lang w:val="en-US" w:eastAsia="zh-CN"/>
        </w:rPr>
        <w:t>8</w:t>
      </w:r>
      <w:r>
        <w:rPr>
          <w:rFonts w:hint="eastAsia" w:ascii="仿宋_GB2312" w:hAnsi="仿宋_GB2312" w:eastAsia="仿宋_GB2312" w:cs="仿宋_GB2312"/>
          <w:b w:val="0"/>
          <w:bCs/>
          <w:color w:val="auto"/>
          <w:sz w:val="32"/>
          <w:szCs w:val="32"/>
          <w:u w:val="none" w:color="auto"/>
        </w:rPr>
        <w:t>月</w:t>
      </w:r>
      <w:r>
        <w:rPr>
          <w:rFonts w:hint="eastAsia" w:ascii="仿宋_GB2312" w:hAnsi="仿宋_GB2312" w:eastAsia="仿宋_GB2312" w:cs="仿宋_GB2312"/>
          <w:b w:val="0"/>
          <w:bCs/>
          <w:color w:val="auto"/>
          <w:sz w:val="32"/>
          <w:szCs w:val="32"/>
          <w:u w:val="none" w:color="auto"/>
          <w:lang w:val="en-US" w:eastAsia="zh-CN"/>
        </w:rPr>
        <w:t>8</w:t>
      </w:r>
      <w:r>
        <w:rPr>
          <w:rFonts w:hint="eastAsia" w:ascii="仿宋_GB2312" w:hAnsi="仿宋_GB2312" w:eastAsia="仿宋_GB2312" w:cs="仿宋_GB2312"/>
          <w:b w:val="0"/>
          <w:bCs/>
          <w:color w:val="auto"/>
          <w:sz w:val="32"/>
          <w:szCs w:val="32"/>
          <w:u w:val="none" w:color="auto"/>
        </w:rPr>
        <w:t xml:space="preserve">日                           </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00007A87" w:usb1="80000000" w:usb2="00000008"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仿宋_GBK">
    <w:panose1 w:val="02000000000000000000"/>
    <w:charset w:val="86"/>
    <w:family w:val="auto"/>
    <w:pitch w:val="default"/>
    <w:sig w:usb0="00000001" w:usb1="08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13CE18">
    <w:pPr>
      <w:pStyle w:val="5"/>
    </w:pPr>
    <w:r>
      <w:rPr>
        <w:sz w:val="18"/>
      </w:rPr>
      <w:pict>
        <v:shape id="_x0000_s4097" o:spid="_x0000_s4097"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68C7E359">
                <w:pPr>
                  <w:pStyle w:val="5"/>
                </w:pPr>
                <w:r>
                  <w:fldChar w:fldCharType="begin"/>
                </w:r>
                <w:r>
                  <w:instrText xml:space="preserve"> PAGE  \* MERGEFORMAT </w:instrText>
                </w:r>
                <w:r>
                  <w:fldChar w:fldCharType="separate"/>
                </w:r>
                <w:r>
                  <w:t>1</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00172A27"/>
    <w:rsid w:val="00021A00"/>
    <w:rsid w:val="00083973"/>
    <w:rsid w:val="000A1DA3"/>
    <w:rsid w:val="00172A27"/>
    <w:rsid w:val="001B5F5A"/>
    <w:rsid w:val="001F54B2"/>
    <w:rsid w:val="00234BC5"/>
    <w:rsid w:val="00242F3C"/>
    <w:rsid w:val="002B29BF"/>
    <w:rsid w:val="002C4BF7"/>
    <w:rsid w:val="0058253E"/>
    <w:rsid w:val="00594A83"/>
    <w:rsid w:val="006C443C"/>
    <w:rsid w:val="006E22AB"/>
    <w:rsid w:val="00975F42"/>
    <w:rsid w:val="00AE7064"/>
    <w:rsid w:val="00B66779"/>
    <w:rsid w:val="00BD3E27"/>
    <w:rsid w:val="00BE104E"/>
    <w:rsid w:val="00C5462F"/>
    <w:rsid w:val="00C91275"/>
    <w:rsid w:val="00D06D76"/>
    <w:rsid w:val="00E27674"/>
    <w:rsid w:val="00F0332E"/>
    <w:rsid w:val="00FA1F2B"/>
    <w:rsid w:val="06CB90F3"/>
    <w:rsid w:val="146D47D1"/>
    <w:rsid w:val="152E289C"/>
    <w:rsid w:val="1FBCE9C2"/>
    <w:rsid w:val="21AF4504"/>
    <w:rsid w:val="2B5D164D"/>
    <w:rsid w:val="2EE6F44A"/>
    <w:rsid w:val="30DA723C"/>
    <w:rsid w:val="34C706BD"/>
    <w:rsid w:val="3DFB3105"/>
    <w:rsid w:val="3EBC00FD"/>
    <w:rsid w:val="43D741F4"/>
    <w:rsid w:val="46136BEF"/>
    <w:rsid w:val="467CC39F"/>
    <w:rsid w:val="4F376FE4"/>
    <w:rsid w:val="4F5AF999"/>
    <w:rsid w:val="50D94D66"/>
    <w:rsid w:val="5BEEBC36"/>
    <w:rsid w:val="5F775DD4"/>
    <w:rsid w:val="5FF2B8FD"/>
    <w:rsid w:val="61DF7C86"/>
    <w:rsid w:val="62D87F2E"/>
    <w:rsid w:val="62F90F44"/>
    <w:rsid w:val="65FCDA24"/>
    <w:rsid w:val="6BBFFCA8"/>
    <w:rsid w:val="6CA7A3FD"/>
    <w:rsid w:val="6FFD8CC2"/>
    <w:rsid w:val="713C7FF8"/>
    <w:rsid w:val="72FB2A67"/>
    <w:rsid w:val="736FDE59"/>
    <w:rsid w:val="73FF9E4A"/>
    <w:rsid w:val="74CD9D08"/>
    <w:rsid w:val="79FB8F86"/>
    <w:rsid w:val="7BBF0FC0"/>
    <w:rsid w:val="7EF78F42"/>
    <w:rsid w:val="7EFB73CF"/>
    <w:rsid w:val="7F96BCD5"/>
    <w:rsid w:val="B26F95B9"/>
    <w:rsid w:val="BFEF85E2"/>
    <w:rsid w:val="C4FBE205"/>
    <w:rsid w:val="DEF5F149"/>
    <w:rsid w:val="DF3F66B2"/>
    <w:rsid w:val="DFF57F32"/>
    <w:rsid w:val="EDB7D1C0"/>
    <w:rsid w:val="EFFCFC95"/>
    <w:rsid w:val="F5556115"/>
    <w:rsid w:val="F67553C3"/>
    <w:rsid w:val="FBF599E5"/>
    <w:rsid w:val="FBFB04F0"/>
    <w:rsid w:val="FBFE37A9"/>
    <w:rsid w:val="FD5F44F5"/>
    <w:rsid w:val="FDCDB298"/>
    <w:rsid w:val="FDEE1682"/>
    <w:rsid w:val="FF653FB9"/>
    <w:rsid w:val="FFBCBE1F"/>
    <w:rsid w:val="FFBF7480"/>
    <w:rsid w:val="FFFFBEC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keepNext/>
      <w:keepLines/>
      <w:spacing w:beforeAutospacing="0" w:afterAutospacing="0" w:line="360" w:lineRule="auto"/>
      <w:ind w:firstLine="0" w:firstLineChars="0"/>
      <w:outlineLvl w:val="0"/>
    </w:pPr>
    <w:rPr>
      <w:rFonts w:ascii="Times New Roman" w:hAnsi="Times New Roman" w:eastAsia="宋体" w:cs="Times New Roman"/>
      <w:b/>
      <w:bCs/>
      <w:color w:val="000000"/>
      <w:kern w:val="44"/>
      <w:sz w:val="32"/>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customStyle="1" w:styleId="2">
    <w:name w:val="Default"/>
    <w:basedOn w:val="3"/>
    <w:unhideWhenUsed/>
    <w:qFormat/>
    <w:uiPriority w:val="99"/>
    <w:pPr>
      <w:widowControl w:val="0"/>
      <w:autoSpaceDE w:val="0"/>
      <w:autoSpaceDN w:val="0"/>
      <w:adjustRightInd w:val="0"/>
    </w:pPr>
    <w:rPr>
      <w:rFonts w:hint="eastAsia" w:eastAsia="Times New Roman"/>
      <w:color w:val="000000"/>
      <w:sz w:val="24"/>
      <w:szCs w:val="22"/>
      <w:lang w:val="en-US" w:eastAsia="zh-CN" w:bidi="ar-SA"/>
    </w:rPr>
  </w:style>
  <w:style w:type="paragraph" w:customStyle="1" w:styleId="3">
    <w:name w:val="纯文本1"/>
    <w:basedOn w:val="1"/>
    <w:qFormat/>
    <w:uiPriority w:val="0"/>
    <w:rPr>
      <w:rFonts w:hint="eastAsia" w:ascii="宋体" w:hAnsi="Courier New"/>
      <w:szCs w:val="24"/>
    </w:rPr>
  </w:style>
  <w:style w:type="paragraph" w:styleId="5">
    <w:name w:val="footer"/>
    <w:basedOn w:val="1"/>
    <w:link w:val="12"/>
    <w:qFormat/>
    <w:uiPriority w:val="0"/>
    <w:pPr>
      <w:tabs>
        <w:tab w:val="center" w:pos="4153"/>
        <w:tab w:val="right" w:pos="8306"/>
      </w:tabs>
      <w:snapToGrid w:val="0"/>
      <w:jc w:val="left"/>
    </w:pPr>
    <w:rPr>
      <w:sz w:val="18"/>
      <w:szCs w:val="18"/>
    </w:rPr>
  </w:style>
  <w:style w:type="paragraph" w:styleId="6">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11">
    <w:name w:val="页眉 Char"/>
    <w:basedOn w:val="10"/>
    <w:link w:val="6"/>
    <w:qFormat/>
    <w:uiPriority w:val="0"/>
    <w:rPr>
      <w:kern w:val="2"/>
      <w:sz w:val="18"/>
      <w:szCs w:val="18"/>
    </w:rPr>
  </w:style>
  <w:style w:type="character" w:customStyle="1" w:styleId="12">
    <w:name w:val="页脚 Char"/>
    <w:basedOn w:val="10"/>
    <w:link w:val="5"/>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5</Pages>
  <Words>257</Words>
  <Characters>1466</Characters>
  <Lines>12</Lines>
  <Paragraphs>3</Paragraphs>
  <TotalTime>243</TotalTime>
  <ScaleCrop>false</ScaleCrop>
  <LinksUpToDate>false</LinksUpToDate>
  <CharactersWithSpaces>1720</CharactersWithSpaces>
  <Application>WPS Office_12.8.2.1114_F1E327BC-269C-435d-A152-05C5408002CA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2022-10-31T08:30:00Z</dcterms:created>
  <dc:creator>HYT</dc:creator>
  <cp:lastModifiedBy>kylin</cp:lastModifiedBy>
  <cp:lastPrinted>2025-08-08T14:45:33Z</cp:lastPrinted>
  <dcterms:modified xsi:type="dcterms:W3CDTF">2025-08-08T14:45:49Z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2052-12.8.2.1114</vt:lpwstr>
  </property>
  <property fmtid="{D5CDD505-2E9C-101B-9397-08002B2CF9AE}" pid="3" name="ICV">
    <vt:lpwstr>82A10C1610CDD9A53EAC21681AE21230_42</vt:lpwstr>
  </property>
</Properties>
</file>