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60DEAF96">
      <w:pPr>
        <w:spacing w:line="660" w:lineRule="exact"/>
        <w:jc w:val="center"/>
        <w:rPr>
          <w:rFonts w:hint="eastAsia" w:ascii="方正小标宋简体" w:hAnsi="宋体" w:eastAsia="方正小标宋简体"/>
          <w:b/>
          <w:bCs w:val="0"/>
          <w:sz w:val="36"/>
          <w:szCs w:val="36"/>
          <w:lang w:eastAsia="zh-CN"/>
        </w:rPr>
      </w:pPr>
      <w:r>
        <w:rPr>
          <w:rFonts w:hint="eastAsia" w:ascii="方正小标宋简体" w:hAnsi="宋体" w:eastAsia="方正小标宋简体"/>
          <w:b/>
          <w:bCs w:val="0"/>
          <w:sz w:val="36"/>
          <w:szCs w:val="36"/>
        </w:rPr>
        <w:t>关于</w:t>
      </w:r>
      <w:r>
        <w:rPr>
          <w:rFonts w:hint="eastAsia" w:ascii="方正小标宋简体" w:hAnsi="宋体" w:eastAsia="方正小标宋简体"/>
          <w:b/>
          <w:bCs w:val="0"/>
          <w:sz w:val="36"/>
          <w:szCs w:val="36"/>
          <w:lang w:eastAsia="zh-CN"/>
        </w:rPr>
        <w:t>衡阳县财源页岩砖有限公司资源化利用</w:t>
      </w:r>
    </w:p>
    <w:p w14:paraId="3238873E">
      <w:pPr>
        <w:spacing w:line="660" w:lineRule="exact"/>
        <w:jc w:val="center"/>
        <w:rPr>
          <w:rFonts w:hint="eastAsia" w:ascii="方正小标宋简体" w:hAnsi="宋体" w:eastAsia="方正小标宋简体"/>
          <w:b/>
          <w:bCs w:val="0"/>
          <w:sz w:val="36"/>
          <w:szCs w:val="36"/>
          <w:lang w:eastAsia="zh-CN"/>
        </w:rPr>
      </w:pPr>
      <w:r>
        <w:rPr>
          <w:rFonts w:hint="eastAsia" w:ascii="方正小标宋简体" w:hAnsi="宋体" w:eastAsia="方正小标宋简体"/>
          <w:b/>
          <w:bCs w:val="0"/>
          <w:sz w:val="36"/>
          <w:szCs w:val="36"/>
          <w:lang w:eastAsia="zh-CN"/>
        </w:rPr>
        <w:t>珠晖区原中盐天友及学宫路遗留废渣</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lang w:eastAsia="zh-CN"/>
        </w:rPr>
        <w:t>项目</w:t>
      </w:r>
      <w:r>
        <w:rPr>
          <w:rFonts w:hint="eastAsia" w:ascii="方正小标宋简体" w:hAnsi="宋体" w:eastAsia="方正小标宋简体"/>
          <w:b/>
          <w:bCs w:val="0"/>
          <w:sz w:val="36"/>
          <w:szCs w:val="36"/>
        </w:rPr>
        <w:t>环境影响报告表的批复</w:t>
      </w:r>
    </w:p>
    <w:p w14:paraId="5357FD5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color w:val="1E40D2"/>
          <w:sz w:val="24"/>
        </w:rPr>
      </w:pPr>
    </w:p>
    <w:p w14:paraId="79A3869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衡阳县财源页岩砖有限公司</w:t>
      </w:r>
      <w:r>
        <w:rPr>
          <w:rFonts w:hint="eastAsia" w:ascii="仿宋_GB2312" w:hAnsi="仿宋_GB2312" w:eastAsia="仿宋_GB2312" w:cs="仿宋_GB2312"/>
          <w:color w:val="auto"/>
          <w:sz w:val="32"/>
          <w:szCs w:val="32"/>
        </w:rPr>
        <w:t>：</w:t>
      </w:r>
    </w:p>
    <w:p w14:paraId="17CF45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你公司《</w:t>
      </w:r>
      <w:r>
        <w:rPr>
          <w:rFonts w:hint="eastAsia" w:ascii="仿宋_GB2312" w:hAnsi="仿宋_GB2312" w:eastAsia="仿宋_GB2312" w:cs="仿宋_GB2312"/>
          <w:color w:val="auto"/>
          <w:sz w:val="32"/>
          <w:szCs w:val="32"/>
          <w:lang w:eastAsia="zh-CN"/>
        </w:rPr>
        <w:t>关于对</w:t>
      </w:r>
      <w:r>
        <w:rPr>
          <w:rFonts w:hint="eastAsia" w:ascii="仿宋_GB2312" w:hAnsi="仿宋_GB2312" w:eastAsia="仿宋_GB2312" w:cs="仿宋_GB2312"/>
          <w:color w:val="auto"/>
          <w:sz w:val="32"/>
          <w:szCs w:val="32"/>
          <w:u w:val="none"/>
          <w:lang w:val="en-US" w:eastAsia="zh-CN"/>
        </w:rPr>
        <w:t>衡阳县财源页岩砖有限公司资源化利用珠晖区原中盐天友及学宫路遗留废渣项目</w:t>
      </w:r>
      <w:r>
        <w:rPr>
          <w:rFonts w:hint="eastAsia" w:ascii="仿宋_GB2312" w:hAnsi="仿宋_GB2312" w:eastAsia="仿宋_GB2312" w:cs="仿宋_GB2312"/>
          <w:color w:val="auto"/>
          <w:sz w:val="32"/>
          <w:szCs w:val="32"/>
        </w:rPr>
        <w:t>进行批复的请示》和湖南</w:t>
      </w:r>
      <w:r>
        <w:rPr>
          <w:rFonts w:hint="eastAsia" w:ascii="仿宋_GB2312" w:hAnsi="仿宋_GB2312" w:eastAsia="仿宋_GB2312" w:cs="仿宋_GB2312"/>
          <w:color w:val="auto"/>
          <w:sz w:val="32"/>
          <w:szCs w:val="32"/>
          <w:lang w:eastAsia="zh-CN"/>
        </w:rPr>
        <w:t>绿宏</w:t>
      </w:r>
      <w:r>
        <w:rPr>
          <w:rFonts w:hint="eastAsia" w:ascii="仿宋_GB2312" w:hAnsi="仿宋_GB2312" w:eastAsia="仿宋_GB2312" w:cs="仿宋_GB2312"/>
          <w:color w:val="auto"/>
          <w:sz w:val="32"/>
          <w:szCs w:val="32"/>
        </w:rPr>
        <w:t>环保科技有限公司编制的《</w:t>
      </w:r>
      <w:r>
        <w:rPr>
          <w:rFonts w:hint="eastAsia" w:ascii="仿宋_GB2312" w:hAnsi="仿宋_GB2312" w:eastAsia="仿宋_GB2312" w:cs="仿宋_GB2312"/>
          <w:color w:val="auto"/>
          <w:sz w:val="32"/>
          <w:szCs w:val="32"/>
          <w:u w:val="none"/>
          <w:lang w:val="en-US" w:eastAsia="zh-CN"/>
        </w:rPr>
        <w:t>衡阳县财源页岩砖有限公司资源化利用珠晖区原中盐天友及学宫路遗留废渣项目</w:t>
      </w:r>
      <w:r>
        <w:rPr>
          <w:rFonts w:hint="eastAsia" w:ascii="仿宋_GB2312" w:hAnsi="仿宋_GB2312" w:eastAsia="仿宋_GB2312" w:cs="仿宋_GB2312"/>
          <w:color w:val="auto"/>
          <w:sz w:val="32"/>
          <w:szCs w:val="32"/>
        </w:rPr>
        <w:t>环境影响报告表》（报批稿）及专家组评审意见均收悉，经研究，批复如下：</w:t>
      </w:r>
    </w:p>
    <w:p w14:paraId="46EAFC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一、</w:t>
      </w:r>
      <w:r>
        <w:rPr>
          <w:rFonts w:hint="eastAsia" w:ascii="仿宋_GB2312" w:hAnsi="仿宋_GB2312" w:eastAsia="仿宋_GB2312" w:cs="仿宋_GB2312"/>
          <w:color w:val="auto"/>
          <w:sz w:val="32"/>
          <w:szCs w:val="32"/>
          <w:u w:val="none"/>
          <w:lang w:val="en-US" w:eastAsia="zh-CN"/>
        </w:rPr>
        <w:t>衡阳县财源页岩砖有限公司</w:t>
      </w:r>
      <w:r>
        <w:rPr>
          <w:rFonts w:hint="eastAsia" w:ascii="仿宋_GB2312" w:hAnsi="仿宋_GB2312" w:eastAsia="仿宋_GB2312" w:cs="仿宋_GB2312"/>
          <w:color w:val="auto"/>
          <w:sz w:val="32"/>
          <w:szCs w:val="32"/>
          <w:u w:val="none"/>
          <w:lang w:eastAsia="zh-CN"/>
        </w:rPr>
        <w:t>拟</w:t>
      </w:r>
      <w:r>
        <w:rPr>
          <w:rFonts w:hint="eastAsia" w:ascii="仿宋_GB2312" w:hAnsi="仿宋_GB2312" w:eastAsia="仿宋_GB2312" w:cs="仿宋_GB2312"/>
          <w:color w:val="auto"/>
          <w:sz w:val="32"/>
          <w:szCs w:val="32"/>
          <w:u w:val="none"/>
        </w:rPr>
        <w:t>投资</w:t>
      </w:r>
      <w:r>
        <w:rPr>
          <w:rFonts w:hint="eastAsia" w:ascii="仿宋_GB2312" w:hAnsi="仿宋_GB2312" w:eastAsia="仿宋_GB2312" w:cs="仿宋_GB2312"/>
          <w:color w:val="auto"/>
          <w:sz w:val="32"/>
          <w:szCs w:val="32"/>
          <w:highlight w:val="none"/>
          <w:u w:val="none"/>
          <w:lang w:val="en-US" w:eastAsia="zh-CN"/>
        </w:rPr>
        <w:t>101.7</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，在</w:t>
      </w:r>
      <w:r>
        <w:rPr>
          <w:rFonts w:hint="eastAsia" w:ascii="仿宋_GB2312" w:hAnsi="仿宋_GB2312" w:eastAsia="仿宋_GB2312" w:cs="仿宋_GB2312"/>
          <w:color w:val="auto"/>
          <w:sz w:val="32"/>
          <w:szCs w:val="32"/>
          <w:u w:val="none"/>
        </w:rPr>
        <w:t>衡阳县西渡镇正大村枣子组</w:t>
      </w:r>
      <w:r>
        <w:rPr>
          <w:rFonts w:hint="eastAsia" w:ascii="仿宋_GB2312" w:hAnsi="仿宋_GB2312" w:eastAsia="仿宋_GB2312" w:cs="仿宋_GB2312"/>
          <w:color w:val="auto"/>
          <w:sz w:val="32"/>
          <w:szCs w:val="32"/>
          <w:highlight w:val="none"/>
          <w:lang w:val="en-US" w:eastAsia="zh-CN"/>
        </w:rPr>
        <w:t>建设</w:t>
      </w:r>
      <w:r>
        <w:rPr>
          <w:rFonts w:hint="eastAsia" w:ascii="仿宋_GB2312" w:hAnsi="仿宋_GB2312" w:eastAsia="仿宋_GB2312" w:cs="仿宋_GB2312"/>
          <w:color w:val="auto"/>
          <w:sz w:val="32"/>
          <w:szCs w:val="32"/>
          <w:u w:val="none"/>
          <w:lang w:eastAsia="zh-CN"/>
        </w:rPr>
        <w:t>资源化利用珠晖区原中盐天友及学宫路遗留废渣项目</w:t>
      </w:r>
      <w:r>
        <w:rPr>
          <w:rFonts w:hint="eastAsia" w:ascii="仿宋_GB2312" w:hAnsi="仿宋_GB2312" w:eastAsia="仿宋_GB2312" w:cs="仿宋_GB2312"/>
          <w:color w:val="auto"/>
          <w:sz w:val="32"/>
          <w:szCs w:val="32"/>
          <w:highlight w:val="none"/>
          <w:lang w:val="en-US" w:eastAsia="zh-CN"/>
        </w:rPr>
        <w:t>。项目总占地面积19000m</w:t>
      </w:r>
      <w:r>
        <w:rPr>
          <w:rFonts w:hint="eastAsia" w:ascii="仿宋_GB2312" w:hAnsi="仿宋_GB2312" w:eastAsia="仿宋_GB2312" w:cs="仿宋_GB2312"/>
          <w:color w:val="auto"/>
          <w:sz w:val="32"/>
          <w:szCs w:val="32"/>
          <w:highlight w:val="none"/>
          <w:vertAlign w:val="superscript"/>
          <w:lang w:val="en-US" w:eastAsia="zh-CN"/>
        </w:rPr>
        <w:t>2</w:t>
      </w:r>
      <w:r>
        <w:rPr>
          <w:rFonts w:hint="eastAsia" w:ascii="仿宋_GB2312" w:hAnsi="仿宋_GB2312" w:eastAsia="仿宋_GB2312" w:cs="仿宋_GB2312"/>
          <w:color w:val="auto"/>
          <w:sz w:val="32"/>
          <w:szCs w:val="32"/>
          <w:highlight w:val="none"/>
          <w:lang w:val="en-US" w:eastAsia="zh-CN"/>
        </w:rPr>
        <w:t>。建筑面积为19000m</w:t>
      </w:r>
      <w:r>
        <w:rPr>
          <w:rFonts w:hint="eastAsia" w:ascii="仿宋_GB2312" w:hAnsi="仿宋_GB2312" w:eastAsia="仿宋_GB2312" w:cs="仿宋_GB2312"/>
          <w:color w:val="auto"/>
          <w:sz w:val="32"/>
          <w:szCs w:val="32"/>
          <w:highlight w:val="none"/>
          <w:vertAlign w:val="superscript"/>
          <w:lang w:val="en-US" w:eastAsia="zh-CN"/>
        </w:rPr>
        <w:t>2</w:t>
      </w:r>
      <w:r>
        <w:rPr>
          <w:rFonts w:hint="eastAsia" w:ascii="仿宋_GB2312" w:hAnsi="仿宋_GB2312" w:eastAsia="仿宋_GB2312" w:cs="仿宋_GB2312"/>
          <w:color w:val="auto"/>
          <w:sz w:val="32"/>
          <w:szCs w:val="32"/>
          <w:highlight w:val="none"/>
          <w:lang w:val="en-US" w:eastAsia="zh-CN"/>
        </w:rPr>
        <w:t>，本项目建设为依托现有砖厂生产线，增加一般固废（仅限珠晖区原中盐天友及学宫路遗留废渣）替代部分（10%）页岩原料进行生产，新建煤矸石堆棚、一般固废堆棚，新增占地3000m</w:t>
      </w:r>
      <w:r>
        <w:rPr>
          <w:rFonts w:hint="eastAsia" w:ascii="仿宋_GB2312" w:hAnsi="仿宋_GB2312" w:eastAsia="仿宋_GB2312" w:cs="仿宋_GB2312"/>
          <w:color w:val="auto"/>
          <w:sz w:val="32"/>
          <w:szCs w:val="32"/>
          <w:highlight w:val="none"/>
          <w:vertAlign w:val="superscript"/>
          <w:lang w:val="en-US" w:eastAsia="zh-CN"/>
        </w:rPr>
        <w:t>2</w:t>
      </w:r>
      <w:r>
        <w:rPr>
          <w:rFonts w:hint="eastAsia" w:ascii="仿宋_GB2312" w:hAnsi="仿宋_GB2312" w:eastAsia="仿宋_GB2312" w:cs="仿宋_GB2312"/>
          <w:color w:val="auto"/>
          <w:sz w:val="32"/>
          <w:szCs w:val="32"/>
          <w:highlight w:val="none"/>
          <w:lang w:val="en-US" w:eastAsia="zh-CN"/>
        </w:rPr>
        <w:t>，新建建筑物占地为原采矿区。</w:t>
      </w:r>
      <w:r>
        <w:rPr>
          <w:rFonts w:hint="eastAsia" w:ascii="仿宋_GB2312" w:hAnsi="仿宋_GB2312" w:eastAsia="仿宋_GB2312" w:cs="仿宋_GB2312"/>
          <w:color w:val="auto"/>
          <w:sz w:val="32"/>
          <w:szCs w:val="32"/>
          <w:u w:val="none"/>
        </w:rPr>
        <w:t>本项目符合国家产业政策，根据湖南</w:t>
      </w:r>
      <w:r>
        <w:rPr>
          <w:rFonts w:hint="eastAsia" w:ascii="仿宋_GB2312" w:hAnsi="仿宋_GB2312" w:eastAsia="仿宋_GB2312" w:cs="仿宋_GB2312"/>
          <w:color w:val="auto"/>
          <w:sz w:val="32"/>
          <w:szCs w:val="32"/>
          <w:u w:val="none"/>
          <w:lang w:eastAsia="zh-CN"/>
        </w:rPr>
        <w:t>绿宏</w:t>
      </w:r>
      <w:r>
        <w:rPr>
          <w:rFonts w:hint="eastAsia" w:ascii="仿宋_GB2312" w:hAnsi="仿宋_GB2312" w:eastAsia="仿宋_GB2312" w:cs="仿宋_GB2312"/>
          <w:color w:val="auto"/>
          <w:sz w:val="32"/>
          <w:szCs w:val="32"/>
          <w:u w:val="none"/>
        </w:rPr>
        <w:t>环保科技有限公司所编制的环境影响报告表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4411AC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二、项目在建设和管理过程中必须按照环保“三同时”制度的要求，落实污染防治措施，并在工程建设和环境管理中着重注意以下问题:</w:t>
      </w:r>
    </w:p>
    <w:p w14:paraId="33C57A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加强项目施工期的环境管理。要合理布置施工场地，工程弃料、建筑垃圾要及时清运，做到工完、料完、场地清；采取路面洒水、渣土密闭运输及喷水降尘设施等有效措施，严格控制扬尘污染和噪声扰民。</w:t>
      </w:r>
    </w:p>
    <w:p w14:paraId="2270666D">
      <w:pPr>
        <w:keepNext w:val="0"/>
        <w:keepLines w:val="0"/>
        <w:pageBreakBefore w:val="0"/>
        <w:widowControl w:val="0"/>
        <w:kinsoku/>
        <w:wordWrap/>
        <w:overflowPunct/>
        <w:topLinePunct w:val="0"/>
        <w:autoSpaceDE/>
        <w:autoSpaceDN/>
        <w:bidi w:val="0"/>
        <w:adjustRightInd/>
        <w:snapToGrid/>
        <w:spacing w:line="560" w:lineRule="exact"/>
        <w:ind w:firstLine="592" w:firstLineChars="185"/>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（二）加强废气的污染防治。</w:t>
      </w:r>
      <w:r>
        <w:rPr>
          <w:rFonts w:hint="eastAsia" w:ascii="仿宋_GB2312" w:hAnsi="仿宋_GB2312" w:eastAsia="仿宋_GB2312" w:cs="仿宋_GB2312"/>
          <w:color w:val="auto"/>
          <w:sz w:val="32"/>
          <w:szCs w:val="32"/>
          <w:lang w:eastAsia="zh-CN"/>
        </w:rPr>
        <w:t>隧道</w:t>
      </w:r>
      <w:r>
        <w:rPr>
          <w:rFonts w:hint="eastAsia" w:ascii="仿宋_GB2312" w:hAnsi="仿宋_GB2312" w:eastAsia="仿宋_GB2312" w:cs="仿宋_GB2312"/>
          <w:color w:val="auto"/>
          <w:sz w:val="32"/>
          <w:szCs w:val="32"/>
        </w:rPr>
        <w:t>窑烟气</w:t>
      </w:r>
      <w:r>
        <w:rPr>
          <w:rFonts w:hint="eastAsia" w:ascii="仿宋_GB2312" w:hAnsi="仿宋_GB2312" w:eastAsia="仿宋_GB2312" w:cs="仿宋_GB2312"/>
          <w:color w:val="auto"/>
          <w:sz w:val="32"/>
          <w:szCs w:val="32"/>
          <w:u w:val="none"/>
        </w:rPr>
        <w:t>经风机引入</w:t>
      </w:r>
      <w:r>
        <w:rPr>
          <w:rFonts w:hint="eastAsia" w:ascii="仿宋_GB2312" w:hAnsi="仿宋_GB2312" w:eastAsia="仿宋_GB2312" w:cs="仿宋_GB2312"/>
          <w:color w:val="auto"/>
          <w:sz w:val="32"/>
          <w:szCs w:val="32"/>
          <w:u w:val="none"/>
          <w:lang w:val="en-US" w:eastAsia="zh-CN"/>
        </w:rPr>
        <w:t>双碱法</w:t>
      </w:r>
      <w:r>
        <w:rPr>
          <w:rFonts w:hint="eastAsia" w:ascii="仿宋_GB2312" w:hAnsi="仿宋_GB2312" w:eastAsia="仿宋_GB2312" w:cs="仿宋_GB2312"/>
          <w:color w:val="auto"/>
          <w:sz w:val="32"/>
          <w:szCs w:val="32"/>
          <w:u w:val="none"/>
        </w:rPr>
        <w:t>除尘设施处理后经</w:t>
      </w:r>
      <w:r>
        <w:rPr>
          <w:rFonts w:hint="eastAsia" w:ascii="仿宋_GB2312" w:hAnsi="仿宋_GB2312" w:eastAsia="仿宋_GB2312" w:cs="仿宋_GB2312"/>
          <w:color w:val="auto"/>
          <w:sz w:val="32"/>
          <w:szCs w:val="32"/>
          <w:u w:val="none"/>
          <w:lang w:val="en-US" w:eastAsia="zh-CN"/>
        </w:rPr>
        <w:t>25</w:t>
      </w:r>
      <w:r>
        <w:rPr>
          <w:rFonts w:hint="eastAsia" w:ascii="仿宋_GB2312" w:hAnsi="仿宋_GB2312" w:eastAsia="仿宋_GB2312" w:cs="仿宋_GB2312"/>
          <w:color w:val="auto"/>
          <w:sz w:val="32"/>
          <w:szCs w:val="32"/>
          <w:u w:val="none"/>
        </w:rPr>
        <w:t>m排气筒</w:t>
      </w:r>
      <w:r>
        <w:rPr>
          <w:rFonts w:hint="eastAsia" w:ascii="仿宋_GB2312" w:hAnsi="仿宋_GB2312" w:eastAsia="仿宋_GB2312" w:cs="仿宋_GB2312"/>
          <w:color w:val="auto"/>
          <w:sz w:val="32"/>
          <w:szCs w:val="32"/>
          <w:u w:val="none"/>
          <w:lang w:eastAsia="zh-CN"/>
        </w:rPr>
        <w:t>达标</w:t>
      </w:r>
      <w:r>
        <w:rPr>
          <w:rFonts w:hint="eastAsia" w:ascii="仿宋_GB2312" w:hAnsi="仿宋_GB2312" w:eastAsia="仿宋_GB2312" w:cs="仿宋_GB2312"/>
          <w:color w:val="auto"/>
          <w:sz w:val="32"/>
          <w:szCs w:val="32"/>
          <w:u w:val="none"/>
        </w:rPr>
        <w:t>排放</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密闭</w:t>
      </w:r>
      <w:r>
        <w:rPr>
          <w:rFonts w:hint="eastAsia" w:ascii="仿宋_GB2312" w:hAnsi="仿宋_GB2312" w:eastAsia="仿宋_GB2312" w:cs="仿宋_GB2312"/>
          <w:color w:val="auto"/>
          <w:sz w:val="32"/>
          <w:szCs w:val="32"/>
        </w:rPr>
        <w:t>原料</w:t>
      </w:r>
      <w:r>
        <w:rPr>
          <w:rFonts w:hint="eastAsia" w:ascii="仿宋_GB2312" w:hAnsi="仿宋_GB2312" w:eastAsia="仿宋_GB2312" w:cs="仿宋_GB2312"/>
          <w:color w:val="auto"/>
          <w:sz w:val="32"/>
          <w:szCs w:val="32"/>
          <w:lang w:eastAsia="zh-CN"/>
        </w:rPr>
        <w:t>加工车间，</w:t>
      </w:r>
      <w:r>
        <w:rPr>
          <w:rFonts w:hint="eastAsia" w:ascii="仿宋_GB2312" w:hAnsi="仿宋_GB2312" w:eastAsia="仿宋_GB2312" w:cs="仿宋_GB2312"/>
          <w:color w:val="auto"/>
          <w:sz w:val="32"/>
          <w:szCs w:val="32"/>
          <w:u w:val="none"/>
        </w:rPr>
        <w:t>破碎、筛分粉尘</w:t>
      </w:r>
      <w:r>
        <w:rPr>
          <w:rFonts w:hint="eastAsia" w:ascii="仿宋_GB2312" w:hAnsi="仿宋_GB2312" w:eastAsia="仿宋_GB2312" w:cs="仿宋_GB2312"/>
          <w:color w:val="auto"/>
          <w:sz w:val="32"/>
          <w:szCs w:val="32"/>
          <w:u w:val="none"/>
          <w:lang w:eastAsia="zh-CN"/>
        </w:rPr>
        <w:t>经</w:t>
      </w:r>
      <w:r>
        <w:rPr>
          <w:rFonts w:hint="eastAsia" w:ascii="仿宋_GB2312" w:hAnsi="仿宋_GB2312" w:eastAsia="仿宋_GB2312" w:cs="仿宋_GB2312"/>
          <w:color w:val="auto"/>
          <w:sz w:val="32"/>
          <w:szCs w:val="32"/>
          <w:u w:val="none"/>
        </w:rPr>
        <w:t>集尘罩收集后经布袋除尘器+15m高排气筒排放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对原料堆棚进行</w:t>
      </w:r>
      <w:r>
        <w:rPr>
          <w:rFonts w:hint="eastAsia" w:ascii="仿宋_GB2312" w:hAnsi="仿宋_GB2312" w:eastAsia="仿宋_GB2312" w:cs="仿宋_GB2312"/>
          <w:color w:val="auto"/>
          <w:sz w:val="32"/>
          <w:szCs w:val="32"/>
          <w:lang w:eastAsia="zh-CN"/>
        </w:rPr>
        <w:t>三面</w:t>
      </w:r>
      <w:r>
        <w:rPr>
          <w:rFonts w:hint="eastAsia" w:ascii="仿宋_GB2312" w:hAnsi="仿宋_GB2312" w:eastAsia="仿宋_GB2312" w:cs="仿宋_GB2312"/>
          <w:color w:val="auto"/>
          <w:sz w:val="32"/>
          <w:szCs w:val="32"/>
        </w:rPr>
        <w:t>封</w:t>
      </w:r>
      <w:r>
        <w:rPr>
          <w:rFonts w:hint="eastAsia" w:ascii="仿宋_GB2312" w:hAnsi="仿宋_GB2312" w:eastAsia="仿宋_GB2312" w:cs="仿宋_GB2312"/>
          <w:color w:val="auto"/>
          <w:sz w:val="32"/>
          <w:szCs w:val="32"/>
          <w:lang w:eastAsia="zh-CN"/>
        </w:rPr>
        <w:t>闭且带顶棚，做好防风、防雨、防尘措施，</w:t>
      </w:r>
      <w:r>
        <w:rPr>
          <w:rFonts w:hint="eastAsia" w:ascii="仿宋_GB2312" w:hAnsi="仿宋_GB2312" w:eastAsia="仿宋_GB2312" w:cs="仿宋_GB2312"/>
          <w:color w:val="auto"/>
          <w:sz w:val="32"/>
          <w:szCs w:val="32"/>
        </w:rPr>
        <w:t>硬化原料堆棚地面</w:t>
      </w:r>
      <w:r>
        <w:rPr>
          <w:rFonts w:hint="eastAsia" w:ascii="仿宋_GB2312" w:hAnsi="仿宋_GB2312" w:eastAsia="仿宋_GB2312" w:cs="仿宋_GB2312"/>
          <w:color w:val="auto"/>
          <w:sz w:val="32"/>
          <w:szCs w:val="32"/>
          <w:lang w:eastAsia="zh-CN"/>
        </w:rPr>
        <w:t>并定期洒水</w:t>
      </w:r>
      <w:r>
        <w:rPr>
          <w:rFonts w:hint="eastAsia" w:ascii="仿宋_GB2312" w:hAnsi="仿宋_GB2312" w:eastAsia="仿宋_GB2312" w:cs="仿宋_GB2312"/>
          <w:color w:val="auto"/>
          <w:sz w:val="32"/>
          <w:szCs w:val="32"/>
        </w:rPr>
        <w:t>，减轻粉尘对</w:t>
      </w:r>
      <w:r>
        <w:rPr>
          <w:rFonts w:hint="eastAsia" w:ascii="仿宋_GB2312" w:hAnsi="仿宋_GB2312" w:eastAsia="仿宋_GB2312" w:cs="仿宋_GB2312"/>
          <w:color w:val="auto"/>
          <w:sz w:val="32"/>
          <w:szCs w:val="32"/>
          <w:lang w:eastAsia="zh-CN"/>
        </w:rPr>
        <w:t>周边环境</w:t>
      </w:r>
      <w:r>
        <w:rPr>
          <w:rFonts w:hint="eastAsia" w:ascii="仿宋_GB2312" w:hAnsi="仿宋_GB2312" w:eastAsia="仿宋_GB2312" w:cs="仿宋_GB2312"/>
          <w:color w:val="auto"/>
          <w:sz w:val="32"/>
          <w:szCs w:val="32"/>
        </w:rPr>
        <w:t>的影响</w:t>
      </w:r>
      <w:r>
        <w:rPr>
          <w:rFonts w:hint="eastAsia" w:ascii="仿宋_GB2312" w:hAnsi="仿宋_GB2312" w:eastAsia="仿宋_GB2312" w:cs="仿宋_GB2312"/>
          <w:color w:val="auto"/>
          <w:sz w:val="32"/>
          <w:szCs w:val="32"/>
          <w:lang w:eastAsia="zh-CN"/>
        </w:rPr>
        <w:t>；食堂油烟经有效处理后达标排放。</w:t>
      </w:r>
    </w:p>
    <w:p w14:paraId="61160C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）加强废水的污染防治。应采取雨污分流、污污分流措施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雨水经场内雨水沟导入雨水收集池</w:t>
      </w:r>
      <w:r>
        <w:rPr>
          <w:rFonts w:hint="eastAsia" w:ascii="仿宋_GB2312" w:hAnsi="仿宋_GB2312" w:eastAsia="仿宋_GB2312" w:cs="仿宋_GB2312"/>
          <w:color w:val="auto"/>
          <w:sz w:val="32"/>
          <w:szCs w:val="32"/>
          <w:lang w:eastAsia="zh-CN"/>
        </w:rPr>
        <w:t>回用</w:t>
      </w:r>
      <w:r>
        <w:rPr>
          <w:rFonts w:hint="eastAsia" w:ascii="仿宋_GB2312" w:hAnsi="仿宋_GB2312" w:eastAsia="仿宋_GB2312" w:cs="仿宋_GB2312"/>
          <w:color w:val="auto"/>
          <w:sz w:val="32"/>
          <w:szCs w:val="32"/>
        </w:rPr>
        <w:t>于生产</w:t>
      </w:r>
      <w:r>
        <w:rPr>
          <w:rFonts w:hint="eastAsia" w:ascii="仿宋_GB2312" w:hAnsi="仿宋_GB2312" w:eastAsia="仿宋_GB2312" w:cs="仿宋_GB2312"/>
          <w:color w:val="auto"/>
          <w:sz w:val="32"/>
          <w:szCs w:val="32"/>
          <w:lang w:eastAsia="zh-CN"/>
        </w:rPr>
        <w:t>和厂区降尘，</w:t>
      </w:r>
      <w:r>
        <w:rPr>
          <w:rFonts w:hint="eastAsia" w:ascii="仿宋_GB2312" w:hAnsi="仿宋_GB2312" w:eastAsia="仿宋_GB2312" w:cs="仿宋_GB2312"/>
          <w:color w:val="auto"/>
          <w:sz w:val="32"/>
          <w:szCs w:val="32"/>
        </w:rPr>
        <w:t>脱硫喷淋废水全部循环</w:t>
      </w:r>
      <w:r>
        <w:rPr>
          <w:rFonts w:hint="eastAsia" w:ascii="仿宋_GB2312" w:hAnsi="仿宋_GB2312" w:eastAsia="仿宋_GB2312" w:cs="仿宋_GB2312"/>
          <w:color w:val="auto"/>
          <w:sz w:val="32"/>
          <w:szCs w:val="32"/>
          <w:lang w:eastAsia="zh-CN"/>
        </w:rPr>
        <w:t>利</w:t>
      </w:r>
      <w:r>
        <w:rPr>
          <w:rFonts w:hint="eastAsia" w:ascii="仿宋_GB2312" w:hAnsi="仿宋_GB2312" w:eastAsia="仿宋_GB2312" w:cs="仿宋_GB2312"/>
          <w:color w:val="auto"/>
          <w:sz w:val="32"/>
          <w:szCs w:val="32"/>
        </w:rPr>
        <w:t>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生活污水经</w:t>
      </w:r>
      <w:r>
        <w:rPr>
          <w:rFonts w:hint="eastAsia" w:ascii="仿宋_GB2312" w:hAnsi="仿宋_GB2312" w:eastAsia="仿宋_GB2312" w:cs="仿宋_GB2312"/>
          <w:color w:val="auto"/>
          <w:sz w:val="32"/>
          <w:szCs w:val="32"/>
          <w:lang w:eastAsia="zh-CN"/>
        </w:rPr>
        <w:t>隔油池、</w:t>
      </w:r>
      <w:r>
        <w:rPr>
          <w:rFonts w:hint="eastAsia" w:ascii="仿宋_GB2312" w:hAnsi="仿宋_GB2312" w:eastAsia="仿宋_GB2312" w:cs="仿宋_GB2312"/>
          <w:color w:val="auto"/>
          <w:sz w:val="32"/>
          <w:szCs w:val="32"/>
        </w:rPr>
        <w:t>化粪池收集后交由周边农户作农肥使用，不得外排任何废水。</w:t>
      </w:r>
    </w:p>
    <w:p w14:paraId="0863BC59">
      <w:pPr>
        <w:keepNext w:val="0"/>
        <w:keepLines w:val="0"/>
        <w:pageBreakBefore w:val="0"/>
        <w:widowControl w:val="0"/>
        <w:kinsoku/>
        <w:wordWrap/>
        <w:overflowPunct/>
        <w:topLinePunct w:val="0"/>
        <w:autoSpaceDE/>
        <w:autoSpaceDN/>
        <w:bidi w:val="0"/>
        <w:adjustRightInd/>
        <w:snapToGrid/>
        <w:spacing w:line="560" w:lineRule="exact"/>
        <w:ind w:firstLine="592" w:firstLineChars="185"/>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）加强固体废弃物的污染防治。除尘器收集的粉尘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脱硫</w:t>
      </w:r>
      <w:r>
        <w:rPr>
          <w:rFonts w:hint="eastAsia" w:ascii="仿宋_GB2312" w:hAnsi="仿宋_GB2312" w:eastAsia="仿宋_GB2312" w:cs="仿宋_GB2312"/>
          <w:color w:val="auto"/>
          <w:sz w:val="32"/>
          <w:szCs w:val="32"/>
          <w:lang w:eastAsia="zh-CN"/>
        </w:rPr>
        <w:t>除尘渣、沉淀池渣</w:t>
      </w:r>
      <w:r>
        <w:rPr>
          <w:rFonts w:hint="eastAsia" w:ascii="仿宋_GB2312" w:hAnsi="仿宋_GB2312" w:eastAsia="仿宋_GB2312" w:cs="仿宋_GB2312"/>
          <w:color w:val="auto"/>
          <w:sz w:val="32"/>
          <w:szCs w:val="32"/>
        </w:rPr>
        <w:t>、废泥坯</w:t>
      </w:r>
      <w:r>
        <w:rPr>
          <w:rFonts w:hint="eastAsia" w:ascii="仿宋_GB2312" w:hAnsi="仿宋_GB2312" w:eastAsia="仿宋_GB2312" w:cs="仿宋_GB2312"/>
          <w:color w:val="auto"/>
          <w:sz w:val="32"/>
          <w:szCs w:val="32"/>
          <w:lang w:eastAsia="zh-CN"/>
        </w:rPr>
        <w:t>、废砖块</w:t>
      </w:r>
      <w:r>
        <w:rPr>
          <w:rFonts w:hint="eastAsia" w:ascii="仿宋_GB2312" w:hAnsi="仿宋_GB2312" w:eastAsia="仿宋_GB2312" w:cs="仿宋_GB2312"/>
          <w:color w:val="auto"/>
          <w:sz w:val="32"/>
          <w:szCs w:val="32"/>
        </w:rPr>
        <w:t>等固废返回生产工</w:t>
      </w:r>
      <w:bookmarkStart w:id="0" w:name="_GoBack"/>
      <w:bookmarkEnd w:id="0"/>
      <w:r>
        <w:rPr>
          <w:rFonts w:hint="eastAsia" w:ascii="仿宋_GB2312" w:hAnsi="仿宋_GB2312" w:eastAsia="仿宋_GB2312" w:cs="仿宋_GB2312"/>
          <w:color w:val="auto"/>
          <w:sz w:val="32"/>
          <w:szCs w:val="32"/>
        </w:rPr>
        <w:t>序重新回用；废</w:t>
      </w:r>
      <w:r>
        <w:rPr>
          <w:rFonts w:hint="eastAsia" w:ascii="仿宋_GB2312" w:hAnsi="仿宋_GB2312" w:eastAsia="仿宋_GB2312" w:cs="仿宋_GB2312"/>
          <w:color w:val="auto"/>
          <w:sz w:val="32"/>
          <w:szCs w:val="32"/>
          <w:lang w:eastAsia="zh-CN"/>
        </w:rPr>
        <w:t>机</w:t>
      </w:r>
      <w:r>
        <w:rPr>
          <w:rFonts w:hint="eastAsia" w:ascii="仿宋_GB2312" w:hAnsi="仿宋_GB2312" w:eastAsia="仿宋_GB2312" w:cs="仿宋_GB2312"/>
          <w:color w:val="auto"/>
          <w:sz w:val="32"/>
          <w:szCs w:val="32"/>
        </w:rPr>
        <w:t>油按危险废物进行储存，定期交资质单位处置；生活垃圾由环卫部门统一清运。</w:t>
      </w:r>
    </w:p>
    <w:p w14:paraId="20B4270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）加强噪声污染防治。合理进行厂区布局，对高噪声</w:t>
      </w:r>
      <w:r>
        <w:rPr>
          <w:rFonts w:hint="eastAsia" w:ascii="仿宋_GB2312" w:hAnsi="仿宋_GB2312" w:eastAsia="仿宋_GB2312" w:cs="仿宋_GB2312"/>
          <w:sz w:val="32"/>
          <w:szCs w:val="32"/>
        </w:rPr>
        <w:t>设备采取隔声、减震等降噪措施，确保厂界噪声达到《工业企业厂界环境噪声排放标准》（GB1234-2008）中2类标准。</w:t>
      </w:r>
    </w:p>
    <w:p w14:paraId="1D436FF0">
      <w:pPr>
        <w:keepNext w:val="0"/>
        <w:keepLines w:val="0"/>
        <w:pageBreakBefore w:val="0"/>
        <w:widowControl w:val="0"/>
        <w:kinsoku/>
        <w:wordWrap/>
        <w:overflowPunct/>
        <w:topLinePunct w:val="0"/>
        <w:autoSpaceDE/>
        <w:autoSpaceDN/>
        <w:bidi w:val="0"/>
        <w:adjustRightInd/>
        <w:snapToGrid/>
        <w:spacing w:line="560" w:lineRule="exact"/>
        <w:ind w:firstLine="435"/>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）严格落实污染物排放总量控制措施，项目实施后污染物排放必须严格控制在衡阳县环境保护局核定下达的指标内：二氧化硫控制在</w:t>
      </w:r>
      <w:r>
        <w:rPr>
          <w:rFonts w:hint="eastAsia" w:ascii="仿宋_GB2312" w:hAnsi="仿宋_GB2312" w:eastAsia="仿宋_GB2312" w:cs="仿宋_GB2312"/>
          <w:color w:val="auto"/>
          <w:sz w:val="32"/>
          <w:szCs w:val="32"/>
          <w:lang w:val="en-US" w:eastAsia="zh-CN"/>
        </w:rPr>
        <w:t>5.04</w:t>
      </w:r>
      <w:r>
        <w:rPr>
          <w:rFonts w:hint="eastAsia" w:ascii="仿宋_GB2312" w:hAnsi="仿宋_GB2312" w:eastAsia="仿宋_GB2312" w:cs="仿宋_GB2312"/>
          <w:color w:val="auto"/>
          <w:sz w:val="32"/>
          <w:szCs w:val="32"/>
        </w:rPr>
        <w:t>吨/年、氮氧化物</w:t>
      </w:r>
      <w:r>
        <w:rPr>
          <w:rFonts w:hint="eastAsia" w:ascii="仿宋_GB2312" w:hAnsi="仿宋_GB2312" w:eastAsia="仿宋_GB2312" w:cs="仿宋_GB2312"/>
          <w:color w:val="auto"/>
          <w:sz w:val="32"/>
          <w:szCs w:val="32"/>
          <w:lang w:val="en-US" w:eastAsia="zh-CN"/>
        </w:rPr>
        <w:t>9.78</w:t>
      </w:r>
      <w:r>
        <w:rPr>
          <w:rFonts w:hint="eastAsia" w:ascii="仿宋_GB2312" w:hAnsi="仿宋_GB2312" w:eastAsia="仿宋_GB2312" w:cs="仿宋_GB2312"/>
          <w:color w:val="auto"/>
          <w:sz w:val="32"/>
          <w:szCs w:val="32"/>
        </w:rPr>
        <w:t>吨/年。</w:t>
      </w:r>
    </w:p>
    <w:p w14:paraId="7A215C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方决定工程开工建设的，环境影响报告表应当报我局重新审核。</w:t>
      </w:r>
    </w:p>
    <w:p w14:paraId="0BCD57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34D695E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w:t>
      </w:r>
    </w:p>
    <w:p w14:paraId="64DAC2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146D47D1"/>
    <w:rsid w:val="152E289C"/>
    <w:rsid w:val="1FBCE9C2"/>
    <w:rsid w:val="21AF4504"/>
    <w:rsid w:val="2B5D164D"/>
    <w:rsid w:val="2EE6F44A"/>
    <w:rsid w:val="30DA723C"/>
    <w:rsid w:val="34C706BD"/>
    <w:rsid w:val="3DFB3105"/>
    <w:rsid w:val="3FEF93C6"/>
    <w:rsid w:val="43D741F4"/>
    <w:rsid w:val="46136BEF"/>
    <w:rsid w:val="467CC39F"/>
    <w:rsid w:val="4F376FE4"/>
    <w:rsid w:val="50D94D66"/>
    <w:rsid w:val="5B7D07F8"/>
    <w:rsid w:val="5F775DD4"/>
    <w:rsid w:val="5FF2B8FD"/>
    <w:rsid w:val="62D87F2E"/>
    <w:rsid w:val="62F90F44"/>
    <w:rsid w:val="65FCDA24"/>
    <w:rsid w:val="6BBFFCA8"/>
    <w:rsid w:val="6CA7A3FD"/>
    <w:rsid w:val="713C7FF8"/>
    <w:rsid w:val="72FB2A67"/>
    <w:rsid w:val="736FDE59"/>
    <w:rsid w:val="74FFE828"/>
    <w:rsid w:val="77FF0C22"/>
    <w:rsid w:val="79FB8F86"/>
    <w:rsid w:val="7BBF0FC0"/>
    <w:rsid w:val="7D63E2F6"/>
    <w:rsid w:val="7DE98899"/>
    <w:rsid w:val="7EFB73CF"/>
    <w:rsid w:val="7F96BCD5"/>
    <w:rsid w:val="7FFF32F7"/>
    <w:rsid w:val="AEDF0DC3"/>
    <w:rsid w:val="B26F95B9"/>
    <w:rsid w:val="BF75B683"/>
    <w:rsid w:val="BFEF85E2"/>
    <w:rsid w:val="C4FBE205"/>
    <w:rsid w:val="DDADCA24"/>
    <w:rsid w:val="DEF5F149"/>
    <w:rsid w:val="DF3F66B2"/>
    <w:rsid w:val="DFDE2B2B"/>
    <w:rsid w:val="DFF57F32"/>
    <w:rsid w:val="E5CA952E"/>
    <w:rsid w:val="EDB62A8A"/>
    <w:rsid w:val="EDB7D1C0"/>
    <w:rsid w:val="F5556115"/>
    <w:rsid w:val="F67553C3"/>
    <w:rsid w:val="F7F3A795"/>
    <w:rsid w:val="FBE4C273"/>
    <w:rsid w:val="FBF599E5"/>
    <w:rsid w:val="FBFB04F0"/>
    <w:rsid w:val="FD5F44F5"/>
    <w:rsid w:val="FED798C7"/>
    <w:rsid w:val="FF653FB9"/>
    <w:rsid w:val="FF7F6F94"/>
    <w:rsid w:val="FFBCBE1F"/>
    <w:rsid w:val="FFEE50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Default"/>
    <w:basedOn w:val="10"/>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0">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257</Words>
  <Characters>1466</Characters>
  <Lines>12</Lines>
  <Paragraphs>3</Paragraphs>
  <TotalTime>10</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2022-10-31T08:30:00Z</dcterms:created>
  <dc:creator>HYT</dc:creator>
  <cp:lastModifiedBy>kylin</cp:lastModifiedBy>
  <cp:lastPrinted>2025-05-18T09:18:00Z</cp:lastPrinted>
  <dcterms:modified xsi:type="dcterms:W3CDTF">2025-08-08T15:42:37Z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