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43964">
      <w:pPr>
        <w:pStyle w:val="2"/>
        <w:spacing w:before="120" w:after="120"/>
        <w:rPr>
          <w:rFonts w:hint="eastAsia"/>
        </w:rPr>
      </w:pPr>
      <w:r>
        <w:rPr>
          <w:rFonts w:hint="eastAsia"/>
          <w:highlight w:val="white"/>
        </w:rPr>
        <w:t>采购内容与</w:t>
      </w:r>
      <w:r>
        <w:rPr>
          <w:highlight w:val="white"/>
        </w:rPr>
        <w:t>要求</w:t>
      </w:r>
    </w:p>
    <w:p w14:paraId="7492E5C8">
      <w:pPr>
        <w:rPr>
          <w:rFonts w:hint="eastAsia"/>
          <w:highlight w:val="red"/>
        </w:rPr>
      </w:pPr>
    </w:p>
    <w:p w14:paraId="5E4E9580">
      <w:pPr>
        <w:pStyle w:val="5"/>
        <w:widowControl/>
        <w:jc w:val="center"/>
        <w:rPr>
          <w:rStyle w:val="4"/>
          <w:rFonts w:ascii="Times New Roman" w:hAnsi="Times New Roman" w:eastAsia="Times New Roman"/>
          <w:b/>
          <w:bCs/>
          <w:kern w:val="0"/>
          <w:sz w:val="30"/>
          <w:szCs w:val="30"/>
        </w:rPr>
      </w:pPr>
      <w:r>
        <w:rPr>
          <w:rStyle w:val="4"/>
          <w:rFonts w:ascii="宋体" w:hAnsi="宋体" w:cs="宋体"/>
          <w:b/>
          <w:bCs/>
          <w:spacing w:val="30"/>
          <w:kern w:val="0"/>
          <w:sz w:val="30"/>
          <w:szCs w:val="30"/>
        </w:rPr>
        <w:t>第一节 技术要求</w:t>
      </w:r>
    </w:p>
    <w:p w14:paraId="4DF32793">
      <w:pPr>
        <w:pStyle w:val="5"/>
        <w:widowControl/>
        <w:jc w:val="left"/>
        <w:rPr>
          <w:rStyle w:val="4"/>
          <w:rFonts w:ascii="Times New Roman" w:hAnsi="Times New Roman" w:eastAsia="Times New Roman"/>
          <w:kern w:val="0"/>
          <w:sz w:val="24"/>
          <w:szCs w:val="24"/>
        </w:rPr>
      </w:pPr>
    </w:p>
    <w:p w14:paraId="5C113DE2">
      <w:pPr>
        <w:pStyle w:val="6"/>
        <w:autoSpaceDE w:val="0"/>
        <w:spacing w:before="120" w:beforeLines="50" w:line="360" w:lineRule="auto"/>
        <w:rPr>
          <w:rStyle w:val="7"/>
          <w:rFonts w:ascii="宋体" w:hAnsi="宋体"/>
          <w:b/>
          <w:bCs/>
          <w:color w:val="000000"/>
          <w:spacing w:val="-2"/>
          <w:kern w:val="0"/>
          <w:sz w:val="15"/>
          <w:szCs w:val="15"/>
        </w:rPr>
      </w:pPr>
      <w:r>
        <w:rPr>
          <w:rStyle w:val="4"/>
          <w:rFonts w:hint="eastAsia" w:ascii="宋体" w:hAnsi="宋体"/>
          <w:b/>
          <w:sz w:val="15"/>
          <w:szCs w:val="15"/>
        </w:rPr>
        <w:t>一、</w:t>
      </w:r>
      <w:r>
        <w:rPr>
          <w:rStyle w:val="7"/>
          <w:rFonts w:hint="eastAsia" w:ascii="宋体" w:hAnsi="宋体"/>
          <w:b/>
          <w:bCs/>
          <w:color w:val="000000"/>
          <w:spacing w:val="-2"/>
          <w:kern w:val="0"/>
          <w:sz w:val="15"/>
          <w:szCs w:val="15"/>
        </w:rPr>
        <w:t>采购内容及数量</w:t>
      </w:r>
    </w:p>
    <w:p w14:paraId="2C8330A8">
      <w:pPr>
        <w:pStyle w:val="5"/>
        <w:autoSpaceDE w:val="0"/>
        <w:adjustRightInd w:val="0"/>
        <w:snapToGrid w:val="0"/>
        <w:spacing w:before="120" w:beforeLines="50" w:line="360" w:lineRule="auto"/>
        <w:rPr>
          <w:rStyle w:val="4"/>
          <w:rFonts w:hint="eastAsia"/>
          <w:u w:val="single"/>
        </w:rPr>
      </w:pPr>
      <w:r>
        <w:rPr>
          <w:rStyle w:val="7"/>
          <w:rFonts w:hint="eastAsia" w:ascii="宋体" w:hAnsi="宋体"/>
          <w:color w:val="000000"/>
          <w:kern w:val="0"/>
          <w:sz w:val="15"/>
          <w:szCs w:val="15"/>
        </w:rPr>
        <w:t>1、采购项目名称：</w:t>
      </w:r>
      <w:r>
        <w:rPr>
          <w:rStyle w:val="4"/>
          <w:rFonts w:hint="eastAsia" w:ascii="宋体" w:hAnsi="宋体"/>
          <w:bCs/>
          <w:sz w:val="15"/>
          <w:szCs w:val="15"/>
          <w:u w:val="single"/>
        </w:rPr>
        <w:t>衡阳县2025年基层医疗卫生机构医疗设备购置政府采购项目</w:t>
      </w:r>
    </w:p>
    <w:p w14:paraId="4CAA2D99">
      <w:pPr>
        <w:pStyle w:val="5"/>
        <w:autoSpaceDE w:val="0"/>
        <w:adjustRightInd w:val="0"/>
        <w:snapToGrid w:val="0"/>
        <w:spacing w:before="120" w:beforeLines="50" w:line="360" w:lineRule="auto"/>
        <w:rPr>
          <w:rStyle w:val="7"/>
          <w:rFonts w:hint="eastAsia" w:ascii="宋体" w:hAnsi="宋体"/>
          <w:color w:val="000000"/>
          <w:kern w:val="0"/>
        </w:rPr>
      </w:pPr>
      <w:r>
        <w:rPr>
          <w:rStyle w:val="4"/>
          <w:rFonts w:hint="eastAsia" w:ascii="宋体" w:hAnsi="宋体"/>
          <w:bCs/>
          <w:sz w:val="15"/>
          <w:szCs w:val="15"/>
        </w:rPr>
        <w:t>2、</w:t>
      </w:r>
      <w:r>
        <w:rPr>
          <w:rStyle w:val="7"/>
          <w:rFonts w:hint="eastAsia" w:ascii="宋体" w:hAnsi="宋体"/>
          <w:color w:val="000000"/>
          <w:kern w:val="0"/>
          <w:sz w:val="15"/>
          <w:szCs w:val="15"/>
        </w:rPr>
        <w:t>内容及数量：</w:t>
      </w:r>
    </w:p>
    <w:tbl>
      <w:tblPr>
        <w:tblStyle w:val="3"/>
        <w:tblW w:w="7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306"/>
        <w:gridCol w:w="1212"/>
        <w:gridCol w:w="888"/>
        <w:gridCol w:w="2400"/>
      </w:tblGrid>
      <w:tr w14:paraId="173D4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259A7500">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序号</w:t>
            </w:r>
          </w:p>
        </w:tc>
        <w:tc>
          <w:tcPr>
            <w:tcW w:w="2306" w:type="dxa"/>
            <w:tcBorders>
              <w:top w:val="single" w:color="auto" w:sz="4" w:space="0"/>
              <w:left w:val="single" w:color="auto" w:sz="4" w:space="0"/>
              <w:bottom w:val="single" w:color="auto" w:sz="4" w:space="0"/>
              <w:right w:val="single" w:color="auto" w:sz="4" w:space="0"/>
            </w:tcBorders>
            <w:noWrap w:val="0"/>
            <w:vAlign w:val="center"/>
          </w:tcPr>
          <w:p w14:paraId="329013C2">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采购设备名称</w:t>
            </w:r>
          </w:p>
        </w:tc>
        <w:tc>
          <w:tcPr>
            <w:tcW w:w="1212" w:type="dxa"/>
            <w:tcBorders>
              <w:top w:val="single" w:color="auto" w:sz="4" w:space="0"/>
              <w:left w:val="single" w:color="auto" w:sz="4" w:space="0"/>
              <w:bottom w:val="single" w:color="auto" w:sz="4" w:space="0"/>
              <w:right w:val="single" w:color="auto" w:sz="4" w:space="0"/>
            </w:tcBorders>
            <w:noWrap w:val="0"/>
            <w:vAlign w:val="center"/>
          </w:tcPr>
          <w:p w14:paraId="056CA807">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采购数量</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09A76014">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单位</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01FE1ED6">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备注</w:t>
            </w:r>
          </w:p>
        </w:tc>
      </w:tr>
      <w:tr w14:paraId="7739E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3C6F7324">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1</w:t>
            </w:r>
          </w:p>
        </w:tc>
        <w:tc>
          <w:tcPr>
            <w:tcW w:w="2306" w:type="dxa"/>
            <w:tcBorders>
              <w:top w:val="single" w:color="auto" w:sz="4" w:space="0"/>
              <w:left w:val="single" w:color="auto" w:sz="4" w:space="0"/>
              <w:bottom w:val="single" w:color="auto" w:sz="4" w:space="0"/>
              <w:right w:val="single" w:color="auto" w:sz="4" w:space="0"/>
            </w:tcBorders>
            <w:noWrap w:val="0"/>
            <w:vAlign w:val="center"/>
          </w:tcPr>
          <w:p w14:paraId="03A28BD1">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生化分析仪（核心产品）</w:t>
            </w:r>
          </w:p>
        </w:tc>
        <w:tc>
          <w:tcPr>
            <w:tcW w:w="1212" w:type="dxa"/>
            <w:tcBorders>
              <w:top w:val="single" w:color="auto" w:sz="4" w:space="0"/>
              <w:left w:val="single" w:color="auto" w:sz="4" w:space="0"/>
              <w:bottom w:val="single" w:color="auto" w:sz="4" w:space="0"/>
              <w:right w:val="single" w:color="auto" w:sz="4" w:space="0"/>
            </w:tcBorders>
            <w:noWrap w:val="0"/>
            <w:vAlign w:val="center"/>
          </w:tcPr>
          <w:p w14:paraId="5E9D7B18">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4</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672DF303">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台</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22E1C662">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不接受进口产品投标</w:t>
            </w:r>
          </w:p>
        </w:tc>
      </w:tr>
      <w:tr w14:paraId="482EF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2E600CF7">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2</w:t>
            </w:r>
          </w:p>
        </w:tc>
        <w:tc>
          <w:tcPr>
            <w:tcW w:w="2306" w:type="dxa"/>
            <w:tcBorders>
              <w:top w:val="single" w:color="auto" w:sz="4" w:space="0"/>
              <w:left w:val="single" w:color="auto" w:sz="4" w:space="0"/>
              <w:bottom w:val="single" w:color="auto" w:sz="4" w:space="0"/>
              <w:right w:val="single" w:color="auto" w:sz="4" w:space="0"/>
            </w:tcBorders>
            <w:noWrap w:val="0"/>
            <w:vAlign w:val="center"/>
          </w:tcPr>
          <w:p w14:paraId="5E7761D6">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血球仪</w:t>
            </w:r>
          </w:p>
        </w:tc>
        <w:tc>
          <w:tcPr>
            <w:tcW w:w="1212" w:type="dxa"/>
            <w:tcBorders>
              <w:top w:val="single" w:color="auto" w:sz="4" w:space="0"/>
              <w:left w:val="single" w:color="auto" w:sz="4" w:space="0"/>
              <w:bottom w:val="single" w:color="auto" w:sz="4" w:space="0"/>
              <w:right w:val="single" w:color="auto" w:sz="4" w:space="0"/>
            </w:tcBorders>
            <w:noWrap w:val="0"/>
            <w:vAlign w:val="center"/>
          </w:tcPr>
          <w:p w14:paraId="5C29AABB">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5</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6A9DEC30">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台</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217A398C">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不接受进口产品投标</w:t>
            </w:r>
          </w:p>
        </w:tc>
      </w:tr>
      <w:tr w14:paraId="52EE0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325FEE7A">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3</w:t>
            </w:r>
          </w:p>
        </w:tc>
        <w:tc>
          <w:tcPr>
            <w:tcW w:w="2306" w:type="dxa"/>
            <w:tcBorders>
              <w:top w:val="single" w:color="auto" w:sz="4" w:space="0"/>
              <w:left w:val="single" w:color="auto" w:sz="4" w:space="0"/>
              <w:bottom w:val="single" w:color="auto" w:sz="4" w:space="0"/>
              <w:right w:val="single" w:color="auto" w:sz="4" w:space="0"/>
            </w:tcBorders>
            <w:noWrap w:val="0"/>
            <w:vAlign w:val="center"/>
          </w:tcPr>
          <w:p w14:paraId="398BA26E">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尿液分析仪</w:t>
            </w:r>
          </w:p>
        </w:tc>
        <w:tc>
          <w:tcPr>
            <w:tcW w:w="1212" w:type="dxa"/>
            <w:tcBorders>
              <w:top w:val="single" w:color="auto" w:sz="4" w:space="0"/>
              <w:left w:val="single" w:color="auto" w:sz="4" w:space="0"/>
              <w:bottom w:val="single" w:color="auto" w:sz="4" w:space="0"/>
              <w:right w:val="single" w:color="auto" w:sz="4" w:space="0"/>
            </w:tcBorders>
            <w:noWrap w:val="0"/>
            <w:vAlign w:val="center"/>
          </w:tcPr>
          <w:p w14:paraId="2786F10E">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3</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05FD7411">
            <w:pPr>
              <w:pStyle w:val="6"/>
              <w:widowControl w:val="0"/>
              <w:tabs>
                <w:tab w:val="center" w:pos="4153"/>
                <w:tab w:val="right" w:pos="8306"/>
              </w:tabs>
              <w:autoSpaceDE w:val="0"/>
              <w:snapToGrid w:val="0"/>
              <w:spacing w:before="120" w:beforeLines="50" w:line="360" w:lineRule="auto"/>
              <w:jc w:val="center"/>
              <w:rPr>
                <w:rStyle w:val="4"/>
                <w:rFonts w:ascii="宋体" w:hAnsi="宋体"/>
                <w:kern w:val="2"/>
                <w:sz w:val="15"/>
                <w:szCs w:val="15"/>
                <w:lang w:val="en-US" w:eastAsia="zh-CN" w:bidi="ar-SA"/>
              </w:rPr>
            </w:pPr>
            <w:r>
              <w:rPr>
                <w:rStyle w:val="7"/>
                <w:rFonts w:hint="eastAsia" w:ascii="宋体" w:hAnsi="宋体" w:cs="Times New Roman"/>
                <w:kern w:val="2"/>
                <w:sz w:val="15"/>
                <w:szCs w:val="15"/>
                <w:lang w:val="en-US" w:eastAsia="zh-CN" w:bidi="ar-SA"/>
              </w:rPr>
              <w:t>台</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300190B6">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不接受进口产品投标</w:t>
            </w:r>
          </w:p>
        </w:tc>
      </w:tr>
      <w:tr w14:paraId="3DFD3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14:paraId="7269E952">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4</w:t>
            </w:r>
          </w:p>
        </w:tc>
        <w:tc>
          <w:tcPr>
            <w:tcW w:w="2306" w:type="dxa"/>
            <w:tcBorders>
              <w:top w:val="single" w:color="auto" w:sz="4" w:space="0"/>
              <w:left w:val="single" w:color="auto" w:sz="4" w:space="0"/>
              <w:bottom w:val="single" w:color="auto" w:sz="4" w:space="0"/>
              <w:right w:val="single" w:color="auto" w:sz="4" w:space="0"/>
            </w:tcBorders>
            <w:noWrap w:val="0"/>
            <w:vAlign w:val="center"/>
          </w:tcPr>
          <w:p w14:paraId="57F2A26E">
            <w:pPr>
              <w:pStyle w:val="6"/>
              <w:widowControl/>
              <w:tabs>
                <w:tab w:val="center" w:pos="4153"/>
                <w:tab w:val="right" w:pos="8306"/>
              </w:tabs>
              <w:autoSpaceDE w:val="0"/>
              <w:snapToGrid w:val="0"/>
              <w:spacing w:before="120" w:beforeLines="50" w:line="360" w:lineRule="auto"/>
              <w:jc w:val="center"/>
              <w:textAlignment w:val="center"/>
              <w:rPr>
                <w:rStyle w:val="7"/>
                <w:rFonts w:hint="default" w:ascii="宋体" w:hAnsi="宋体" w:cs="Times New Roman"/>
                <w:color w:val="000000"/>
                <w:kern w:val="2"/>
                <w:sz w:val="15"/>
                <w:szCs w:val="15"/>
                <w:lang w:val="en-US" w:eastAsia="zh-CN" w:bidi="ar-SA"/>
              </w:rPr>
            </w:pPr>
            <w:r>
              <w:rPr>
                <w:rStyle w:val="7"/>
                <w:rFonts w:hint="eastAsia" w:ascii="宋体" w:hAnsi="宋体" w:cs="Times New Roman"/>
                <w:color w:val="000000"/>
                <w:kern w:val="0"/>
                <w:sz w:val="15"/>
                <w:szCs w:val="15"/>
                <w:lang w:val="en-US" w:eastAsia="zh-CN" w:bidi="ar-SA"/>
              </w:rPr>
              <w:t>心电图机</w:t>
            </w:r>
          </w:p>
        </w:tc>
        <w:tc>
          <w:tcPr>
            <w:tcW w:w="1212" w:type="dxa"/>
            <w:tcBorders>
              <w:top w:val="single" w:color="auto" w:sz="4" w:space="0"/>
              <w:left w:val="single" w:color="auto" w:sz="4" w:space="0"/>
              <w:bottom w:val="single" w:color="auto" w:sz="4" w:space="0"/>
              <w:right w:val="single" w:color="auto" w:sz="4" w:space="0"/>
            </w:tcBorders>
            <w:noWrap w:val="0"/>
            <w:vAlign w:val="center"/>
          </w:tcPr>
          <w:p w14:paraId="3AB7A37F">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4</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2FCEEF76">
            <w:pPr>
              <w:pStyle w:val="6"/>
              <w:widowControl w:val="0"/>
              <w:tabs>
                <w:tab w:val="center" w:pos="4153"/>
                <w:tab w:val="right" w:pos="8306"/>
              </w:tabs>
              <w:autoSpaceDE w:val="0"/>
              <w:snapToGrid w:val="0"/>
              <w:spacing w:before="120" w:beforeLines="50" w:line="360" w:lineRule="auto"/>
              <w:jc w:val="center"/>
              <w:rPr>
                <w:rStyle w:val="4"/>
                <w:rFonts w:ascii="宋体" w:hAnsi="宋体"/>
                <w:kern w:val="2"/>
                <w:sz w:val="15"/>
                <w:szCs w:val="15"/>
                <w:lang w:val="en-US" w:eastAsia="zh-CN" w:bidi="ar-SA"/>
              </w:rPr>
            </w:pPr>
            <w:r>
              <w:rPr>
                <w:rStyle w:val="7"/>
                <w:rFonts w:hint="eastAsia" w:ascii="宋体" w:hAnsi="宋体" w:cs="Times New Roman"/>
                <w:kern w:val="2"/>
                <w:sz w:val="15"/>
                <w:szCs w:val="15"/>
                <w:lang w:val="en-US" w:eastAsia="zh-CN" w:bidi="ar-SA"/>
              </w:rPr>
              <w:t>台</w:t>
            </w:r>
          </w:p>
        </w:tc>
        <w:tc>
          <w:tcPr>
            <w:tcW w:w="2400" w:type="dxa"/>
            <w:tcBorders>
              <w:top w:val="single" w:color="auto" w:sz="4" w:space="0"/>
              <w:left w:val="single" w:color="auto" w:sz="4" w:space="0"/>
              <w:bottom w:val="single" w:color="auto" w:sz="4" w:space="0"/>
              <w:right w:val="single" w:color="auto" w:sz="4" w:space="0"/>
            </w:tcBorders>
            <w:noWrap w:val="0"/>
            <w:vAlign w:val="center"/>
          </w:tcPr>
          <w:p w14:paraId="4E9E7D65">
            <w:pPr>
              <w:pStyle w:val="6"/>
              <w:widowControl w:val="0"/>
              <w:tabs>
                <w:tab w:val="center" w:pos="4153"/>
                <w:tab w:val="right" w:pos="8306"/>
              </w:tabs>
              <w:autoSpaceDE w:val="0"/>
              <w:snapToGrid w:val="0"/>
              <w:spacing w:before="120" w:beforeLines="50" w:line="360" w:lineRule="auto"/>
              <w:jc w:val="center"/>
              <w:rPr>
                <w:rStyle w:val="7"/>
                <w:rFonts w:hint="default" w:ascii="宋体" w:hAnsi="宋体" w:cs="Times New Roman"/>
                <w:kern w:val="2"/>
                <w:sz w:val="15"/>
                <w:szCs w:val="15"/>
                <w:lang w:val="en-US" w:eastAsia="zh-CN" w:bidi="ar-SA"/>
              </w:rPr>
            </w:pPr>
            <w:r>
              <w:rPr>
                <w:rStyle w:val="7"/>
                <w:rFonts w:hint="eastAsia" w:ascii="宋体" w:hAnsi="宋体" w:cs="Times New Roman"/>
                <w:kern w:val="2"/>
                <w:sz w:val="15"/>
                <w:szCs w:val="15"/>
                <w:lang w:val="en-US" w:eastAsia="zh-CN" w:bidi="ar-SA"/>
              </w:rPr>
              <w:t>不接受进口产品投标</w:t>
            </w:r>
          </w:p>
        </w:tc>
      </w:tr>
    </w:tbl>
    <w:p w14:paraId="0AA13DB0">
      <w:pPr>
        <w:pStyle w:val="6"/>
        <w:autoSpaceDE w:val="0"/>
        <w:spacing w:before="120" w:beforeLines="50" w:line="360" w:lineRule="auto"/>
        <w:ind w:firstLine="300" w:firstLineChars="200"/>
        <w:rPr>
          <w:rStyle w:val="7"/>
          <w:rFonts w:hint="eastAsia" w:ascii="宋体" w:hAnsi="宋体"/>
          <w:sz w:val="15"/>
          <w:szCs w:val="15"/>
        </w:rPr>
      </w:pPr>
      <w:r>
        <w:rPr>
          <w:rStyle w:val="7"/>
          <w:rFonts w:hint="eastAsia" w:ascii="宋体" w:hAnsi="宋体"/>
          <w:sz w:val="15"/>
          <w:szCs w:val="15"/>
        </w:rPr>
        <w:t>注：以下技术参数中带“★”号条款为实质性要求条款（即关键性参数），对实质性要求条款中任何一条的偏离(即不满足、或不响应、或负偏离)，在评标时将其视为无效投标。</w:t>
      </w:r>
    </w:p>
    <w:p w14:paraId="1E56170B">
      <w:pPr>
        <w:pStyle w:val="6"/>
        <w:autoSpaceDE w:val="0"/>
        <w:spacing w:before="120" w:beforeLines="50" w:line="360" w:lineRule="auto"/>
        <w:rPr>
          <w:rStyle w:val="7"/>
          <w:rFonts w:hint="eastAsia" w:ascii="宋体" w:hAnsi="宋体"/>
          <w:b/>
          <w:bCs/>
          <w:color w:val="000000"/>
          <w:spacing w:val="-2"/>
          <w:kern w:val="0"/>
          <w:sz w:val="15"/>
          <w:szCs w:val="15"/>
        </w:rPr>
      </w:pPr>
      <w:r>
        <w:rPr>
          <w:rStyle w:val="7"/>
          <w:rFonts w:hint="eastAsia" w:ascii="宋体" w:hAnsi="宋体"/>
          <w:b/>
          <w:bCs/>
          <w:color w:val="000000"/>
          <w:spacing w:val="-2"/>
          <w:kern w:val="0"/>
          <w:sz w:val="15"/>
          <w:szCs w:val="15"/>
        </w:rPr>
        <w:t xml:space="preserve"> </w:t>
      </w:r>
    </w:p>
    <w:p w14:paraId="77E9E2E2">
      <w:pPr>
        <w:pStyle w:val="6"/>
        <w:autoSpaceDE w:val="0"/>
        <w:spacing w:before="120" w:beforeLines="50" w:line="360" w:lineRule="auto"/>
        <w:rPr>
          <w:rStyle w:val="7"/>
          <w:rFonts w:hint="eastAsia" w:ascii="宋体" w:hAnsi="宋体"/>
          <w:b/>
          <w:bCs/>
          <w:color w:val="000000"/>
          <w:spacing w:val="-2"/>
          <w:kern w:val="0"/>
          <w:sz w:val="15"/>
          <w:szCs w:val="15"/>
        </w:rPr>
      </w:pPr>
      <w:r>
        <w:rPr>
          <w:rStyle w:val="7"/>
          <w:rFonts w:hint="eastAsia" w:ascii="宋体" w:hAnsi="宋体"/>
          <w:b/>
          <w:bCs/>
          <w:color w:val="000000"/>
          <w:spacing w:val="-2"/>
          <w:kern w:val="0"/>
          <w:sz w:val="15"/>
          <w:szCs w:val="15"/>
        </w:rPr>
        <w:t>二、技术规格及参数要求</w:t>
      </w:r>
    </w:p>
    <w:p w14:paraId="41384BAF">
      <w:pPr>
        <w:pStyle w:val="5"/>
        <w:autoSpaceDE w:val="0"/>
        <w:adjustRightInd w:val="0"/>
        <w:snapToGrid w:val="0"/>
        <w:spacing w:before="120" w:beforeLines="50" w:line="360" w:lineRule="auto"/>
        <w:outlineLvl w:val="2"/>
        <w:rPr>
          <w:rStyle w:val="7"/>
          <w:rFonts w:hint="eastAsia" w:ascii="宋体" w:hAnsi="宋体"/>
          <w:b/>
          <w:bCs/>
          <w:color w:val="000000"/>
          <w:kern w:val="0"/>
          <w:sz w:val="15"/>
          <w:szCs w:val="15"/>
        </w:rPr>
      </w:pPr>
      <w:bookmarkStart w:id="0" w:name="_Toc256000014"/>
      <w:r>
        <w:rPr>
          <w:rStyle w:val="7"/>
          <w:rFonts w:hint="eastAsia" w:ascii="宋体" w:hAnsi="宋体"/>
          <w:b/>
          <w:bCs/>
          <w:color w:val="000000"/>
          <w:kern w:val="0"/>
          <w:sz w:val="15"/>
          <w:szCs w:val="15"/>
        </w:rPr>
        <w:t>（一）生化分析仪 4台</w:t>
      </w:r>
      <w:bookmarkEnd w:id="0"/>
    </w:p>
    <w:p w14:paraId="21C1ABB1">
      <w:pPr>
        <w:pStyle w:val="5"/>
        <w:autoSpaceDE w:val="0"/>
        <w:spacing w:before="120" w:beforeLines="50" w:line="360" w:lineRule="auto"/>
        <w:ind w:firstLine="276" w:firstLineChars="200"/>
        <w:rPr>
          <w:rStyle w:val="4"/>
          <w:rFonts w:hint="eastAsia"/>
          <w:spacing w:val="-6"/>
        </w:rPr>
      </w:pPr>
      <w:r>
        <w:rPr>
          <w:rStyle w:val="4"/>
          <w:rFonts w:hint="eastAsia" w:ascii="宋体" w:hAnsi="宋体"/>
          <w:spacing w:val="-6"/>
          <w:sz w:val="15"/>
          <w:szCs w:val="15"/>
        </w:rPr>
        <w:t>★1.速度：生化恒速≥800项测试/小时（不含ISE离子模块）；</w:t>
      </w:r>
    </w:p>
    <w:p w14:paraId="76FC87C2">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2.分析原理：比色法、比浊法、电极法等；</w:t>
      </w:r>
    </w:p>
    <w:p w14:paraId="544440B3">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3.分析方法：终点法、两点法、速率法等；</w:t>
      </w:r>
    </w:p>
    <w:p w14:paraId="6AC8BE9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4.样本类型：血清、血浆、尿液、脑脊液、全血等；</w:t>
      </w:r>
    </w:p>
    <w:p w14:paraId="576F6AF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5.同时分析项目：最大可同时分析项目≥150个；</w:t>
      </w:r>
    </w:p>
    <w:p w14:paraId="32D0CFD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6.全血糖化血红蛋白检测功能：具备；</w:t>
      </w:r>
    </w:p>
    <w:p w14:paraId="4EF65035">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7.光源：卤钨灯，寿命≥2000小时；</w:t>
      </w:r>
    </w:p>
    <w:p w14:paraId="728FB20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8.波长范围：340nm-800nm，波长精度：±1nm；</w:t>
      </w:r>
    </w:p>
    <w:p w14:paraId="666E9F5F">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9.光路系统：全息凹面光栅后分光；</w:t>
      </w:r>
    </w:p>
    <w:p w14:paraId="32B66A3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10.波长数量：≥16个波长；</w:t>
      </w:r>
    </w:p>
    <w:p w14:paraId="154A63D3">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11.吸光度线性范围：≥0-3.5Abs；</w:t>
      </w:r>
    </w:p>
    <w:p w14:paraId="558C32A7">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12.样本位：≥120个样本位（不含软件扩展位），包含样本位、校准位、质控位、急诊位等；</w:t>
      </w:r>
    </w:p>
    <w:p w14:paraId="5012B9E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13.样本量：≥1.5μL~35μL，</w:t>
      </w:r>
      <w:r>
        <w:rPr>
          <w:rStyle w:val="4"/>
          <w:rFonts w:hint="eastAsia" w:ascii="宋体" w:hAnsi="宋体"/>
          <w:color w:val="000000"/>
          <w:spacing w:val="-6"/>
          <w:sz w:val="15"/>
          <w:szCs w:val="15"/>
        </w:rPr>
        <w:t>0.1µL步进；</w:t>
      </w:r>
    </w:p>
    <w:p w14:paraId="49688699">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14.样本针功能：液面检测，智能防气泡干扰、空吸检测、凝血块检测、堵针实时检测；</w:t>
      </w:r>
    </w:p>
    <w:p w14:paraId="54DD4DBB">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15.试剂针功能：具有液面感应、随量跟踪、立体防撞功能；支持空吸、气泡、堵针实时检测，支持预加热功能；</w:t>
      </w:r>
    </w:p>
    <w:p w14:paraId="2DFB237F">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16.针清洗功能：具有自动清洗功能；</w:t>
      </w:r>
    </w:p>
    <w:p w14:paraId="5E9A7A3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17.试剂位：≥180个（不包含任何形式的扩展位，不含ISE位置），不间断冷藏，试剂位自由设定，支持条码识别；</w:t>
      </w:r>
    </w:p>
    <w:p w14:paraId="26A2C47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18.试剂量：≥10μL~350uL，0.5µL步进；</w:t>
      </w:r>
    </w:p>
    <w:p w14:paraId="2E1159D2">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19.试剂冷藏功能：2~8℃，可24小时连续冷藏；</w:t>
      </w:r>
    </w:p>
    <w:p w14:paraId="0311ADB0">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20.反应位及杯材质：≥160个，可重复使用的硬质玻璃杯或石英杯（非联体式），提供比色杯检测报告；</w:t>
      </w:r>
    </w:p>
    <w:p w14:paraId="47E31716">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21.反应盘温控：固体直热，37±0.1℃温度实时显示，免维护；</w:t>
      </w:r>
    </w:p>
    <w:p w14:paraId="629B5D67">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22.最小反应液体积：≤90µL；</w:t>
      </w:r>
    </w:p>
    <w:p w14:paraId="63C4742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23.反应杯清洗功能：反应杯≥8阶自动清洗；</w:t>
      </w:r>
    </w:p>
    <w:p w14:paraId="3B10E317">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24.清洗用水：全自动恒温；</w:t>
      </w:r>
    </w:p>
    <w:p w14:paraId="3BDCBA20">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25.搅拌系统：双搅拌杆设计；</w:t>
      </w:r>
    </w:p>
    <w:p w14:paraId="04B9E67C">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26.搅拌针功能：自动搅拌，转速检测、自动冲洗；</w:t>
      </w:r>
    </w:p>
    <w:p w14:paraId="7C0F170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27.稀释功能：支持样本稀释测试；</w:t>
      </w:r>
    </w:p>
    <w:p w14:paraId="615226FC">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28.定标方法：单点线性、两点线性、非线性多点等；</w:t>
      </w:r>
    </w:p>
    <w:p w14:paraId="2112B323">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29.打印功能：多种打印格式，支持中、英文打印；</w:t>
      </w:r>
    </w:p>
    <w:p w14:paraId="68AC8C5E">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30.条码功能：支持条码扫描功能；</w:t>
      </w:r>
    </w:p>
    <w:p w14:paraId="7B88315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31.溯源体系：具备完整溯源体系；</w:t>
      </w:r>
    </w:p>
    <w:p w14:paraId="71D13DD6">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32.数据处理终端：CPU≥4核，主频≥3G，内存≥16G，硬盘≥1T，显示器≥20寸液晶，配备激光打印机，激光打印机≥20页/分钟；</w:t>
      </w:r>
    </w:p>
    <w:p w14:paraId="1201050F">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33.操作系统：预装正版软件（含中文操作系统）、鼠标、键盘操作；</w:t>
      </w:r>
    </w:p>
    <w:p w14:paraId="4F8B631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★34.试剂通道全开放，确保基层医疗卫生机构具备使用第三方试剂的权利；</w:t>
      </w:r>
    </w:p>
    <w:p w14:paraId="0D3C12EB">
      <w:pPr>
        <w:pStyle w:val="5"/>
        <w:numPr>
          <w:ilvl w:val="0"/>
          <w:numId w:val="1"/>
        </w:numPr>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其他配置：≥3KVA品牌UPS，≥20升品牌纯水机</w:t>
      </w:r>
    </w:p>
    <w:p w14:paraId="5074C6BB">
      <w:pPr>
        <w:pStyle w:val="5"/>
        <w:numPr>
          <w:ilvl w:val="0"/>
          <w:numId w:val="1"/>
        </w:numPr>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提供仪器同品牌生化试剂，试剂项目数≥90项；</w:t>
      </w:r>
    </w:p>
    <w:p w14:paraId="18F8B1F5">
      <w:pPr>
        <w:pStyle w:val="5"/>
        <w:numPr>
          <w:ilvl w:val="0"/>
          <w:numId w:val="1"/>
        </w:numPr>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携带污染率≤0.03%</w:t>
      </w:r>
    </w:p>
    <w:p w14:paraId="2791E95A">
      <w:pPr>
        <w:pStyle w:val="5"/>
        <w:autoSpaceDE w:val="0"/>
        <w:adjustRightInd w:val="0"/>
        <w:snapToGrid w:val="0"/>
        <w:spacing w:before="120" w:beforeLines="50" w:line="360" w:lineRule="auto"/>
        <w:outlineLvl w:val="2"/>
        <w:rPr>
          <w:rStyle w:val="7"/>
          <w:rFonts w:hint="eastAsia" w:ascii="宋体" w:hAnsi="宋体"/>
          <w:b/>
          <w:bCs/>
          <w:color w:val="000000"/>
          <w:kern w:val="0"/>
        </w:rPr>
      </w:pPr>
      <w:r>
        <w:rPr>
          <w:rStyle w:val="7"/>
          <w:rFonts w:hint="eastAsia" w:ascii="宋体" w:hAnsi="宋体"/>
          <w:b/>
          <w:bCs/>
          <w:color w:val="000000"/>
          <w:kern w:val="0"/>
          <w:sz w:val="15"/>
          <w:szCs w:val="15"/>
        </w:rPr>
        <w:t xml:space="preserve"> </w:t>
      </w:r>
    </w:p>
    <w:p w14:paraId="3D2A15B8">
      <w:pPr>
        <w:pStyle w:val="5"/>
        <w:autoSpaceDE w:val="0"/>
        <w:adjustRightInd w:val="0"/>
        <w:snapToGrid w:val="0"/>
        <w:spacing w:before="120" w:beforeLines="50" w:line="360" w:lineRule="auto"/>
        <w:outlineLvl w:val="2"/>
        <w:rPr>
          <w:rStyle w:val="7"/>
          <w:rFonts w:hint="eastAsia" w:ascii="宋体" w:hAnsi="宋体"/>
          <w:b/>
          <w:bCs/>
          <w:color w:val="000000"/>
          <w:kern w:val="0"/>
          <w:sz w:val="15"/>
          <w:szCs w:val="15"/>
        </w:rPr>
      </w:pPr>
      <w:bookmarkStart w:id="1" w:name="_Toc256000016"/>
      <w:r>
        <w:rPr>
          <w:rStyle w:val="7"/>
          <w:rFonts w:hint="eastAsia" w:ascii="宋体" w:hAnsi="宋体"/>
          <w:b/>
          <w:bCs/>
          <w:color w:val="000000"/>
          <w:kern w:val="0"/>
          <w:sz w:val="15"/>
          <w:szCs w:val="15"/>
        </w:rPr>
        <w:t>（二）血球仪 5台</w:t>
      </w:r>
      <w:bookmarkEnd w:id="1"/>
    </w:p>
    <w:p w14:paraId="411586EF">
      <w:pPr>
        <w:pStyle w:val="5"/>
        <w:autoSpaceDE w:val="0"/>
        <w:spacing w:before="120" w:beforeLines="50" w:line="360" w:lineRule="auto"/>
        <w:ind w:firstLine="276" w:firstLineChars="200"/>
        <w:rPr>
          <w:rStyle w:val="4"/>
          <w:rFonts w:hint="eastAsia"/>
          <w:spacing w:val="-6"/>
        </w:rPr>
      </w:pPr>
      <w:r>
        <w:rPr>
          <w:rStyle w:val="4"/>
          <w:rFonts w:hint="eastAsia" w:ascii="宋体" w:hAnsi="宋体"/>
          <w:spacing w:val="-6"/>
          <w:sz w:val="15"/>
          <w:szCs w:val="15"/>
        </w:rPr>
        <w:t>一、技术规格、参数与要求</w:t>
      </w:r>
    </w:p>
    <w:p w14:paraId="7FF388C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1.检测原理：采用主流的激光散射、流式细胞分析法、细胞化学染色进行血常规检测，采用免疫比浊法进行C-反应蛋白（CRP）测定；</w:t>
      </w:r>
    </w:p>
    <w:p w14:paraId="55047D2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2.检测参数：≥29项报告参数，3个直方图和4个散点图；</w:t>
      </w:r>
    </w:p>
    <w:p w14:paraId="12169C2E">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3.特定蛋白检测：具备全程C-反应蛋白检测功能；</w:t>
      </w:r>
    </w:p>
    <w:p w14:paraId="336D8C5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4.网织红细胞检测：具备；</w:t>
      </w:r>
    </w:p>
    <w:p w14:paraId="6B4C3B19">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5.测试模式：具备CBC，CBC+5DIFF，CBC+5DIFF+RRBC，CBC+5DIFF+CRP等模式；</w:t>
      </w:r>
    </w:p>
    <w:p w14:paraId="681F7E1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6.检测速度：≥60个/小时；</w:t>
      </w:r>
    </w:p>
    <w:p w14:paraId="6D992ADE">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7.样本用量：全血样本：五分类+CRP模式≤35μl；其余模式≤20μl；</w:t>
      </w:r>
    </w:p>
    <w:p w14:paraId="08A21B96">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8.进样模式：手动进样和自动进样，手动进样方式支持全血样本及预稀释样本，自动进样方式支持全血样本；</w:t>
      </w:r>
    </w:p>
    <w:p w14:paraId="4EEBEB01">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9.数据储存：最大可存储≥20万条样本信息；</w:t>
      </w:r>
    </w:p>
    <w:p w14:paraId="38FD3FA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10.线性范围：WBC：≥0.00×109/L～400.00×109/L，RBC：≥0.00×1012/L～8.00×1012/L，HGB：≥0 g/L～300g/L，PLT：≥0×109/L～5000×109/L，FR-CRP：≥0.20mg/L～320.00mg/L；</w:t>
      </w:r>
    </w:p>
    <w:p w14:paraId="34C0D894">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11.全血测量精密度：WBC：≤2%；RBC：≤1.5%；PLT：≤5.0%；Hgb：≤1.5%；CRP：≤4.0%；</w:t>
      </w:r>
    </w:p>
    <w:p w14:paraId="14B2EB6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12.校准与质控：具备自动校准和人工校准方式，每种模式下可绘制L-J，X，X-R，X-B质控图；</w:t>
      </w:r>
    </w:p>
    <w:p w14:paraId="1E27975A">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13.异常细胞提示：具有提示难溶性红细胞及异常细胞报警功能；</w:t>
      </w:r>
    </w:p>
    <w:p w14:paraId="0270843B">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14.报警提示：具有参数异常报警、试剂检测报警、故障提示报警、系统自动诊断功能；</w:t>
      </w:r>
    </w:p>
    <w:p w14:paraId="64A6E83E">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15.信息输入：全中文操作系统，可输入标本信息；支持条形码输入；</w:t>
      </w:r>
    </w:p>
    <w:p w14:paraId="180E55E8">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16.输出：可选择打印中英文报告、直方图、参考范围等；</w:t>
      </w:r>
    </w:p>
    <w:p w14:paraId="06806F60">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17.维护和保养：具备采样针自动清洗、液路定时清洗功能；</w:t>
      </w:r>
    </w:p>
    <w:p w14:paraId="10A82232">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18.质控校准：具有原厂配套质控和校准品；</w:t>
      </w:r>
    </w:p>
    <w:p w14:paraId="1035847B">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19.数据处理终端：CPU≥4核，主频≥3G，内存≥16G，硬盘≥1T，显示器≥20寸液晶；</w:t>
      </w:r>
    </w:p>
    <w:p w14:paraId="5FD9632B">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20.操作系统：预装正版软件（含中文操作系统），鼠标</w:t>
      </w:r>
      <w:r>
        <w:rPr>
          <w:rStyle w:val="4"/>
          <w:rFonts w:hint="eastAsia" w:ascii="MS Mincho" w:hAnsi="MS Mincho" w:eastAsia="MS Mincho" w:cs="MS Mincho"/>
          <w:spacing w:val="-6"/>
          <w:sz w:val="15"/>
          <w:szCs w:val="15"/>
        </w:rPr>
        <w:t>､</w:t>
      </w:r>
      <w:r>
        <w:rPr>
          <w:rStyle w:val="4"/>
          <w:rFonts w:hint="eastAsia" w:ascii="宋体" w:hAnsi="宋体" w:cs="宋体"/>
          <w:spacing w:val="-6"/>
          <w:sz w:val="15"/>
          <w:szCs w:val="15"/>
        </w:rPr>
        <w:t>键盘操作；</w:t>
      </w:r>
    </w:p>
    <w:p w14:paraId="6DB3E7CB">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21.支持离线备份功能（以备断电时使用）；</w:t>
      </w:r>
    </w:p>
    <w:p w14:paraId="7D18990D">
      <w:pPr>
        <w:pStyle w:val="5"/>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22.支持开放性试剂、耗材。</w:t>
      </w:r>
    </w:p>
    <w:p w14:paraId="2E47769A">
      <w:pPr>
        <w:pStyle w:val="5"/>
        <w:autoSpaceDE w:val="0"/>
        <w:adjustRightInd w:val="0"/>
        <w:snapToGrid w:val="0"/>
        <w:spacing w:before="120" w:beforeLines="50" w:line="360" w:lineRule="auto"/>
        <w:rPr>
          <w:rStyle w:val="7"/>
          <w:rFonts w:hint="eastAsia" w:ascii="宋体" w:hAnsi="宋体"/>
          <w:color w:val="000000"/>
          <w:kern w:val="0"/>
        </w:rPr>
      </w:pPr>
      <w:r>
        <w:rPr>
          <w:rStyle w:val="7"/>
          <w:rFonts w:hint="eastAsia" w:ascii="宋体" w:hAnsi="宋体"/>
          <w:color w:val="000000"/>
          <w:kern w:val="0"/>
          <w:sz w:val="15"/>
          <w:szCs w:val="15"/>
        </w:rPr>
        <w:t xml:space="preserve"> </w:t>
      </w:r>
    </w:p>
    <w:p w14:paraId="704AC3F5">
      <w:pPr>
        <w:pStyle w:val="5"/>
        <w:autoSpaceDE w:val="0"/>
        <w:adjustRightInd w:val="0"/>
        <w:snapToGrid w:val="0"/>
        <w:spacing w:before="120" w:beforeLines="50" w:line="360" w:lineRule="auto"/>
        <w:outlineLvl w:val="2"/>
        <w:rPr>
          <w:rStyle w:val="7"/>
          <w:rFonts w:hint="eastAsia" w:ascii="宋体" w:hAnsi="宋体"/>
          <w:b/>
          <w:bCs/>
          <w:color w:val="000000"/>
          <w:kern w:val="0"/>
          <w:sz w:val="15"/>
          <w:szCs w:val="15"/>
        </w:rPr>
      </w:pPr>
      <w:bookmarkStart w:id="2" w:name="_Toc256000017"/>
      <w:r>
        <w:rPr>
          <w:rStyle w:val="7"/>
          <w:rFonts w:hint="eastAsia" w:ascii="宋体" w:hAnsi="宋体"/>
          <w:b/>
          <w:bCs/>
          <w:color w:val="000000"/>
          <w:kern w:val="0"/>
          <w:sz w:val="15"/>
          <w:szCs w:val="15"/>
        </w:rPr>
        <w:t>（三）尿液分析仪 3台</w:t>
      </w:r>
      <w:bookmarkEnd w:id="2"/>
    </w:p>
    <w:p w14:paraId="39C8D571">
      <w:pPr>
        <w:pStyle w:val="5"/>
        <w:autoSpaceDE w:val="0"/>
        <w:spacing w:before="120" w:beforeLines="50" w:line="360" w:lineRule="auto"/>
        <w:ind w:firstLine="276" w:firstLineChars="200"/>
        <w:jc w:val="left"/>
        <w:rPr>
          <w:rStyle w:val="4"/>
          <w:rFonts w:hint="eastAsia"/>
          <w:spacing w:val="-6"/>
        </w:rPr>
      </w:pPr>
      <w:r>
        <w:rPr>
          <w:rStyle w:val="4"/>
          <w:rFonts w:hint="eastAsia" w:ascii="宋体" w:hAnsi="宋体"/>
          <w:spacing w:val="-6"/>
          <w:sz w:val="15"/>
          <w:szCs w:val="15"/>
        </w:rPr>
        <w:t>一、技术规格、参数与要求</w:t>
      </w:r>
    </w:p>
    <w:p w14:paraId="0C64AAED">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1.检测波长数量：≥4个波长；</w:t>
      </w:r>
    </w:p>
    <w:p w14:paraId="74576B9F">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2.测试速度：≥250个样本/小时；</w:t>
      </w:r>
    </w:p>
    <w:p w14:paraId="55E7ED8F">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3.检测项目：可使用适配尿试纸条进行11项、12项、14项检测（检测项目包括维生素C、白细胞、酮体、亚硝酸盐、尿胆原、胆红素、蛋白质、葡萄糖、尿比重、隐血、酸碱度、肌酐、尿钙、微量白蛋白、微量白蛋白/肌酐比值）；</w:t>
      </w:r>
    </w:p>
    <w:p w14:paraId="58986571">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4.显示屏：彩色液晶触摸屏≥7寸；</w:t>
      </w:r>
    </w:p>
    <w:p w14:paraId="151A20D4">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5.显示功能：显示屏可显示中文引导菜单、操作界面、提示信息、检测时间、检测结果；</w:t>
      </w:r>
    </w:p>
    <w:p w14:paraId="2CD64159">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6.试管容量：一次性进样试管≥10个；</w:t>
      </w:r>
    </w:p>
    <w:p w14:paraId="107795C9">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7.急诊插入：具有急诊优先插入，自动复查/镜检标记规则；</w:t>
      </w:r>
    </w:p>
    <w:p w14:paraId="7877146F">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8.自动吸样、滴样、清洗功能：能对样本进行自动吸样、滴样，液路自动清洗；</w:t>
      </w:r>
    </w:p>
    <w:p w14:paraId="5B29A137">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9.尿试纸图像显示及存储功能：显示被检测的尿试纸图像并存储；</w:t>
      </w:r>
    </w:p>
    <w:p w14:paraId="2C6E0E23">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10.存储容量：≥30万个样本结果；</w:t>
      </w:r>
    </w:p>
    <w:p w14:paraId="129DCBD8">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11.试纸仓容量：≥300条试纸；</w:t>
      </w:r>
    </w:p>
    <w:p w14:paraId="26A39372">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12.废料盒容量：能容纳≥400条废弃试纸条；</w:t>
      </w:r>
    </w:p>
    <w:p w14:paraId="36786F44">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13.打印功能：内置打印机，打印结果；</w:t>
      </w:r>
    </w:p>
    <w:p w14:paraId="1AFC74BA">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14.重复性：分析仪反射率测试结果的变异系数（CV，%）≤1.0%；</w:t>
      </w:r>
    </w:p>
    <w:p w14:paraId="04458FAB">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15.稳定性：分析仪开机8h内，反射率测试结果的变异系数≤1.0%；</w:t>
      </w:r>
    </w:p>
    <w:p w14:paraId="23E5DB73">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16.条码输入功能：内置条形码扫描器识别条形码；</w:t>
      </w:r>
    </w:p>
    <w:p w14:paraId="2DB3663D">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17.尿液颜色识别功能：采用物理方法（RGB三原色法）识别样本的颜色；</w:t>
      </w:r>
    </w:p>
    <w:p w14:paraId="562DBD32">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18.尿液浊度检测功能：采用物理法（散射法）检测出样本的浊度结果；</w:t>
      </w:r>
    </w:p>
    <w:p w14:paraId="30F69226">
      <w:pPr>
        <w:pStyle w:val="5"/>
        <w:autoSpaceDE w:val="0"/>
        <w:spacing w:before="120" w:beforeLines="50" w:line="360" w:lineRule="auto"/>
        <w:ind w:firstLine="276" w:firstLineChars="200"/>
        <w:jc w:val="left"/>
        <w:rPr>
          <w:rStyle w:val="4"/>
          <w:rFonts w:hint="eastAsia" w:ascii="宋体" w:hAnsi="宋体"/>
          <w:spacing w:val="-6"/>
          <w:sz w:val="15"/>
          <w:szCs w:val="15"/>
        </w:rPr>
      </w:pPr>
      <w:r>
        <w:rPr>
          <w:rStyle w:val="4"/>
          <w:rFonts w:hint="eastAsia" w:ascii="宋体" w:hAnsi="宋体"/>
          <w:spacing w:val="-6"/>
          <w:sz w:val="15"/>
          <w:szCs w:val="15"/>
        </w:rPr>
        <w:t>19.尿液比重检测功能：采用物理方法（折射计法）检测样本的尿比重结果。</w:t>
      </w:r>
    </w:p>
    <w:p w14:paraId="783C1FF5">
      <w:pPr>
        <w:pStyle w:val="5"/>
        <w:autoSpaceDE w:val="0"/>
        <w:adjustRightInd w:val="0"/>
        <w:snapToGrid w:val="0"/>
        <w:spacing w:before="120" w:beforeLines="50" w:line="360" w:lineRule="auto"/>
        <w:rPr>
          <w:rStyle w:val="7"/>
          <w:rFonts w:hint="eastAsia" w:ascii="宋体" w:hAnsi="宋体"/>
          <w:color w:val="000000"/>
          <w:kern w:val="0"/>
        </w:rPr>
      </w:pPr>
      <w:r>
        <w:rPr>
          <w:rStyle w:val="7"/>
          <w:rFonts w:hint="eastAsia" w:ascii="宋体" w:hAnsi="宋体"/>
          <w:color w:val="000000"/>
          <w:kern w:val="0"/>
          <w:sz w:val="15"/>
          <w:szCs w:val="15"/>
        </w:rPr>
        <w:t xml:space="preserve"> </w:t>
      </w:r>
    </w:p>
    <w:p w14:paraId="0DC24B56">
      <w:pPr>
        <w:pStyle w:val="5"/>
        <w:autoSpaceDE w:val="0"/>
        <w:adjustRightInd w:val="0"/>
        <w:snapToGrid w:val="0"/>
        <w:spacing w:before="120" w:beforeLines="50" w:line="360" w:lineRule="auto"/>
        <w:outlineLvl w:val="2"/>
        <w:rPr>
          <w:rStyle w:val="7"/>
          <w:rFonts w:hint="eastAsia" w:ascii="宋体" w:hAnsi="宋体"/>
          <w:b/>
          <w:bCs/>
          <w:color w:val="000000"/>
          <w:kern w:val="0"/>
          <w:sz w:val="15"/>
          <w:szCs w:val="15"/>
        </w:rPr>
      </w:pPr>
      <w:bookmarkStart w:id="3" w:name="_Toc256000018"/>
      <w:r>
        <w:rPr>
          <w:rStyle w:val="7"/>
          <w:rFonts w:hint="eastAsia" w:ascii="宋体" w:hAnsi="宋体"/>
          <w:b/>
          <w:bCs/>
          <w:color w:val="000000"/>
          <w:kern w:val="0"/>
          <w:sz w:val="15"/>
          <w:szCs w:val="15"/>
        </w:rPr>
        <w:t>（四）心电图机 4台</w:t>
      </w:r>
      <w:bookmarkEnd w:id="3"/>
    </w:p>
    <w:p w14:paraId="03166FCD">
      <w:pPr>
        <w:pStyle w:val="5"/>
        <w:autoSpaceDE w:val="0"/>
        <w:spacing w:before="120" w:beforeLines="50" w:line="360" w:lineRule="auto"/>
        <w:ind w:firstLine="276" w:firstLineChars="200"/>
        <w:rPr>
          <w:rStyle w:val="4"/>
          <w:rFonts w:hint="eastAsia"/>
          <w:spacing w:val="-6"/>
        </w:rPr>
      </w:pPr>
      <w:r>
        <w:rPr>
          <w:rStyle w:val="4"/>
          <w:rFonts w:hint="eastAsia" w:ascii="宋体" w:hAnsi="宋体"/>
          <w:spacing w:val="-6"/>
          <w:sz w:val="15"/>
          <w:szCs w:val="15"/>
        </w:rPr>
        <w:t>一、技术规格、参数与要求</w:t>
      </w:r>
    </w:p>
    <w:p w14:paraId="33E2B7A3">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1.十二道心电包括：</w:t>
      </w:r>
    </w:p>
    <w:p w14:paraId="7A4C0AFE">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（1）显示器与操作系统：≥7英寸显示器，支持全屏触控操作；</w:t>
      </w:r>
    </w:p>
    <w:p w14:paraId="1852D182">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（2）内置打印机：内置热敏点阵打印机；</w:t>
      </w:r>
    </w:p>
    <w:p w14:paraId="0F53194B">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（3）内置存储器：设置内置存储器，支持存储扩展，支持USB（或SD）多种传输方式，内置存储病例数量：本机可存储病历≥20000例；</w:t>
      </w:r>
    </w:p>
    <w:p w14:paraId="2933117B">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（4）抗干扰滤波技术：具有肌电滤波、漂移滤波、低通滤波、交流滤波功能；</w:t>
      </w:r>
    </w:p>
    <w:p w14:paraId="4B6345C1">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（5）工频滤波技术：具备工频滤波技术；</w:t>
      </w:r>
    </w:p>
    <w:p w14:paraId="60040F58">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（6）除颤保护：具备除颤保护。</w:t>
      </w:r>
    </w:p>
    <w:p w14:paraId="777F252C">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2.功能要求：</w:t>
      </w:r>
    </w:p>
    <w:p w14:paraId="69FF4C98">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（1）标准十二导联心电同步采集：具备标准十二导联心电信号同步采集；</w:t>
      </w:r>
    </w:p>
    <w:p w14:paraId="3CC57A20">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（2）导联体系：标准十二导联；</w:t>
      </w:r>
    </w:p>
    <w:p w14:paraId="5BEC98EB">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（3）采样模式：支持实时采样、预采样、触发采样、周期采样模式；</w:t>
      </w:r>
    </w:p>
    <w:p w14:paraId="2A86DC0C">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（4）患者信息录入方式：支持手动输入，条码枪、身份证读卡器读取；</w:t>
      </w:r>
    </w:p>
    <w:p w14:paraId="5A7B3B76">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（5）屏幕显示内容：心电波形、时间、心率、ID信息、工作状态信息等；</w:t>
      </w:r>
    </w:p>
    <w:p w14:paraId="1A448CA7">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（6）显示布局：可同屏显示同步心电波形，≥7种显示布局；</w:t>
      </w:r>
    </w:p>
    <w:p w14:paraId="1C24E22F">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（7）打印布局：≥7种打印布局；</w:t>
      </w:r>
    </w:p>
    <w:p w14:paraId="4075A915">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（8）波形冻结与浏览：支持波形冻结与波形浏览功能；</w:t>
      </w:r>
    </w:p>
    <w:p w14:paraId="31F0D940">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（9）导联信号质量检测：具有导联信号质量检测功能；</w:t>
      </w:r>
    </w:p>
    <w:p w14:paraId="31F01B6F">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（10）导联接反检测：支持导联接反检测；</w:t>
      </w:r>
    </w:p>
    <w:p w14:paraId="4B90C828">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（11）快速模式：支持快速模式；</w:t>
      </w:r>
    </w:p>
    <w:p w14:paraId="22D15725">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（12）向量功能：支持心电向量分析报告；</w:t>
      </w:r>
    </w:p>
    <w:p w14:paraId="7F2F940D">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（13）时间向量功能：支持时间向量功能；</w:t>
      </w:r>
    </w:p>
    <w:p w14:paraId="55B9AC95">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（14）病例管理功能：具有病历管理功能，可对存储的病历进行查询、浏览、修改、导出、传输、打印；</w:t>
      </w:r>
    </w:p>
    <w:p w14:paraId="619511F6">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3.网络传输功能：</w:t>
      </w:r>
    </w:p>
    <w:p w14:paraId="07098845">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（1）联网方式：支持通过有线、无线、移动网络的方式进行联网；</w:t>
      </w:r>
    </w:p>
    <w:p w14:paraId="27D31662">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（2）传输协议：支持FTP、HTTP等传输协议；</w:t>
      </w:r>
    </w:p>
    <w:p w14:paraId="47E370C8">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（3）数据格式：支持PDF、PNG、HL7、XML、DICOM等数据格式；</w:t>
      </w:r>
    </w:p>
    <w:p w14:paraId="06731C54">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（4）心电数据与心电网络平台双向传输：支持心电数据传输，可实现将本机采集的心电数据与心电网络平台的双向传输；</w:t>
      </w:r>
    </w:p>
    <w:p w14:paraId="27308C79">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（5）权限管理：具有权限管理。</w:t>
      </w:r>
    </w:p>
    <w:p w14:paraId="5E4A2719">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4.技术参数及要求：</w:t>
      </w:r>
    </w:p>
    <w:p w14:paraId="51CD5062">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（1） A/D转换：A/D转换：24bit；</w:t>
      </w:r>
    </w:p>
    <w:p w14:paraId="3B26EA80">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（2）采样率：≥64000Hz；</w:t>
      </w:r>
    </w:p>
    <w:p w14:paraId="65B6DD56">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（3）输入阻抗：≥110MΩ（10Hz）；</w:t>
      </w:r>
    </w:p>
    <w:p w14:paraId="521A5A20">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（4）频响范围：至少包含0.01Hz~500Hz；</w:t>
      </w:r>
    </w:p>
    <w:p w14:paraId="03AB0CC0">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（5）时间常数：≥5S；</w:t>
      </w:r>
    </w:p>
    <w:p w14:paraId="57DB64F2">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（6）耐极化电压：≥±900mV；</w:t>
      </w:r>
    </w:p>
    <w:p w14:paraId="28E627BC">
      <w:pPr>
        <w:pStyle w:val="5"/>
        <w:widowControl/>
        <w:autoSpaceDE w:val="0"/>
        <w:spacing w:before="120" w:beforeLines="50" w:line="360" w:lineRule="auto"/>
        <w:ind w:firstLine="276" w:firstLineChars="200"/>
        <w:rPr>
          <w:rStyle w:val="4"/>
          <w:rFonts w:hint="eastAsia" w:ascii="宋体" w:hAnsi="宋体"/>
          <w:spacing w:val="-6"/>
          <w:sz w:val="15"/>
          <w:szCs w:val="15"/>
        </w:rPr>
      </w:pPr>
      <w:r>
        <w:rPr>
          <w:rStyle w:val="4"/>
          <w:rFonts w:hint="eastAsia" w:ascii="宋体" w:hAnsi="宋体"/>
          <w:spacing w:val="-6"/>
          <w:sz w:val="15"/>
          <w:szCs w:val="15"/>
        </w:rPr>
        <w:t>（7）内部噪声：≤12.5µVp-p。</w:t>
      </w:r>
    </w:p>
    <w:p w14:paraId="300A7E65">
      <w:pPr>
        <w:pStyle w:val="5"/>
        <w:widowControl/>
        <w:rPr>
          <w:rStyle w:val="4"/>
          <w:rFonts w:hint="eastAsia" w:ascii="宋体" w:hAnsi="宋体" w:cs="宋体"/>
          <w:spacing w:val="30"/>
          <w:kern w:val="0"/>
          <w:szCs w:val="21"/>
        </w:rPr>
      </w:pPr>
    </w:p>
    <w:p w14:paraId="2166981A">
      <w:pPr>
        <w:pStyle w:val="5"/>
        <w:widowControl/>
        <w:jc w:val="center"/>
        <w:rPr>
          <w:rStyle w:val="4"/>
          <w:rFonts w:ascii="宋体" w:hAnsi="宋体" w:cs="宋体"/>
          <w:b/>
          <w:bCs/>
          <w:spacing w:val="30"/>
          <w:kern w:val="0"/>
          <w:sz w:val="30"/>
          <w:szCs w:val="30"/>
        </w:rPr>
      </w:pPr>
      <w:r>
        <w:rPr>
          <w:rStyle w:val="4"/>
          <w:rFonts w:ascii="宋体" w:hAnsi="宋体" w:cs="宋体"/>
          <w:b/>
          <w:bCs/>
          <w:spacing w:val="30"/>
          <w:kern w:val="0"/>
          <w:sz w:val="30"/>
          <w:szCs w:val="30"/>
        </w:rPr>
        <w:t>第二节 商务要求</w:t>
      </w:r>
    </w:p>
    <w:p w14:paraId="0F3E5B61">
      <w:pPr>
        <w:pStyle w:val="6"/>
        <w:widowControl/>
        <w:tabs>
          <w:tab w:val="left" w:pos="3618"/>
          <w:tab w:val="center" w:pos="5065"/>
        </w:tabs>
        <w:autoSpaceDE w:val="0"/>
        <w:spacing w:before="120" w:beforeLines="50" w:line="360" w:lineRule="auto"/>
        <w:rPr>
          <w:rStyle w:val="7"/>
          <w:rFonts w:ascii="宋体" w:hAnsi="宋体"/>
          <w:b/>
          <w:bCs/>
          <w:color w:val="000000"/>
          <w:spacing w:val="30"/>
          <w:kern w:val="0"/>
          <w:sz w:val="18"/>
          <w:szCs w:val="18"/>
        </w:rPr>
      </w:pPr>
      <w:r>
        <w:rPr>
          <w:rStyle w:val="7"/>
          <w:rFonts w:hint="eastAsia" w:ascii="宋体" w:hAnsi="宋体"/>
          <w:b/>
          <w:bCs/>
          <w:color w:val="000000"/>
          <w:spacing w:val="30"/>
          <w:kern w:val="0"/>
          <w:sz w:val="18"/>
          <w:szCs w:val="18"/>
        </w:rPr>
        <w:t>一、主要商务要求</w:t>
      </w:r>
    </w:p>
    <w:tbl>
      <w:tblPr>
        <w:tblStyle w:val="3"/>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27"/>
      </w:tblGrid>
      <w:tr w14:paraId="69760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tcBorders>
              <w:top w:val="single" w:color="auto" w:sz="4" w:space="0"/>
              <w:left w:val="single" w:color="auto" w:sz="4" w:space="0"/>
              <w:bottom w:val="single" w:color="auto" w:sz="4" w:space="0"/>
              <w:right w:val="single" w:color="auto" w:sz="4" w:space="0"/>
            </w:tcBorders>
            <w:noWrap w:val="0"/>
            <w:vAlign w:val="center"/>
          </w:tcPr>
          <w:p w14:paraId="62161DCA">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b/>
                <w:bCs/>
                <w:color w:val="000000"/>
                <w:spacing w:val="30"/>
                <w:kern w:val="2"/>
                <w:sz w:val="18"/>
                <w:szCs w:val="18"/>
                <w:lang w:val="en-US" w:eastAsia="zh-CN" w:bidi="ar-SA"/>
              </w:rPr>
            </w:pPr>
            <w:r>
              <w:rPr>
                <w:rStyle w:val="7"/>
                <w:rFonts w:hint="eastAsia" w:ascii="宋体" w:hAnsi="宋体" w:cs="Times New Roman"/>
                <w:color w:val="000000"/>
                <w:kern w:val="0"/>
                <w:sz w:val="18"/>
                <w:szCs w:val="18"/>
                <w:lang w:val="en-US" w:eastAsia="zh-CN" w:bidi="ar-SA"/>
              </w:rPr>
              <w:t>履行合同的时间、地点及方式</w:t>
            </w:r>
          </w:p>
        </w:tc>
        <w:tc>
          <w:tcPr>
            <w:tcW w:w="5827" w:type="dxa"/>
            <w:tcBorders>
              <w:top w:val="single" w:color="auto" w:sz="4" w:space="0"/>
              <w:left w:val="single" w:color="auto" w:sz="4" w:space="0"/>
              <w:bottom w:val="single" w:color="auto" w:sz="4" w:space="0"/>
              <w:right w:val="single" w:color="auto" w:sz="4" w:space="0"/>
            </w:tcBorders>
            <w:noWrap w:val="0"/>
            <w:vAlign w:val="top"/>
          </w:tcPr>
          <w:p w14:paraId="6935E440">
            <w:pPr>
              <w:pStyle w:val="6"/>
              <w:widowControl/>
              <w:tabs>
                <w:tab w:val="left" w:pos="3618"/>
                <w:tab w:val="center" w:pos="4153"/>
                <w:tab w:val="center" w:pos="5065"/>
                <w:tab w:val="right" w:pos="8306"/>
              </w:tabs>
              <w:autoSpaceDE w:val="0"/>
              <w:snapToGrid w:val="0"/>
              <w:spacing w:before="120" w:beforeLines="50" w:line="360" w:lineRule="auto"/>
              <w:jc w:val="both"/>
              <w:rPr>
                <w:rStyle w:val="7"/>
                <w:rFonts w:hint="default" w:ascii="宋体" w:hAnsi="宋体" w:cs="Times New Roman"/>
                <w:color w:val="000000"/>
                <w:kern w:val="2"/>
                <w:sz w:val="18"/>
                <w:szCs w:val="18"/>
                <w:lang w:val="en-US" w:eastAsia="zh-CN" w:bidi="ar-SA"/>
              </w:rPr>
            </w:pPr>
            <w:r>
              <w:rPr>
                <w:rStyle w:val="7"/>
                <w:rFonts w:hint="eastAsia" w:ascii="宋体" w:hAnsi="宋体" w:cs="Times New Roman"/>
                <w:color w:val="000000"/>
                <w:kern w:val="0"/>
                <w:sz w:val="18"/>
                <w:szCs w:val="18"/>
                <w:lang w:val="en-US" w:eastAsia="zh-CN" w:bidi="ar-SA"/>
              </w:rPr>
              <w:t>交货时间：合同签订后30天内，货物安装调试并验收合格；</w:t>
            </w:r>
          </w:p>
          <w:p w14:paraId="1A17BB35">
            <w:pPr>
              <w:pStyle w:val="6"/>
              <w:widowControl/>
              <w:tabs>
                <w:tab w:val="left" w:pos="3618"/>
                <w:tab w:val="center" w:pos="5065"/>
              </w:tabs>
              <w:autoSpaceDE w:val="0"/>
              <w:spacing w:before="120" w:beforeLines="50" w:line="360" w:lineRule="auto"/>
              <w:jc w:val="both"/>
              <w:rPr>
                <w:rStyle w:val="7"/>
                <w:rFonts w:hint="eastAsia" w:ascii="宋体" w:hAnsi="宋体" w:cs="Times New Roman"/>
                <w:color w:val="000000"/>
                <w:kern w:val="0"/>
                <w:sz w:val="18"/>
                <w:szCs w:val="18"/>
                <w:lang w:val="en-US" w:eastAsia="zh-CN" w:bidi="ar-SA"/>
              </w:rPr>
            </w:pPr>
            <w:r>
              <w:rPr>
                <w:rStyle w:val="7"/>
                <w:rFonts w:hint="eastAsia" w:ascii="宋体" w:hAnsi="宋体" w:cs="Times New Roman"/>
                <w:color w:val="000000"/>
                <w:kern w:val="0"/>
                <w:sz w:val="18"/>
                <w:szCs w:val="18"/>
                <w:lang w:val="en-US" w:eastAsia="zh-CN" w:bidi="ar-SA"/>
              </w:rPr>
              <w:t>交货地点：采购人指定地点；</w:t>
            </w:r>
          </w:p>
          <w:p w14:paraId="404EDD1A">
            <w:pPr>
              <w:pStyle w:val="5"/>
              <w:widowControl/>
              <w:tabs>
                <w:tab w:val="center" w:pos="4153"/>
                <w:tab w:val="right" w:pos="8306"/>
              </w:tabs>
              <w:autoSpaceDE w:val="0"/>
              <w:snapToGrid w:val="0"/>
              <w:spacing w:before="120" w:beforeLines="50" w:line="360" w:lineRule="auto"/>
              <w:jc w:val="left"/>
              <w:rPr>
                <w:rStyle w:val="7"/>
                <w:rFonts w:hint="default" w:ascii="宋体" w:hAnsi="宋体" w:cs="Times New Roman"/>
                <w:b/>
                <w:bCs/>
                <w:color w:val="000000"/>
                <w:spacing w:val="30"/>
                <w:kern w:val="2"/>
                <w:sz w:val="18"/>
                <w:szCs w:val="18"/>
                <w:lang w:val="en-US" w:eastAsia="zh-CN" w:bidi="ar-SA"/>
              </w:rPr>
            </w:pPr>
            <w:r>
              <w:rPr>
                <w:rStyle w:val="7"/>
                <w:rFonts w:hint="eastAsia" w:ascii="宋体" w:hAnsi="宋体" w:cs="Times New Roman"/>
                <w:color w:val="000000"/>
                <w:kern w:val="0"/>
                <w:sz w:val="18"/>
                <w:szCs w:val="18"/>
                <w:lang w:val="en-US" w:eastAsia="zh-CN" w:bidi="ar-SA"/>
              </w:rPr>
              <w:t>交货方式：</w:t>
            </w:r>
            <w:r>
              <w:rPr>
                <w:rStyle w:val="4"/>
                <w:rFonts w:hint="eastAsia" w:ascii="宋体" w:hAnsi="宋体"/>
                <w:color w:val="000000"/>
                <w:kern w:val="0"/>
                <w:sz w:val="18"/>
                <w:szCs w:val="18"/>
                <w:lang w:val="en-US" w:eastAsia="zh-CN" w:bidi="ar-SA"/>
              </w:rPr>
              <w:t>货到指定地点完成安装调试且验收合格，并按合同约定移交有关资料。</w:t>
            </w:r>
          </w:p>
        </w:tc>
      </w:tr>
      <w:tr w14:paraId="3298B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3227" w:type="dxa"/>
            <w:tcBorders>
              <w:top w:val="single" w:color="auto" w:sz="4" w:space="0"/>
              <w:left w:val="single" w:color="auto" w:sz="4" w:space="0"/>
              <w:bottom w:val="single" w:color="auto" w:sz="4" w:space="0"/>
              <w:right w:val="single" w:color="auto" w:sz="4" w:space="0"/>
            </w:tcBorders>
            <w:noWrap w:val="0"/>
            <w:vAlign w:val="center"/>
          </w:tcPr>
          <w:p w14:paraId="6CAC729B">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color w:val="000000"/>
                <w:kern w:val="2"/>
                <w:sz w:val="18"/>
                <w:szCs w:val="18"/>
                <w:lang w:val="en-US" w:eastAsia="zh-CN" w:bidi="ar-SA"/>
              </w:rPr>
            </w:pPr>
            <w:r>
              <w:rPr>
                <w:rStyle w:val="7"/>
                <w:rFonts w:hint="eastAsia" w:ascii="宋体" w:hAnsi="宋体" w:cs="Times New Roman"/>
                <w:color w:val="000000"/>
                <w:kern w:val="0"/>
                <w:sz w:val="18"/>
                <w:szCs w:val="18"/>
                <w:lang w:val="en-US" w:eastAsia="zh-CN" w:bidi="ar-SA"/>
              </w:rPr>
              <w:t>质量保证期</w:t>
            </w:r>
          </w:p>
        </w:tc>
        <w:tc>
          <w:tcPr>
            <w:tcW w:w="5827" w:type="dxa"/>
            <w:tcBorders>
              <w:top w:val="single" w:color="auto" w:sz="4" w:space="0"/>
              <w:left w:val="single" w:color="auto" w:sz="4" w:space="0"/>
              <w:bottom w:val="single" w:color="auto" w:sz="4" w:space="0"/>
              <w:right w:val="single" w:color="auto" w:sz="4" w:space="0"/>
            </w:tcBorders>
            <w:noWrap w:val="0"/>
            <w:vAlign w:val="top"/>
          </w:tcPr>
          <w:p w14:paraId="66787A7E">
            <w:pPr>
              <w:pStyle w:val="6"/>
              <w:widowControl/>
              <w:tabs>
                <w:tab w:val="left" w:pos="3618"/>
                <w:tab w:val="center" w:pos="4153"/>
                <w:tab w:val="center" w:pos="5065"/>
                <w:tab w:val="right" w:pos="8306"/>
              </w:tabs>
              <w:autoSpaceDE w:val="0"/>
              <w:snapToGrid w:val="0"/>
              <w:spacing w:before="120" w:beforeLines="50" w:line="360" w:lineRule="auto"/>
              <w:jc w:val="both"/>
              <w:rPr>
                <w:rStyle w:val="7"/>
                <w:rFonts w:hint="default" w:ascii="宋体" w:hAnsi="宋体" w:cs="Times New Roman"/>
                <w:b/>
                <w:bCs/>
                <w:color w:val="000000"/>
                <w:spacing w:val="30"/>
                <w:kern w:val="2"/>
                <w:sz w:val="18"/>
                <w:szCs w:val="18"/>
                <w:lang w:val="en-US" w:eastAsia="zh-CN" w:bidi="ar-SA"/>
              </w:rPr>
            </w:pPr>
            <w:r>
              <w:rPr>
                <w:rStyle w:val="4"/>
                <w:rFonts w:hint="eastAsia" w:ascii="宋体" w:hAnsi="宋体"/>
                <w:color w:val="000000"/>
                <w:kern w:val="0"/>
                <w:sz w:val="18"/>
                <w:szCs w:val="18"/>
                <w:lang w:val="en-US" w:eastAsia="zh-CN" w:bidi="ar-SA"/>
              </w:rPr>
              <w:t>整机质保期≥三年，自正式验收合格之日起开始计算</w:t>
            </w:r>
          </w:p>
        </w:tc>
      </w:tr>
      <w:tr w14:paraId="3545B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3227" w:type="dxa"/>
            <w:tcBorders>
              <w:top w:val="single" w:color="auto" w:sz="4" w:space="0"/>
              <w:left w:val="single" w:color="auto" w:sz="4" w:space="0"/>
              <w:bottom w:val="single" w:color="auto" w:sz="4" w:space="0"/>
              <w:right w:val="single" w:color="auto" w:sz="4" w:space="0"/>
            </w:tcBorders>
            <w:noWrap w:val="0"/>
            <w:vAlign w:val="center"/>
          </w:tcPr>
          <w:p w14:paraId="27F52236">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color w:val="000000"/>
                <w:kern w:val="2"/>
                <w:sz w:val="18"/>
                <w:szCs w:val="18"/>
                <w:lang w:val="en-US" w:eastAsia="zh-CN" w:bidi="ar-SA"/>
              </w:rPr>
            </w:pPr>
            <w:r>
              <w:rPr>
                <w:rStyle w:val="7"/>
                <w:rFonts w:hint="eastAsia" w:ascii="宋体" w:hAnsi="宋体" w:cs="Times New Roman"/>
                <w:color w:val="000000"/>
                <w:kern w:val="0"/>
                <w:sz w:val="18"/>
                <w:szCs w:val="18"/>
                <w:lang w:val="en-US" w:eastAsia="zh-CN" w:bidi="ar-SA"/>
              </w:rPr>
              <w:t>响应时间</w:t>
            </w:r>
          </w:p>
        </w:tc>
        <w:tc>
          <w:tcPr>
            <w:tcW w:w="5827" w:type="dxa"/>
            <w:tcBorders>
              <w:top w:val="single" w:color="auto" w:sz="4" w:space="0"/>
              <w:left w:val="single" w:color="auto" w:sz="4" w:space="0"/>
              <w:bottom w:val="single" w:color="auto" w:sz="4" w:space="0"/>
              <w:right w:val="single" w:color="auto" w:sz="4" w:space="0"/>
            </w:tcBorders>
            <w:noWrap w:val="0"/>
            <w:vAlign w:val="top"/>
          </w:tcPr>
          <w:p w14:paraId="398DD1C6">
            <w:pPr>
              <w:pStyle w:val="6"/>
              <w:widowControl/>
              <w:tabs>
                <w:tab w:val="left" w:pos="3618"/>
                <w:tab w:val="center" w:pos="4153"/>
                <w:tab w:val="center" w:pos="5065"/>
                <w:tab w:val="right" w:pos="8306"/>
              </w:tabs>
              <w:autoSpaceDE w:val="0"/>
              <w:snapToGrid w:val="0"/>
              <w:spacing w:before="120" w:beforeLines="50" w:line="360" w:lineRule="auto"/>
              <w:jc w:val="both"/>
              <w:rPr>
                <w:rStyle w:val="7"/>
                <w:rFonts w:hint="default" w:ascii="宋体" w:hAnsi="宋体" w:cs="Times New Roman"/>
                <w:b/>
                <w:bCs/>
                <w:color w:val="000000"/>
                <w:spacing w:val="30"/>
                <w:kern w:val="2"/>
                <w:sz w:val="18"/>
                <w:szCs w:val="18"/>
                <w:lang w:val="en-US" w:eastAsia="zh-CN" w:bidi="ar-SA"/>
              </w:rPr>
            </w:pPr>
            <w:r>
              <w:rPr>
                <w:rStyle w:val="7"/>
                <w:rFonts w:hint="eastAsia" w:ascii="宋体" w:hAnsi="宋体" w:cs="Times New Roman"/>
                <w:color w:val="000000"/>
                <w:kern w:val="0"/>
                <w:sz w:val="18"/>
                <w:szCs w:val="18"/>
                <w:lang w:val="en-US" w:eastAsia="zh-CN" w:bidi="ar-SA"/>
              </w:rPr>
              <w:t>7×24小时</w:t>
            </w:r>
          </w:p>
        </w:tc>
      </w:tr>
      <w:tr w14:paraId="48A43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227" w:type="dxa"/>
            <w:tcBorders>
              <w:top w:val="single" w:color="auto" w:sz="4" w:space="0"/>
              <w:left w:val="single" w:color="auto" w:sz="4" w:space="0"/>
              <w:bottom w:val="single" w:color="auto" w:sz="4" w:space="0"/>
              <w:right w:val="single" w:color="auto" w:sz="4" w:space="0"/>
            </w:tcBorders>
            <w:noWrap w:val="0"/>
            <w:vAlign w:val="center"/>
          </w:tcPr>
          <w:p w14:paraId="05C496DB">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b/>
                <w:bCs/>
                <w:color w:val="000000"/>
                <w:spacing w:val="30"/>
                <w:kern w:val="2"/>
                <w:sz w:val="18"/>
                <w:szCs w:val="18"/>
                <w:lang w:val="en-US" w:eastAsia="zh-CN" w:bidi="ar-SA"/>
              </w:rPr>
            </w:pPr>
            <w:r>
              <w:rPr>
                <w:rStyle w:val="7"/>
                <w:rFonts w:hint="eastAsia" w:ascii="宋体" w:hAnsi="宋体" w:cs="Times New Roman"/>
                <w:color w:val="000000"/>
                <w:kern w:val="0"/>
                <w:sz w:val="18"/>
                <w:szCs w:val="18"/>
                <w:lang w:val="en-US" w:eastAsia="zh-CN" w:bidi="ar-SA"/>
              </w:rPr>
              <w:t>合同价款支付方式和条件</w:t>
            </w:r>
          </w:p>
        </w:tc>
        <w:tc>
          <w:tcPr>
            <w:tcW w:w="5827" w:type="dxa"/>
            <w:tcBorders>
              <w:top w:val="single" w:color="auto" w:sz="4" w:space="0"/>
              <w:left w:val="single" w:color="auto" w:sz="4" w:space="0"/>
              <w:bottom w:val="single" w:color="auto" w:sz="4" w:space="0"/>
              <w:right w:val="single" w:color="auto" w:sz="4" w:space="0"/>
            </w:tcBorders>
            <w:noWrap w:val="0"/>
            <w:vAlign w:val="top"/>
          </w:tcPr>
          <w:p w14:paraId="50B2720F">
            <w:pPr>
              <w:pStyle w:val="5"/>
              <w:widowControl w:val="0"/>
              <w:tabs>
                <w:tab w:val="center" w:pos="4153"/>
                <w:tab w:val="right" w:pos="8306"/>
              </w:tabs>
              <w:autoSpaceDE w:val="0"/>
              <w:adjustRightInd w:val="0"/>
              <w:snapToGrid w:val="0"/>
              <w:spacing w:before="120" w:beforeLines="50" w:line="360" w:lineRule="auto"/>
              <w:jc w:val="both"/>
              <w:rPr>
                <w:rStyle w:val="7"/>
                <w:rFonts w:hint="default" w:ascii="宋体" w:hAnsi="宋体" w:cs="Times New Roman"/>
                <w:b/>
                <w:bCs/>
                <w:color w:val="000000"/>
                <w:spacing w:val="30"/>
                <w:kern w:val="2"/>
                <w:sz w:val="18"/>
                <w:szCs w:val="18"/>
                <w:lang w:val="en-US" w:eastAsia="zh-CN" w:bidi="ar-SA"/>
              </w:rPr>
            </w:pPr>
            <w:r>
              <w:rPr>
                <w:rStyle w:val="7"/>
                <w:rFonts w:hint="eastAsia" w:ascii="宋体" w:hAnsi="宋体" w:cs="Times New Roman"/>
                <w:kern w:val="2"/>
                <w:sz w:val="18"/>
                <w:szCs w:val="18"/>
                <w:lang w:val="en-US" w:eastAsia="zh-CN" w:bidi="ar-SA"/>
              </w:rPr>
              <w:t>完成安装调试、试运行、验收合格后金额支付合同总金额的</w:t>
            </w:r>
            <w:r>
              <w:rPr>
                <w:rStyle w:val="7"/>
                <w:rFonts w:hint="eastAsia" w:ascii="宋体" w:hAnsi="宋体" w:cs="Times New Roman"/>
                <w:color w:val="FF0000"/>
                <w:kern w:val="2"/>
                <w:sz w:val="18"/>
                <w:szCs w:val="18"/>
                <w:lang w:val="en-US" w:eastAsia="zh-CN" w:bidi="ar-SA"/>
              </w:rPr>
              <w:t>97%，3%为</w:t>
            </w:r>
            <w:r>
              <w:rPr>
                <w:rStyle w:val="7"/>
                <w:rFonts w:hint="eastAsia" w:ascii="宋体" w:hAnsi="宋体" w:cs="Times New Roman"/>
                <w:kern w:val="2"/>
                <w:sz w:val="18"/>
                <w:szCs w:val="18"/>
                <w:lang w:val="en-US" w:eastAsia="zh-CN" w:bidi="ar-SA"/>
              </w:rPr>
              <w:t>质保金，以验收通过时间起计，质保期满后，向甲方申请无息退还质保金</w:t>
            </w:r>
            <w:r>
              <w:rPr>
                <w:rStyle w:val="4"/>
                <w:rFonts w:hint="eastAsia" w:ascii="宋体" w:hAnsi="宋体"/>
                <w:bCs/>
                <w:kern w:val="2"/>
                <w:sz w:val="18"/>
                <w:szCs w:val="18"/>
                <w:lang w:val="en-US" w:eastAsia="zh-CN" w:bidi="ar-SA"/>
              </w:rPr>
              <w:t>。</w:t>
            </w:r>
          </w:p>
        </w:tc>
      </w:tr>
      <w:tr w14:paraId="2585F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3227" w:type="dxa"/>
            <w:tcBorders>
              <w:top w:val="single" w:color="auto" w:sz="4" w:space="0"/>
              <w:left w:val="single" w:color="auto" w:sz="4" w:space="0"/>
              <w:bottom w:val="single" w:color="auto" w:sz="4" w:space="0"/>
              <w:right w:val="single" w:color="auto" w:sz="4" w:space="0"/>
            </w:tcBorders>
            <w:noWrap w:val="0"/>
            <w:vAlign w:val="center"/>
          </w:tcPr>
          <w:p w14:paraId="00F8B968">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color w:val="000000"/>
                <w:kern w:val="2"/>
                <w:sz w:val="18"/>
                <w:szCs w:val="18"/>
                <w:lang w:val="en-US" w:eastAsia="zh-CN" w:bidi="ar-SA"/>
              </w:rPr>
            </w:pPr>
            <w:r>
              <w:rPr>
                <w:rStyle w:val="7"/>
                <w:rFonts w:hint="eastAsia" w:ascii="宋体" w:hAnsi="宋体" w:cs="Times New Roman"/>
                <w:color w:val="000000"/>
                <w:kern w:val="0"/>
                <w:sz w:val="18"/>
                <w:szCs w:val="18"/>
                <w:lang w:val="en-US" w:eastAsia="zh-CN" w:bidi="ar-SA"/>
              </w:rPr>
              <w:t>解决争议的方式</w:t>
            </w:r>
          </w:p>
        </w:tc>
        <w:tc>
          <w:tcPr>
            <w:tcW w:w="5827" w:type="dxa"/>
            <w:tcBorders>
              <w:top w:val="single" w:color="auto" w:sz="4" w:space="0"/>
              <w:left w:val="single" w:color="auto" w:sz="4" w:space="0"/>
              <w:bottom w:val="single" w:color="auto" w:sz="4" w:space="0"/>
              <w:right w:val="single" w:color="auto" w:sz="4" w:space="0"/>
            </w:tcBorders>
            <w:noWrap w:val="0"/>
            <w:vAlign w:val="center"/>
          </w:tcPr>
          <w:p w14:paraId="34D61300">
            <w:pPr>
              <w:pStyle w:val="6"/>
              <w:widowControl/>
              <w:tabs>
                <w:tab w:val="left" w:pos="3618"/>
                <w:tab w:val="center" w:pos="4153"/>
                <w:tab w:val="center" w:pos="5065"/>
                <w:tab w:val="right" w:pos="8306"/>
              </w:tabs>
              <w:autoSpaceDE w:val="0"/>
              <w:snapToGrid w:val="0"/>
              <w:spacing w:before="120" w:beforeLines="50" w:line="360" w:lineRule="auto"/>
              <w:jc w:val="center"/>
              <w:rPr>
                <w:rStyle w:val="7"/>
                <w:rFonts w:hint="default" w:ascii="宋体" w:hAnsi="宋体" w:cs="Times New Roman"/>
                <w:color w:val="000000"/>
                <w:kern w:val="2"/>
                <w:sz w:val="18"/>
                <w:szCs w:val="18"/>
                <w:lang w:val="en-US" w:eastAsia="zh-CN" w:bidi="ar-SA"/>
              </w:rPr>
            </w:pPr>
            <w:r>
              <w:rPr>
                <w:rStyle w:val="7"/>
                <w:rFonts w:hint="eastAsia" w:ascii="宋体" w:hAnsi="宋体" w:cs="Times New Roman"/>
                <w:color w:val="000000"/>
                <w:kern w:val="0"/>
                <w:sz w:val="18"/>
                <w:szCs w:val="18"/>
                <w:lang w:val="en-US" w:eastAsia="zh-CN" w:bidi="ar-SA"/>
              </w:rPr>
              <w:t xml:space="preserve">诉讼     </w:t>
            </w:r>
          </w:p>
        </w:tc>
      </w:tr>
    </w:tbl>
    <w:p w14:paraId="54AEE2B9">
      <w:pPr>
        <w:pStyle w:val="6"/>
        <w:widowControl/>
        <w:tabs>
          <w:tab w:val="left" w:pos="3618"/>
          <w:tab w:val="center" w:pos="5065"/>
        </w:tabs>
        <w:autoSpaceDE w:val="0"/>
        <w:spacing w:before="120" w:beforeLines="50" w:line="360" w:lineRule="auto"/>
        <w:rPr>
          <w:rStyle w:val="4"/>
          <w:rFonts w:hint="eastAsia"/>
          <w:spacing w:val="-6"/>
        </w:rPr>
      </w:pPr>
      <w:r>
        <w:rPr>
          <w:rStyle w:val="7"/>
          <w:rFonts w:hint="eastAsia" w:ascii="宋体" w:hAnsi="宋体"/>
          <w:b/>
          <w:bCs/>
          <w:color w:val="000000"/>
          <w:spacing w:val="30"/>
          <w:kern w:val="0"/>
          <w:sz w:val="18"/>
          <w:szCs w:val="18"/>
        </w:rPr>
        <w:t xml:space="preserve"> </w:t>
      </w:r>
      <w:r>
        <w:rPr>
          <w:rStyle w:val="4"/>
          <w:rFonts w:hint="eastAsia" w:ascii="宋体" w:hAnsi="宋体"/>
          <w:spacing w:val="-6"/>
          <w:sz w:val="18"/>
          <w:szCs w:val="18"/>
        </w:rPr>
        <w:t>二、其他要求</w:t>
      </w:r>
    </w:p>
    <w:p w14:paraId="5AE6292C">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★1.提供所投产品注册证相应的检验报告；</w:t>
      </w:r>
    </w:p>
    <w:p w14:paraId="58732C96">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2.所投产品仪器需具备LIS端口，如用户单位建立检测信息系统，须提供对接服务；</w:t>
      </w:r>
    </w:p>
    <w:p w14:paraId="1E997BA5">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3.售后服务保障体系：</w:t>
      </w:r>
    </w:p>
    <w:p w14:paraId="33C9771A">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1）质量保证期：投标产品的制造标准、安装标准及技术规范符合国家标准。整机质保期≥三年，自正式验收合格之日起开始计算。质保期内，中标人应维修并更换非人为损坏的或有缺陷的零部件;开机率未达标，每少一天保修期顺延7天。在保修期内或期外，如仪器出现故障，应负责提供同档次以上的备用设备，直至仪器维修至正常使用为止。为保证供货仪器与投标样机仪器一致，采购方将随机抽查和检验，若两者出现不一致，所有损失将由中标方负责。货物交付期间及质保期内涉及的所有费用均包含在投标报价中，采购人不再额外支付任何费用。</w:t>
      </w:r>
    </w:p>
    <w:p w14:paraId="0737D833">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2）安装调试与培训：中标人应按合同规定的时间交货，派人负责设备的现场安装和调试，并承担设备安装、调试及试运行期间的一切相关费用。如采购人发现所提供设备的品质和技术规范不符合合同要求或有明显损坏，其有权要求及时退换并索赔。安装调试验收完毕，应由双方共同签署验收报告。安装调试期内，应提供≥2天的现场临床操作培训;三个月后提供第二轮≥2天的集中培训；采购方将聘请第三方专业机构对产品的参数、质量、安装、调试和培训工作进行验收；</w:t>
      </w:r>
    </w:p>
    <w:p w14:paraId="3DDCC53D">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（3）售后服务：在接到用户通知2小时内响应，48小时内到达用户现场，96小时内解决问题：</w:t>
      </w:r>
    </w:p>
    <w:p w14:paraId="17FCDA08">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①提供7×24小时的技术咨询服务；</w:t>
      </w:r>
    </w:p>
    <w:p w14:paraId="0C6EF14A">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②敏感时期、重大节假日提供技术人员值守服务；</w:t>
      </w:r>
    </w:p>
    <w:p w14:paraId="1CADCB86">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③提供7×24小时的故障服务受理；</w:t>
      </w:r>
    </w:p>
    <w:p w14:paraId="7AD9452D">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④对重大故障提供7×24小时的现场支援，一般故障提供5×8小时的现场支援；</w:t>
      </w:r>
    </w:p>
    <w:p w14:paraId="710FC0B9">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⑤仪器使用期限≥8年，配件供应≥10年（须提供承诺函，格式自拟）；</w:t>
      </w:r>
    </w:p>
    <w:p w14:paraId="67FF206E">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⑥质保期内每年提供≥1次维护保养，开机率≥95%（按日历日计算）。</w:t>
      </w:r>
    </w:p>
    <w:p w14:paraId="62CC7741">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4.其他要求：</w:t>
      </w:r>
    </w:p>
    <w:p w14:paraId="59FB1A26">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（1）中标人应保证货物是已定型上市销售的原产地、原包装、手续合法完整、渠道正规的产品；</w:t>
      </w:r>
    </w:p>
    <w:p w14:paraId="0EED77BB">
      <w:pPr>
        <w:pStyle w:val="5"/>
        <w:autoSpaceDE w:val="0"/>
        <w:spacing w:before="120" w:beforeLines="50" w:line="360" w:lineRule="auto"/>
        <w:ind w:firstLine="336" w:firstLineChars="200"/>
        <w:rPr>
          <w:rStyle w:val="4"/>
          <w:rFonts w:hint="eastAsia" w:ascii="宋体" w:hAnsi="宋体"/>
          <w:spacing w:val="-6"/>
          <w:sz w:val="18"/>
          <w:szCs w:val="18"/>
        </w:rPr>
      </w:pPr>
      <w:r>
        <w:rPr>
          <w:rStyle w:val="4"/>
          <w:rFonts w:hint="eastAsia" w:ascii="宋体" w:hAnsi="宋体"/>
          <w:spacing w:val="-6"/>
          <w:sz w:val="18"/>
          <w:szCs w:val="18"/>
        </w:rPr>
        <w:t>（2）中标人应于中标通知书发出之日起三十日内与采购人签订书面采购合同并按采购人要求及时供货，否则采购人可依法单方解除合同并要求其承担违约责任。</w:t>
      </w:r>
    </w:p>
    <w:p w14:paraId="6B34A696">
      <w:pPr>
        <w:rPr>
          <w:rFonts w:hint="eastAsia" w:eastAsiaTheme="minorEastAsia"/>
          <w:lang w:eastAsia="zh-CN"/>
        </w:rPr>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MS Mincho">
    <w:panose1 w:val="02020609040205080304"/>
    <w:charset w:val="80"/>
    <w:family w:val="modern"/>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6768A9"/>
    <w:multiLevelType w:val="multilevel"/>
    <w:tmpl w:val="326768A9"/>
    <w:lvl w:ilvl="0" w:tentative="0">
      <w:start w:val="35"/>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3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22C97"/>
    <w:rsid w:val="47122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spacing w:before="50" w:beforeLines="50" w:after="50" w:afterLines="50" w:line="360" w:lineRule="auto"/>
      <w:jc w:val="center"/>
      <w:outlineLvl w:val="0"/>
    </w:pPr>
    <w:rPr>
      <w:rFonts w:ascii="黑体" w:hAnsi="黑体" w:eastAsia="黑体" w:cs="黑体"/>
      <w:b/>
      <w:bCs/>
      <w:kern w:val="32"/>
      <w:sz w:val="36"/>
      <w:szCs w:val="4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
    <w:name w:val="正文_21_0"/>
    <w:basedOn w:val="5"/>
    <w:qFormat/>
    <w:uiPriority w:val="0"/>
    <w:rPr>
      <w:rFonts w:ascii="Times New Roman" w:hAnsi="Times New Roman"/>
      <w:szCs w:val="21"/>
    </w:rPr>
  </w:style>
  <w:style w:type="character" w:customStyle="1" w:styleId="7">
    <w:name w:val="10"/>
    <w:basedOn w:val="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2025-11-16T14:14:00Z</dcterms:created>
  <dc:creator>朵朵</dc:creator>
  <cp:lastModifiedBy>朵朵</cp:lastModifiedBy>
  <dcterms:modified xsi:type="dcterms:W3CDTF">2025-11-16T14:14:43Z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8097856FFF194BDFA433DA3776D40E7C_11</vt:lpwstr>
  </property>
  <property fmtid="{D5CDD505-2E9C-101B-9397-08002B2CF9AE}" pid="4" name="KSOTemplateDocerSaveRecord">
    <vt:lpwstr>eyJoZGlkIjoiOTIwYmM1YmQ5OWEwMTU2MDI1OTJmZDJlM2FlOWM0YmYiLCJ1c2VySWQiOiI1MTEwNDU4NTQifQ==</vt:lpwstr>
  </property>
</Properties>
</file>