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6714B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A947566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2024年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衡阳县住房和城乡建设局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部门整体支出绩效自评报告</w:t>
      </w:r>
    </w:p>
    <w:p w14:paraId="164E9BF9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3D78862">
      <w:pPr>
        <w:pStyle w:val="12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 w14:paraId="475848D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（一）机构设置情况</w:t>
      </w:r>
    </w:p>
    <w:p w14:paraId="2625825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衡阳县住房和城乡建设局为正科级全额拨款行政单位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内设1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个股室，分别是办公室、财务审计股、人事政工股、行政审批服务股、政策法规股、勘察设计管理股、公用事业管理股、建筑工程管理股、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房地产监</w:t>
      </w:r>
      <w:r>
        <w:rPr>
          <w:rFonts w:hint="eastAsia" w:ascii="仿宋" w:hAnsi="仿宋" w:eastAsia="仿宋" w:cs="仿宋"/>
          <w:sz w:val="28"/>
          <w:szCs w:val="28"/>
        </w:rPr>
        <w:t>管股、物业管理股、消防管理股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、安全管理股、执法股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43E6EDF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 w:firstLine="0" w:firstLineChars="0"/>
        <w:textAlignment w:val="auto"/>
        <w:rPr>
          <w:rFonts w:hint="eastAsia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人员编制情况</w:t>
      </w:r>
    </w:p>
    <w:p w14:paraId="5F7D69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我局为一级预算单位，</w:t>
      </w:r>
      <w:r>
        <w:rPr>
          <w:rFonts w:hint="eastAsia" w:ascii="仿宋" w:hAnsi="仿宋" w:eastAsia="仿宋" w:cs="仿宋"/>
          <w:bCs/>
          <w:sz w:val="32"/>
          <w:szCs w:val="32"/>
        </w:rPr>
        <w:t>共有</w:t>
      </w:r>
      <w:r>
        <w:rPr>
          <w:rFonts w:hint="eastAsia" w:ascii="仿宋" w:hAnsi="仿宋" w:eastAsia="仿宋" w:cs="仿宋"/>
          <w:sz w:val="32"/>
          <w:szCs w:val="32"/>
        </w:rPr>
        <w:t>编制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人数90</w:t>
      </w:r>
      <w:r>
        <w:rPr>
          <w:rFonts w:hint="eastAsia" w:ascii="仿宋" w:hAnsi="仿宋" w:eastAsia="仿宋" w:cs="仿宋"/>
          <w:sz w:val="32"/>
          <w:szCs w:val="32"/>
        </w:rPr>
        <w:t>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在职90人，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退休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91人，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遗属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2人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249069E">
      <w:pPr>
        <w:pStyle w:val="12"/>
        <w:widowControl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 w14:paraId="05FAC163">
      <w:pPr>
        <w:pStyle w:val="12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</w:t>
      </w:r>
      <w:r>
        <w:rPr>
          <w:rFonts w:hint="eastAsia" w:eastAsia="楷体_GB2312" w:cs="Times New Roman"/>
          <w:b/>
          <w:bCs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预决算情况</w:t>
      </w:r>
    </w:p>
    <w:p w14:paraId="48AB71E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26B86D67">
      <w:pPr>
        <w:spacing w:line="6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955.34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850.34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，政府性基金预算拨款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105.00万元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ascii="仿宋" w:hAnsi="仿宋" w:eastAsia="仿宋" w:cs="仿宋"/>
          <w:spacing w:val="-8"/>
          <w:sz w:val="32"/>
          <w:szCs w:val="32"/>
        </w:rPr>
        <w:t>2024 年本单位一般公共预算拨款支出 850.34 万元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其中：基本支出724.34万元，项目支出126万元；</w:t>
      </w:r>
      <w:r>
        <w:rPr>
          <w:rFonts w:ascii="仿宋" w:hAnsi="仿宋" w:eastAsia="仿宋" w:cs="仿宋"/>
          <w:spacing w:val="-21"/>
          <w:sz w:val="32"/>
          <w:szCs w:val="32"/>
        </w:rPr>
        <w:t>政府性基金支出预算 105.00 万元</w:t>
      </w:r>
      <w:r>
        <w:rPr>
          <w:rFonts w:hint="eastAsia" w:ascii="仿宋" w:hAnsi="仿宋" w:eastAsia="仿宋" w:cs="仿宋"/>
          <w:spacing w:val="-21"/>
          <w:sz w:val="32"/>
          <w:szCs w:val="32"/>
          <w:lang w:eastAsia="zh-CN"/>
        </w:rPr>
        <w:t>。</w:t>
      </w:r>
    </w:p>
    <w:p w14:paraId="70110A7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33175FB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年决算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预算收入8065.68万元。其中：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一般公共财政拨款收入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7990.3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政府性基金预算拨款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75.38万元,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增加7110.34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年决算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预算支出8065.68万元，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一般公共财政拨款支出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7990.3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政府性基金预算拨款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75.38万元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。差异产生的主要原因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在职人员绩效奖、晋级晋档工资及退休人员绩效奖、七节一生等在年初没有纳入预算，二是项目资金年中追加，没有纳入年初预算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C40AC76">
      <w:p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（二）部门预算执行情况</w:t>
      </w:r>
    </w:p>
    <w:p w14:paraId="0DCD225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04CE88A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3BED7EF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3D97519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224.9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120.07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22.73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82.1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7FBE926B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 w14:paraId="02181D1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1378.8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1095.27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283.53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682.6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682.6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084D76C0">
      <w:pPr>
        <w:widowControl/>
        <w:numPr>
          <w:ilvl w:val="0"/>
          <w:numId w:val="2"/>
        </w:numPr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部门整体支出绩效情况</w:t>
      </w:r>
    </w:p>
    <w:p w14:paraId="6FCCD229">
      <w:pPr>
        <w:pStyle w:val="13"/>
        <w:numPr>
          <w:ilvl w:val="0"/>
          <w:numId w:val="3"/>
        </w:numPr>
        <w:ind w:left="320" w:leftChars="0" w:firstLine="0" w:firstLineChars="0"/>
        <w:rPr>
          <w:rFonts w:hint="default" w:ascii="Times New Roman" w:hAnsi="Times New Roman" w:eastAsia="楷体_GB2312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 w:val="0"/>
          <w:sz w:val="32"/>
          <w:szCs w:val="32"/>
        </w:rPr>
        <w:t>综合评价结论。</w:t>
      </w:r>
    </w:p>
    <w:p w14:paraId="010904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</w:t>
      </w:r>
      <w:r>
        <w:rPr>
          <w:rFonts w:hint="eastAsia" w:ascii="仿宋" w:hAnsi="仿宋" w:eastAsia="仿宋" w:cs="仿宋"/>
          <w:sz w:val="32"/>
          <w:szCs w:val="32"/>
        </w:rPr>
        <w:t>通过自评，根据《部门整体支出绩效评价指标评分表》评分，得分9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分，按照《关于规范绩效评价结果等级划分标准的通知》规定，综合评价等级为“优”。</w:t>
      </w:r>
    </w:p>
    <w:p w14:paraId="32B14CFE">
      <w:pPr>
        <w:pStyle w:val="13"/>
        <w:numPr>
          <w:ilvl w:val="0"/>
          <w:numId w:val="0"/>
        </w:numPr>
        <w:ind w:left="320" w:leftChars="0" w:firstLine="321" w:firstLineChars="100"/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 w:val="0"/>
          <w:sz w:val="32"/>
          <w:szCs w:val="32"/>
          <w:lang w:val="en-US" w:eastAsia="zh-CN"/>
        </w:rPr>
        <w:t>(二)评价指标分析。</w:t>
      </w:r>
    </w:p>
    <w:p w14:paraId="42E1A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，在县委县政府的坚强领导下，我局认真贯彻落实县委“三五一”工作思路，全力抓项目、促发展、稳增长、保稳定，服务全县经济社会高质量发展，切实保障和改善民生，扎实推进各项工作取得实效。在省政府“打好发展六仗”工作表彰通报中住建局为全县唯一获表彰单位；在全省优化营商环境考核中我们牵头负责的“获得用水用气”指标排名全市第一全省第十三；居民自建房安全专项整治和老旧小区改造、既有住宅加装电梯等民生实事始终处于全市第一全省前列；住房保障、建设工程招投标与稽查、质量安全监督管理等3项工作被省住建厅通报表彰；燃气管理工作排名全市第一并作典型发言；全系统16项单项工作排名全市前三；提案办理工作获评县“先进单位”。</w:t>
      </w:r>
    </w:p>
    <w:p w14:paraId="663126E3"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楷体_GB2312" w:cs="Times New Roman"/>
          <w:b/>
          <w:bCs w:val="0"/>
          <w:sz w:val="32"/>
          <w:szCs w:val="32"/>
          <w:lang w:val="en-US" w:eastAsia="zh-CN"/>
        </w:rPr>
        <w:t>(三</w:t>
      </w:r>
      <w:r>
        <w:rPr>
          <w:rFonts w:hint="eastAsia" w:ascii="Times New Roman" w:hAnsi="Times New Roman" w:eastAsia="楷体_GB2312" w:cs="Times New Roman"/>
          <w:b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 w:val="0"/>
          <w:sz w:val="32"/>
          <w:szCs w:val="32"/>
        </w:rPr>
        <w:t>评价指标分析</w:t>
      </w:r>
      <w:bookmarkEnd w:id="0"/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（或综合评价情况）。</w:t>
      </w:r>
    </w:p>
    <w:p w14:paraId="2B60F4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1、年度资金总额。权重10分，得10分。2024年总收入为8065.68万元，全年执行数为8065.68万元，执行率100%。</w:t>
      </w:r>
    </w:p>
    <w:p w14:paraId="7F78560D">
      <w:pPr>
        <w:pStyle w:val="12"/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"/>
          <w:sz w:val="32"/>
          <w:szCs w:val="32"/>
        </w:rPr>
        <w:t>产出指标</w:t>
      </w:r>
      <w:r>
        <w:rPr>
          <w:rFonts w:hint="eastAsia" w:eastAsia="仿宋"/>
          <w:sz w:val="32"/>
          <w:szCs w:val="32"/>
          <w:lang w:eastAsia="zh-CN"/>
        </w:rPr>
        <w:t>。权重</w:t>
      </w:r>
      <w:r>
        <w:rPr>
          <w:rFonts w:hint="eastAsia" w:eastAsia="仿宋"/>
          <w:sz w:val="32"/>
          <w:szCs w:val="32"/>
          <w:lang w:val="en-US" w:eastAsia="zh-CN"/>
        </w:rPr>
        <w:t>40分，得40分</w:t>
      </w:r>
    </w:p>
    <w:p w14:paraId="21A8BE6A">
      <w:pPr>
        <w:pStyle w:val="12"/>
        <w:widowControl/>
        <w:numPr>
          <w:ilvl w:val="0"/>
          <w:numId w:val="0"/>
        </w:numPr>
        <w:ind w:firstLine="640" w:firstLineChars="200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eastAsia="zh-CN"/>
        </w:rPr>
        <w:t>分别设置</w:t>
      </w:r>
      <w:r>
        <w:rPr>
          <w:rFonts w:hint="eastAsia" w:ascii="Times New Roman" w:hAnsi="Times New Roman" w:eastAsia="仿宋"/>
          <w:sz w:val="32"/>
          <w:szCs w:val="32"/>
        </w:rPr>
        <w:t>数量指标、质量指标</w:t>
      </w:r>
      <w:r>
        <w:rPr>
          <w:rFonts w:hint="eastAsia" w:eastAsia="仿宋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val="en-US" w:eastAsia="zh-CN"/>
        </w:rPr>
        <w:t>3个二级指标，以评价2024年度部门职责的履行情况。</w:t>
      </w:r>
    </w:p>
    <w:p w14:paraId="17687495">
      <w:pPr>
        <w:pStyle w:val="12"/>
        <w:widowControl/>
        <w:numPr>
          <w:ilvl w:val="0"/>
          <w:numId w:val="4"/>
        </w:numPr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数量指标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35分，得35分</w:t>
      </w:r>
    </w:p>
    <w:p w14:paraId="44EFFA7D">
      <w:pPr>
        <w:pStyle w:val="12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数量指标实际完成值达到预期目标，完成指标值：老旧小区改造、</w:t>
      </w:r>
      <w:r>
        <w:rPr>
          <w:rFonts w:hint="eastAsia" w:eastAsia="仿宋"/>
          <w:sz w:val="32"/>
          <w:szCs w:val="32"/>
          <w:lang w:val="en-US" w:eastAsia="zh-CN"/>
        </w:rPr>
        <w:t>危旧房改造</w:t>
      </w:r>
      <w:r>
        <w:rPr>
          <w:rFonts w:hint="eastAsia" w:eastAsia="仿宋"/>
          <w:sz w:val="32"/>
          <w:szCs w:val="32"/>
          <w:lang w:eastAsia="zh-CN"/>
        </w:rPr>
        <w:t>、</w:t>
      </w:r>
      <w:r>
        <w:rPr>
          <w:rFonts w:hint="eastAsia" w:eastAsia="仿宋"/>
          <w:sz w:val="32"/>
          <w:szCs w:val="32"/>
          <w:lang w:val="en-US" w:eastAsia="zh-CN"/>
        </w:rPr>
        <w:t>供水供气保障</w:t>
      </w:r>
      <w:r>
        <w:rPr>
          <w:rFonts w:hint="eastAsia" w:eastAsia="仿宋"/>
          <w:sz w:val="32"/>
          <w:szCs w:val="32"/>
          <w:lang w:eastAsia="zh-CN"/>
        </w:rPr>
        <w:t>，乡镇污水处理设施建设、建筑业发展、</w:t>
      </w:r>
      <w:r>
        <w:rPr>
          <w:rFonts w:hint="eastAsia" w:eastAsia="仿宋"/>
          <w:sz w:val="32"/>
          <w:szCs w:val="32"/>
          <w:lang w:val="en-US" w:eastAsia="zh-CN"/>
        </w:rPr>
        <w:t>质量安全、</w:t>
      </w:r>
      <w:r>
        <w:rPr>
          <w:rFonts w:hint="eastAsia" w:eastAsia="仿宋"/>
          <w:sz w:val="32"/>
          <w:szCs w:val="32"/>
          <w:lang w:eastAsia="zh-CN"/>
        </w:rPr>
        <w:t>房地产发展全部按要求完成</w:t>
      </w:r>
      <w:r>
        <w:rPr>
          <w:rFonts w:hint="eastAsia" w:eastAsia="仿宋"/>
          <w:sz w:val="32"/>
          <w:szCs w:val="32"/>
          <w:lang w:val="en-US" w:eastAsia="zh-CN"/>
        </w:rPr>
        <w:t>2024年</w:t>
      </w:r>
      <w:r>
        <w:rPr>
          <w:rFonts w:hint="eastAsia" w:eastAsia="仿宋"/>
          <w:sz w:val="32"/>
          <w:szCs w:val="32"/>
          <w:lang w:eastAsia="zh-CN"/>
        </w:rPr>
        <w:t>工作任务</w:t>
      </w:r>
      <w:r>
        <w:rPr>
          <w:rFonts w:hint="eastAsia" w:ascii="Times New Roman" w:hAnsi="Times New Roman" w:eastAsia="仿宋"/>
          <w:sz w:val="32"/>
          <w:szCs w:val="32"/>
        </w:rPr>
        <w:t>。</w:t>
      </w:r>
    </w:p>
    <w:p w14:paraId="47605095">
      <w:pPr>
        <w:pStyle w:val="12"/>
        <w:widowControl/>
        <w:numPr>
          <w:ilvl w:val="0"/>
          <w:numId w:val="4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质量指标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5分，得5分</w:t>
      </w:r>
    </w:p>
    <w:p w14:paraId="2EB53CA5">
      <w:pPr>
        <w:pStyle w:val="12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质量指标实际完成值达到预期目标，完成指标值：老旧小区改造率、棚户区改造率、保障租赁住房建设率，乡镇污水处理设施建设率、建筑业跨越发展率、房地产平稳健康发展率全部</w:t>
      </w:r>
      <w:r>
        <w:rPr>
          <w:rFonts w:hint="eastAsia" w:ascii="Times New Roman" w:hAnsi="Times New Roman" w:eastAsia="仿宋"/>
          <w:sz w:val="32"/>
          <w:szCs w:val="32"/>
        </w:rPr>
        <w:t>按要求完成 202</w:t>
      </w:r>
      <w:r>
        <w:rPr>
          <w:rFonts w:hint="eastAsia" w:eastAsia="仿宋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/>
          <w:sz w:val="32"/>
          <w:szCs w:val="32"/>
        </w:rPr>
        <w:t>年工作任务。</w:t>
      </w:r>
    </w:p>
    <w:p w14:paraId="581ED9EF">
      <w:pPr>
        <w:pStyle w:val="12"/>
        <w:widowControl/>
        <w:numPr>
          <w:ilvl w:val="0"/>
          <w:numId w:val="4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10分，得10分</w:t>
      </w:r>
    </w:p>
    <w:p w14:paraId="6A9A80AF">
      <w:pPr>
        <w:pStyle w:val="12"/>
        <w:widowControl/>
        <w:numPr>
          <w:ilvl w:val="0"/>
          <w:numId w:val="0"/>
        </w:num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部门预决算完成及时率、部门预决算和三公经费预决算信息公开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</w:rPr>
        <w:t>基本在绩效目标确定的时限内完成了各项工作。</w:t>
      </w:r>
    </w:p>
    <w:p w14:paraId="5314B98D">
      <w:pPr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"/>
          <w:sz w:val="32"/>
          <w:szCs w:val="32"/>
        </w:rPr>
        <w:t>效益指标。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20分，得19分</w:t>
      </w:r>
    </w:p>
    <w:p w14:paraId="0790F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省政府“打好发展六仗”工作表彰通报中住建局为全县唯一获表彰单位；在全省优化营商环境考核中我们牵头负责的“获得用水用气”指标排名全市第一全省第十三；居民自建房安全专项整治和老旧小区改造、既有住宅加装电梯等民生实事始终处于全市第一全省前列；住房保障、建设工程招投标与稽查、质量安全监督管理等3项工作被省住建厅通报表彰；燃气管理工作排名全市第一并作典型发言；全系统16项单项工作排名全市前三；提案办理工作获评县“先进单位”。</w:t>
      </w:r>
    </w:p>
    <w:p w14:paraId="019101DC">
      <w:pPr>
        <w:widowControl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　　4、</w:t>
      </w:r>
      <w:r>
        <w:rPr>
          <w:rFonts w:hint="eastAsia" w:ascii="Times New Roman" w:hAnsi="Times New Roman" w:eastAsia="仿宋"/>
          <w:sz w:val="32"/>
          <w:szCs w:val="32"/>
        </w:rPr>
        <w:t>满意度指标。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10分，得9分。</w:t>
      </w:r>
    </w:p>
    <w:p w14:paraId="46D32B89">
      <w:pPr>
        <w:pStyle w:val="7"/>
        <w:rPr>
          <w:rFonts w:hint="eastAsia" w:eastAsia="仿宋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　　通过发放满意意度征求意见表，群众给我单位反馈结果都满意。</w:t>
      </w:r>
    </w:p>
    <w:p w14:paraId="18288F8D">
      <w:pPr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5、成本指标。权重20分，得19分。</w:t>
      </w:r>
    </w:p>
    <w:p w14:paraId="2E3148B6">
      <w:pPr>
        <w:widowControl/>
        <w:ind w:firstLine="640" w:firstLineChars="20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2024年我单位例行节约，合理控制经费，没有超预算。</w:t>
      </w:r>
    </w:p>
    <w:p w14:paraId="3578AD3E"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四、项目绩效目标完成情况</w:t>
      </w:r>
    </w:p>
    <w:p w14:paraId="1A8A27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（一)兜底民生，把住房保障的大好事做到群众心坎里。一是创新“筹集端”。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鼓励产业园区配套用地建设完成新建保障性租赁住房144套。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二是扩大“供给端”。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2024年完成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了栏垅自然资源所、县人民医院、樟树乡政府二期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354套公共租赁住房保障房建设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；演陂镇政府二期等项目已完成立项、规划、勘探、初步设计，现已开工建设。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三是规范“分配端”。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新增租赁补贴33户，暂停补贴发放66户（未提供阳光平台录入相关资料）。发放租赁补贴757户，发放租赁补贴资金243.435万元；公租房清退22户，分配入住21户。</w:t>
      </w:r>
    </w:p>
    <w:p w14:paraId="5DDE24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75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（二）扛起担当，坚决完成重点工作。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</w:t>
      </w:r>
      <w:r>
        <w:rPr>
          <w:rStyle w:val="11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不断完善基础设施建设。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2024年</w:t>
      </w:r>
      <w:r>
        <w:rPr>
          <w:rStyle w:val="11"/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老旧小区改造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共实施49个小区，6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1栋，1382户。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第一批12个小区，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18栋，362户，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已完成改造并投入使用，第二批增补项目已完成改造，正在组织验收当中；2024年度实施3个老旧小区基础设施改造项目截至目前已完成工程量90%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。二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是大力实施危房改造。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155户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低收入群体等重点对象的危房改造任务，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竣工率、入住率均达到100%。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并对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农村六类对象住房安全动态监测，对发现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问题逐一整改到位。</w:t>
      </w:r>
    </w:p>
    <w:p w14:paraId="0EC6E8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（三）对标提标，夯实行业高质量发展基础。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一是推动建筑业绿色、低碳发展。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全县新开工项目100%满足绿色建筑标准，其中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县三中的徐特立、县人民医院公租房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2个项目获得一星级绿色建筑标识；装配式建筑面积达6.8万平方米，占新建建筑面积比率达33.2%，在全市排名第一。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二是房产市场风险得到有效化解。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“保交楼、保民生、保稳定”工作要求，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长旭·龙熙台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长旭·时光印象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、鸿运府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实行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“政府主导、国企托管”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向省级争取“保交楼”专项贷款5000余万元，资金使用率100%、房屋交付率100%。对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富鑫基翡翠城、御湖名园、碧桂园.首府、西仓卧龙湾、鑫龙湾、中城绿洲等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12个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保交房项目实行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白名单制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，交房率达95.39%，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创新性做法得到了省、市住建部门的充分肯定，坚决杜绝了烂尾现象。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8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三是新居民自建房监管有新举措。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多次召开农房建设监管推进会，在库宗桥镇推行农房建设监管工作试点，并出台了《关于进一步加强农村房屋建设管理的补充通知》和《衡阳县规范农村建房三关五制一实现工作方案》；县村镇建设服务中心对新建农村自建房质量安全抽查2次，共核查房屋198栋；并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居民自建房和城市危旧房排查整治工作进入常态化，共排查房屋36816栋，发现安全隐患168栋，至目前安全隐患已全部得到整治；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每季度还组织业务知识培训和交流，提高管理人员自建房监管专业水平。</w:t>
      </w:r>
    </w:p>
    <w:p w14:paraId="3D4C6BAB">
      <w:pPr>
        <w:widowControl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　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b/>
          <w:bCs/>
          <w:sz w:val="32"/>
          <w:szCs w:val="32"/>
        </w:rPr>
        <w:t>、存在的主要问题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及</w:t>
      </w:r>
      <w:r>
        <w:rPr>
          <w:rFonts w:hint="eastAsia" w:ascii="黑体" w:hAnsi="黑体" w:eastAsia="黑体"/>
          <w:b/>
          <w:bCs/>
          <w:sz w:val="32"/>
          <w:szCs w:val="32"/>
        </w:rPr>
        <w:t>改进措施</w:t>
      </w:r>
    </w:p>
    <w:p w14:paraId="3809989A">
      <w:pPr>
        <w:ind w:firstLine="643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（一）存在的问题。一是</w:t>
      </w:r>
      <w:r>
        <w:rPr>
          <w:rFonts w:hint="eastAsia" w:ascii="仿宋" w:hAnsi="仿宋" w:eastAsia="仿宋"/>
          <w:sz w:val="32"/>
          <w:szCs w:val="32"/>
        </w:rPr>
        <w:t>预算绩效管理工作涉及面广、专业性强，</w:t>
      </w:r>
      <w:r>
        <w:rPr>
          <w:rFonts w:hint="eastAsia" w:ascii="仿宋" w:hAnsi="仿宋" w:eastAsia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/>
          <w:sz w:val="32"/>
          <w:szCs w:val="32"/>
        </w:rPr>
        <w:t>更新</w:t>
      </w:r>
      <w:r>
        <w:rPr>
          <w:rFonts w:hint="eastAsia" w:ascii="仿宋" w:hAnsi="仿宋" w:eastAsia="仿宋"/>
          <w:sz w:val="32"/>
          <w:szCs w:val="32"/>
          <w:lang w:eastAsia="zh-CN"/>
        </w:rPr>
        <w:t>快</w:t>
      </w:r>
      <w:r>
        <w:rPr>
          <w:rFonts w:hint="eastAsia" w:ascii="仿宋" w:hAnsi="仿宋" w:eastAsia="仿宋"/>
          <w:sz w:val="32"/>
          <w:szCs w:val="32"/>
        </w:rPr>
        <w:t>，对预算绩效管理理解不</w:t>
      </w:r>
      <w:r>
        <w:rPr>
          <w:rFonts w:hint="eastAsia" w:ascii="仿宋" w:hAnsi="仿宋" w:eastAsia="仿宋"/>
          <w:sz w:val="32"/>
          <w:szCs w:val="32"/>
          <w:lang w:eastAsia="zh-CN"/>
        </w:rPr>
        <w:t>够</w:t>
      </w:r>
      <w:r>
        <w:rPr>
          <w:rFonts w:hint="eastAsia" w:ascii="仿宋" w:hAnsi="仿宋" w:eastAsia="仿宋"/>
          <w:sz w:val="32"/>
          <w:szCs w:val="32"/>
        </w:rPr>
        <w:t>透彻，业务不</w:t>
      </w:r>
      <w:r>
        <w:rPr>
          <w:rFonts w:hint="eastAsia" w:ascii="仿宋" w:hAnsi="仿宋" w:eastAsia="仿宋"/>
          <w:sz w:val="32"/>
          <w:szCs w:val="32"/>
          <w:lang w:eastAsia="zh-CN"/>
        </w:rPr>
        <w:t>够</w:t>
      </w:r>
      <w:r>
        <w:rPr>
          <w:rFonts w:hint="eastAsia" w:ascii="仿宋" w:hAnsi="仿宋" w:eastAsia="仿宋"/>
          <w:sz w:val="32"/>
          <w:szCs w:val="32"/>
        </w:rPr>
        <w:t>精通，在一定程度上影响绩效评价工作时效和质量。</w:t>
      </w:r>
      <w:r>
        <w:rPr>
          <w:rFonts w:hint="eastAsia" w:ascii="仿宋" w:hAnsi="仿宋" w:eastAsia="仿宋"/>
          <w:sz w:val="32"/>
          <w:szCs w:val="32"/>
          <w:lang w:eastAsia="zh-CN"/>
        </w:rPr>
        <w:t>二是绩效管理相关制度仍需完善。</w:t>
      </w:r>
    </w:p>
    <w:p w14:paraId="701C386C">
      <w:pPr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(二)改进措施。一是</w:t>
      </w:r>
      <w:r>
        <w:rPr>
          <w:rFonts w:hint="eastAsia" w:ascii="仿宋" w:hAnsi="仿宋" w:eastAsia="仿宋"/>
          <w:b/>
          <w:bCs/>
          <w:sz w:val="32"/>
          <w:szCs w:val="32"/>
        </w:rPr>
        <w:t>加强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绩效业务学习。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认真</w:t>
      </w:r>
      <w:r>
        <w:rPr>
          <w:rFonts w:hint="eastAsia" w:ascii="仿宋" w:hAnsi="仿宋" w:eastAsia="仿宋"/>
          <w:sz w:val="32"/>
          <w:szCs w:val="32"/>
        </w:rPr>
        <w:t>《预算法》、《行政单位会计制度》、《国有固定资产管理》</w:t>
      </w:r>
      <w:r>
        <w:rPr>
          <w:rFonts w:hint="eastAsia" w:ascii="仿宋" w:hAnsi="仿宋" w:eastAsia="仿宋"/>
          <w:sz w:val="32"/>
          <w:szCs w:val="32"/>
          <w:lang w:eastAsia="zh-CN"/>
        </w:rPr>
        <w:t>、预算绩效管理信息系统操作</w:t>
      </w:r>
      <w:r>
        <w:rPr>
          <w:rFonts w:hint="eastAsia" w:ascii="仿宋" w:hAnsi="仿宋" w:eastAsia="仿宋"/>
          <w:sz w:val="32"/>
          <w:szCs w:val="32"/>
        </w:rPr>
        <w:t>等学习，</w:t>
      </w:r>
      <w:r>
        <w:rPr>
          <w:rFonts w:hint="eastAsia" w:ascii="仿宋" w:hAnsi="仿宋" w:eastAsia="仿宋"/>
          <w:sz w:val="32"/>
          <w:szCs w:val="32"/>
          <w:lang w:eastAsia="zh-CN"/>
        </w:rPr>
        <w:t>提升绩效业务水平。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二是完善绩效管理制度。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完善绩效管理相关制度，</w:t>
      </w:r>
      <w:r>
        <w:rPr>
          <w:rFonts w:hint="eastAsia" w:ascii="仿宋" w:hAnsi="仿宋" w:eastAsia="仿宋"/>
          <w:sz w:val="32"/>
          <w:szCs w:val="32"/>
        </w:rPr>
        <w:t>完善预算评价指标体系，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全面公开绩效信息，接受社会公众监督。三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是</w:t>
      </w:r>
      <w:r>
        <w:rPr>
          <w:rFonts w:hint="eastAsia" w:ascii="仿宋" w:hAnsi="仿宋" w:eastAsia="仿宋"/>
          <w:b/>
          <w:bCs/>
          <w:sz w:val="32"/>
          <w:szCs w:val="32"/>
        </w:rPr>
        <w:t>提高预算管理水平。</w:t>
      </w:r>
      <w:r>
        <w:rPr>
          <w:rFonts w:hint="eastAsia" w:ascii="仿宋" w:hAnsi="仿宋" w:eastAsia="仿宋"/>
          <w:sz w:val="32"/>
          <w:szCs w:val="32"/>
        </w:rPr>
        <w:t>严格按程序编报单位经费预算，提高预算编制精细化水平；严格执行“无预算不开支、有预算不超支”原则，强化预算刚性约束；建立预算执行分析纳入党组会定期议题机制，及时纠正执行偏差、有效管控支付进度，充分发挥财政资金使用效益。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四是</w:t>
      </w:r>
      <w:r>
        <w:rPr>
          <w:rFonts w:hint="eastAsia" w:ascii="仿宋" w:hAnsi="仿宋" w:eastAsia="仿宋"/>
          <w:b/>
          <w:bCs/>
          <w:sz w:val="32"/>
          <w:szCs w:val="32"/>
        </w:rPr>
        <w:t>提高绩效管理水平。</w:t>
      </w:r>
      <w:r>
        <w:rPr>
          <w:rFonts w:hint="eastAsia" w:ascii="仿宋" w:hAnsi="仿宋" w:eastAsia="仿宋"/>
          <w:sz w:val="32"/>
          <w:szCs w:val="32"/>
        </w:rPr>
        <w:t>按照相关规定合理、准确地设置部门整体支出和项目支出绩效目标，并以此为年度工作指引，增强预算管控、强化项目管理，统筹安排、密切配合，持续提升财政资金使用的经济性、效率性和效益性。</w:t>
      </w:r>
    </w:p>
    <w:p w14:paraId="50FFCB3B">
      <w:pPr>
        <w:ind w:firstLine="482" w:firstLineChars="15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b/>
          <w:bCs/>
          <w:sz w:val="32"/>
          <w:szCs w:val="32"/>
        </w:rPr>
        <w:t>、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其他需要说明的</w:t>
      </w:r>
      <w:r>
        <w:rPr>
          <w:rFonts w:hint="eastAsia" w:ascii="黑体" w:hAnsi="黑体" w:eastAsia="黑体"/>
          <w:b/>
          <w:bCs/>
          <w:sz w:val="32"/>
          <w:szCs w:val="32"/>
        </w:rPr>
        <w:t>情况</w:t>
      </w:r>
    </w:p>
    <w:p w14:paraId="562A69BF">
      <w:pPr>
        <w:ind w:firstLine="480" w:firstLineChars="15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年部门整体支出绩效评价自查自评结果为优秀。拟通过县人民政府网站向社会公开，接受社会监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AEC019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56EE4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323EF"/>
    <w:multiLevelType w:val="singleLevel"/>
    <w:tmpl w:val="85A323EF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EAA09972"/>
    <w:multiLevelType w:val="singleLevel"/>
    <w:tmpl w:val="EAA09972"/>
    <w:lvl w:ilvl="0" w:tentative="0">
      <w:start w:val="1"/>
      <w:numFmt w:val="chineseCounting"/>
      <w:suff w:val="nothing"/>
      <w:lvlText w:val="（%1）"/>
      <w:lvlJc w:val="left"/>
      <w:pPr>
        <w:ind w:left="320" w:leftChars="0" w:firstLine="0" w:firstLineChars="0"/>
      </w:pPr>
      <w:rPr>
        <w:rFonts w:hint="eastAsia"/>
      </w:rPr>
    </w:lvl>
  </w:abstractNum>
  <w:abstractNum w:abstractNumId="2">
    <w:nsid w:val="19A19E7F"/>
    <w:multiLevelType w:val="singleLevel"/>
    <w:tmpl w:val="19A19E7F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7A9A982A"/>
    <w:multiLevelType w:val="singleLevel"/>
    <w:tmpl w:val="7A9A982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Y2VkYjZkYjRjYWQ3ZDZmNDc4NDEwODI4NTExOGMifQ=="/>
    <w:docVar w:name="KSO_WPS_MARK_KEY" w:val="31778806-b7a0-4b2d-8f4e-4d3a274fd65c"/>
  </w:docVars>
  <w:rsids>
    <w:rsidRoot w:val="4C43681B"/>
    <w:rsid w:val="02D67969"/>
    <w:rsid w:val="03CB6AB3"/>
    <w:rsid w:val="068B5B47"/>
    <w:rsid w:val="09146FE7"/>
    <w:rsid w:val="0B301291"/>
    <w:rsid w:val="0B405654"/>
    <w:rsid w:val="0CF145AD"/>
    <w:rsid w:val="0F251AE4"/>
    <w:rsid w:val="11093960"/>
    <w:rsid w:val="1A086B2F"/>
    <w:rsid w:val="1DE275E2"/>
    <w:rsid w:val="1DEF1689"/>
    <w:rsid w:val="1E3D6B93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2634B19"/>
    <w:rsid w:val="34A72A00"/>
    <w:rsid w:val="37FD8167"/>
    <w:rsid w:val="3C0B6651"/>
    <w:rsid w:val="3D0160AB"/>
    <w:rsid w:val="3DFCC60E"/>
    <w:rsid w:val="3E2D187A"/>
    <w:rsid w:val="3FBBDA77"/>
    <w:rsid w:val="43282DD1"/>
    <w:rsid w:val="4C43681B"/>
    <w:rsid w:val="4C923160"/>
    <w:rsid w:val="4DDD6BCF"/>
    <w:rsid w:val="4E54656B"/>
    <w:rsid w:val="4F30327C"/>
    <w:rsid w:val="515651ED"/>
    <w:rsid w:val="519A5C81"/>
    <w:rsid w:val="55944FFF"/>
    <w:rsid w:val="58EA42F7"/>
    <w:rsid w:val="592917C1"/>
    <w:rsid w:val="5D7529AC"/>
    <w:rsid w:val="5DDF7AE8"/>
    <w:rsid w:val="60067FC1"/>
    <w:rsid w:val="60A52F4C"/>
    <w:rsid w:val="6778080A"/>
    <w:rsid w:val="67EB41F2"/>
    <w:rsid w:val="687115B5"/>
    <w:rsid w:val="6C2E7CD3"/>
    <w:rsid w:val="6CB461FC"/>
    <w:rsid w:val="6DC431FB"/>
    <w:rsid w:val="775559D4"/>
    <w:rsid w:val="776C076D"/>
    <w:rsid w:val="798C23BD"/>
    <w:rsid w:val="7A0A76D8"/>
    <w:rsid w:val="7B220ABB"/>
    <w:rsid w:val="7B88713B"/>
    <w:rsid w:val="7F10244C"/>
    <w:rsid w:val="7FA1480D"/>
    <w:rsid w:val="97FDD3F4"/>
    <w:rsid w:val="AF3F24E7"/>
    <w:rsid w:val="BBFD4948"/>
    <w:rsid w:val="CEF7556B"/>
    <w:rsid w:val="CFCB3209"/>
    <w:rsid w:val="FFDB80B3"/>
    <w:rsid w:val="FFFE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99"/>
    <w:rPr>
      <w:rFonts w:ascii="Calibri" w:hAnsi="Calibri" w:eastAsia="仿宋_GB2312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semiHidden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Body Text First Indent 2"/>
    <w:basedOn w:val="4"/>
    <w:qFormat/>
    <w:uiPriority w:val="0"/>
    <w:pPr>
      <w:ind w:left="0" w:leftChars="0" w:firstLine="40"/>
    </w:pPr>
    <w:rPr>
      <w:rFonts w:ascii="仿宋_GB2312" w:hAnsi="仿宋_GB2312" w:eastAsia="仿宋" w:cs="仿宋_GB2312"/>
      <w:sz w:val="32"/>
      <w:szCs w:val="32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3">
    <w:name w:val="BodyText"/>
    <w:basedOn w:val="1"/>
    <w:qFormat/>
    <w:uiPriority w:val="0"/>
    <w:pPr>
      <w:spacing w:line="560" w:lineRule="exact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3257</Words>
  <Characters>3550</Characters>
  <Lines>0</Lines>
  <Paragraphs>0</Paragraphs>
  <TotalTime>63</TotalTime>
  <ScaleCrop>false</ScaleCrop>
  <LinksUpToDate>false</LinksUpToDate>
  <CharactersWithSpaces>3573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2024-03-06T16:23:00Z</dcterms:created>
  <dc:creator>Administrator</dc:creator>
  <cp:lastModifiedBy>kylin</cp:lastModifiedBy>
  <cp:lastPrinted>2024-09-27T23:30:00Z</cp:lastPrinted>
  <dcterms:modified xsi:type="dcterms:W3CDTF">2025-05-21T16:06:05Z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49A084F7E68F4C029DD81FF42E1F13E5_13</vt:lpwstr>
  </property>
</Properties>
</file>