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sz w:val="36"/>
          <w:szCs w:val="36"/>
          <w:lang w:eastAsia="zh-CN"/>
        </w:rPr>
        <w:t>衡阳县广场服务中心</w:t>
      </w: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2024年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部门整体支出绩效自评报</w:t>
      </w: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告</w:t>
      </w: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7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一、部门、单位基本情况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（一）机构设置情况</w:t>
      </w:r>
      <w:r>
        <w:rPr>
          <w:rFonts w:hint="eastAsia" w:ascii="仿宋" w:hAnsi="仿宋" w:eastAsia="仿宋" w:cs="仿宋"/>
          <w:kern w:val="0"/>
          <w:sz w:val="32"/>
          <w:szCs w:val="32"/>
        </w:rPr>
        <w:t>根据职责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我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lang w:eastAsia="zh-CN"/>
        </w:rPr>
        <w:t>中心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</w:rPr>
        <w:t>内设股室3个</w:t>
      </w:r>
      <w:r>
        <w:rPr>
          <w:rFonts w:hint="eastAsia" w:ascii="仿宋" w:hAnsi="仿宋" w:eastAsia="仿宋" w:cs="仿宋"/>
          <w:sz w:val="32"/>
          <w:szCs w:val="32"/>
        </w:rPr>
        <w:t>，内设股室分别是办公室、财务室，船山广场综合管理班，明翰广场综合管理班。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40" w:leftChars="0" w:firstLine="0" w:firstLineChars="0"/>
        <w:textAlignment w:val="auto"/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人员编制情况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　　</w:t>
      </w:r>
      <w:r>
        <w:rPr>
          <w:rFonts w:hint="eastAsia" w:ascii="仿宋" w:hAnsi="仿宋" w:eastAsia="仿宋" w:cs="仿宋"/>
          <w:sz w:val="32"/>
          <w:szCs w:val="32"/>
        </w:rPr>
        <w:t>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中心</w:t>
      </w:r>
      <w:r>
        <w:rPr>
          <w:rFonts w:hint="eastAsia" w:ascii="仿宋" w:hAnsi="仿宋" w:eastAsia="仿宋" w:cs="仿宋"/>
          <w:sz w:val="32"/>
          <w:szCs w:val="32"/>
        </w:rPr>
        <w:t>共有编制25人，年末实有人数2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人，退休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人。</w:t>
      </w:r>
    </w:p>
    <w:p>
      <w:pPr>
        <w:pStyle w:val="7"/>
        <w:widowControl/>
        <w:spacing w:line="600" w:lineRule="exact"/>
        <w:ind w:left="0" w:leftChars="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eastAsia="黑体" w:cs="Times New Roman"/>
          <w:sz w:val="32"/>
          <w:szCs w:val="32"/>
          <w:lang w:eastAsia="zh-CN"/>
        </w:rPr>
        <w:t>　　</w:t>
      </w:r>
      <w:r>
        <w:rPr>
          <w:rFonts w:hint="default" w:ascii="Times New Roman" w:hAnsi="Times New Roman" w:eastAsia="黑体" w:cs="Times New Roman"/>
          <w:sz w:val="32"/>
          <w:szCs w:val="32"/>
        </w:rPr>
        <w:t>二、预算支出情况</w:t>
      </w:r>
    </w:p>
    <w:p>
      <w:pPr>
        <w:pStyle w:val="7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</w:t>
      </w:r>
      <w:r>
        <w:rPr>
          <w:rFonts w:hint="eastAsia" w:eastAsia="楷体_GB2312" w:cs="Times New Roman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预决算情况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1.部门预算情况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年年初预算安排收入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203.24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万元，其中一般公共财政拨款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203.24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万元；其中：基本支出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201.44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万元，项目支出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2.部门决算情况（含年中预算追加情况）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年决算总收入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370.35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其中一般公共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预算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251.87万元，较年初预算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增加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48.63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其他收入118.47，上年结余15.89万元。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总支出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370.99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247.76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67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％；项目支出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123.22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预算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差异产生的主要原因是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一是在职人员绩效奖、晋级晋档工资及退休人员绩效奖、七节一生、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预发绩效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等在年初没有纳入预算，二是其他收入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118.47万元是上级拨两广场维修维护费，用于两广场维修维护费支出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（二）部门预算执行情况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经费预算数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万元，公务用车购置及运行维护费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经费决算数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.政府采购执行情况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年度政府采购支出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135.14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万元，其中：货物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32.44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元，工程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80.78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万元，服务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21.92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.资产管理情况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年年末资产总额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17.55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万元，负债总额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13.59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万元，净资产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3.96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万元。截至202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年12月31日，固定资产账面原值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25.4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万元，在用资产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25.4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万元，资产使用率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%。</w:t>
      </w:r>
    </w:p>
    <w:p>
      <w:pPr>
        <w:widowControl/>
        <w:spacing w:line="600" w:lineRule="exact"/>
        <w:ind w:firstLine="645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三、部门整体支出绩效情况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（一）综合评价结论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我中心</w:t>
      </w:r>
      <w:r>
        <w:rPr>
          <w:rFonts w:hint="eastAsia" w:ascii="仿宋" w:hAnsi="仿宋" w:eastAsia="仿宋" w:cs="仿宋"/>
          <w:sz w:val="32"/>
          <w:szCs w:val="32"/>
        </w:rPr>
        <w:t>履行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职责，认真抓好</w:t>
      </w:r>
      <w:r>
        <w:rPr>
          <w:rFonts w:hint="eastAsia" w:ascii="仿宋" w:hAnsi="仿宋" w:eastAsia="仿宋" w:cs="仿宋"/>
          <w:sz w:val="32"/>
          <w:szCs w:val="32"/>
        </w:rPr>
        <w:t>广场市政工程设施、市容市貌、环境卫生、园林绿化等方面的管理和执法纠查。通过自评，根据《部门整体支出绩效评价指标评分表》评分，得分9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分，按照《关于规范绩效评价结果等级划分标准的通知》规定，综合评价等级为“优”。</w:t>
      </w:r>
    </w:p>
    <w:p>
      <w:pPr>
        <w:widowControl/>
        <w:spacing w:line="600" w:lineRule="exact"/>
        <w:ind w:firstLine="645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2024年部门整体支出绩效评价自查自评结果为优秀。</w:t>
      </w:r>
    </w:p>
    <w:p>
      <w:pPr>
        <w:pStyle w:val="7"/>
        <w:widowControl/>
        <w:numPr>
          <w:ilvl w:val="0"/>
          <w:numId w:val="0"/>
        </w:numPr>
        <w:ind w:left="640" w:leftChars="0"/>
        <w:rPr>
          <w:rFonts w:hint="default"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eastAsia="楷体_GB2312" w:cs="Times New Roman"/>
          <w:bCs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评价指标分析（或综合评价情况）。</w:t>
      </w:r>
    </w:p>
    <w:p>
      <w:pPr>
        <w:pStyle w:val="7"/>
        <w:widowControl/>
        <w:numPr>
          <w:ilvl w:val="0"/>
          <w:numId w:val="0"/>
        </w:numPr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　　1、年度资金总额。权重10分，得10分。2024年一般公共预算收入为251.87万元，其他资金收入118.47万元，使用非财政拨款结余0.64万元，共计370.99万元，全年执行数为370.99万元，执行率100%。</w:t>
      </w:r>
    </w:p>
    <w:p>
      <w:pPr>
        <w:pStyle w:val="7"/>
        <w:widowControl/>
        <w:numPr>
          <w:ilvl w:val="0"/>
          <w:numId w:val="0"/>
        </w:numPr>
        <w:ind w:leftChars="200" w:firstLine="320" w:firstLineChars="100"/>
        <w:rPr>
          <w:rFonts w:hint="eastAsia" w:ascii="Times New Roman" w:hAnsi="Times New Roman" w:eastAsia="仿宋"/>
          <w:sz w:val="32"/>
          <w:szCs w:val="32"/>
          <w:lang w:eastAsia="zh-CN"/>
        </w:rPr>
      </w:pPr>
      <w:r>
        <w:rPr>
          <w:rFonts w:hint="eastAsia" w:eastAsia="仿宋"/>
          <w:sz w:val="32"/>
          <w:szCs w:val="32"/>
          <w:lang w:val="en-US" w:eastAsia="zh-CN"/>
        </w:rPr>
        <w:t>2、</w:t>
      </w:r>
      <w:r>
        <w:rPr>
          <w:rFonts w:hint="eastAsia" w:ascii="Times New Roman" w:hAnsi="Times New Roman" w:eastAsia="仿宋"/>
          <w:sz w:val="32"/>
          <w:szCs w:val="32"/>
        </w:rPr>
        <w:t>产出指标</w:t>
      </w:r>
      <w:r>
        <w:rPr>
          <w:rFonts w:hint="eastAsia" w:eastAsia="仿宋"/>
          <w:sz w:val="32"/>
          <w:szCs w:val="32"/>
          <w:lang w:eastAsia="zh-CN"/>
        </w:rPr>
        <w:t>。权重</w:t>
      </w:r>
      <w:r>
        <w:rPr>
          <w:rFonts w:hint="eastAsia" w:eastAsia="仿宋"/>
          <w:sz w:val="32"/>
          <w:szCs w:val="32"/>
          <w:lang w:val="en-US" w:eastAsia="zh-CN"/>
        </w:rPr>
        <w:t>40分，得40分</w:t>
      </w:r>
    </w:p>
    <w:p>
      <w:pPr>
        <w:pStyle w:val="7"/>
        <w:widowControl/>
        <w:numPr>
          <w:ilvl w:val="0"/>
          <w:numId w:val="0"/>
        </w:numPr>
        <w:rPr>
          <w:rFonts w:hint="default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eastAsia="zh-CN"/>
        </w:rPr>
        <w:t>分别设置</w:t>
      </w:r>
      <w:r>
        <w:rPr>
          <w:rFonts w:hint="eastAsia" w:ascii="Times New Roman" w:hAnsi="Times New Roman" w:eastAsia="仿宋"/>
          <w:sz w:val="32"/>
          <w:szCs w:val="32"/>
        </w:rPr>
        <w:t>数量指标、质量指标</w:t>
      </w:r>
      <w:r>
        <w:rPr>
          <w:rFonts w:hint="eastAsia" w:eastAsia="仿宋"/>
          <w:sz w:val="32"/>
          <w:szCs w:val="32"/>
          <w:lang w:eastAsia="zh-CN"/>
        </w:rPr>
        <w:t>和</w:t>
      </w:r>
      <w:r>
        <w:rPr>
          <w:rFonts w:hint="eastAsia" w:ascii="Times New Roman" w:hAnsi="Times New Roman" w:eastAsia="仿宋"/>
          <w:sz w:val="32"/>
          <w:szCs w:val="32"/>
        </w:rPr>
        <w:t>时效指标</w:t>
      </w:r>
      <w:r>
        <w:rPr>
          <w:rFonts w:hint="eastAsia" w:eastAsia="仿宋"/>
          <w:sz w:val="32"/>
          <w:szCs w:val="32"/>
          <w:lang w:val="en-US" w:eastAsia="zh-CN"/>
        </w:rPr>
        <w:t>3个二级指标，以评价2024年度部门职责的履行情况。</w:t>
      </w:r>
    </w:p>
    <w:p>
      <w:pPr>
        <w:pStyle w:val="7"/>
        <w:widowControl/>
        <w:numPr>
          <w:ilvl w:val="0"/>
          <w:numId w:val="2"/>
        </w:numPr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数量指标</w:t>
      </w:r>
      <w:r>
        <w:rPr>
          <w:rFonts w:hint="eastAsia" w:eastAsia="仿宋"/>
          <w:sz w:val="32"/>
          <w:szCs w:val="32"/>
          <w:lang w:eastAsia="zh-CN"/>
        </w:rPr>
        <w:t>。满分</w:t>
      </w:r>
      <w:r>
        <w:rPr>
          <w:rFonts w:hint="eastAsia" w:eastAsia="仿宋"/>
          <w:sz w:val="32"/>
          <w:szCs w:val="32"/>
          <w:lang w:val="en-US" w:eastAsia="zh-CN"/>
        </w:rPr>
        <w:t>15分，得15分</w:t>
      </w:r>
    </w:p>
    <w:p>
      <w:pPr>
        <w:pStyle w:val="7"/>
        <w:widowControl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eastAsia="仿宋"/>
          <w:sz w:val="32"/>
          <w:szCs w:val="32"/>
          <w:lang w:eastAsia="zh-CN"/>
        </w:rPr>
        <w:t>数量指标实际完成值达到预期目标，完成指标值：两广场环境卫生、绿化养护维护、电路维修维护、地面维修维护、喷泉维修维护、广场执法纠查全部按要求完成</w:t>
      </w:r>
      <w:r>
        <w:rPr>
          <w:rFonts w:hint="eastAsia" w:eastAsia="仿宋"/>
          <w:sz w:val="32"/>
          <w:szCs w:val="32"/>
          <w:lang w:val="en-US" w:eastAsia="zh-CN"/>
        </w:rPr>
        <w:t>2024年</w:t>
      </w:r>
      <w:r>
        <w:rPr>
          <w:rFonts w:hint="eastAsia" w:eastAsia="仿宋"/>
          <w:sz w:val="32"/>
          <w:szCs w:val="32"/>
          <w:lang w:eastAsia="zh-CN"/>
        </w:rPr>
        <w:t>工作任务</w:t>
      </w:r>
      <w:r>
        <w:rPr>
          <w:rFonts w:hint="eastAsia" w:ascii="Times New Roman" w:hAnsi="Times New Roman" w:eastAsia="仿宋"/>
          <w:sz w:val="32"/>
          <w:szCs w:val="32"/>
        </w:rPr>
        <w:t>。</w:t>
      </w:r>
    </w:p>
    <w:p>
      <w:pPr>
        <w:pStyle w:val="7"/>
        <w:widowControl/>
        <w:numPr>
          <w:ilvl w:val="0"/>
          <w:numId w:val="2"/>
        </w:numPr>
        <w:ind w:left="0" w:leftChars="0" w:firstLine="640" w:firstLineChars="2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质量指标</w:t>
      </w:r>
      <w:r>
        <w:rPr>
          <w:rFonts w:hint="eastAsia" w:eastAsia="仿宋"/>
          <w:sz w:val="32"/>
          <w:szCs w:val="32"/>
          <w:lang w:eastAsia="zh-CN"/>
        </w:rPr>
        <w:t>。满分</w:t>
      </w:r>
      <w:r>
        <w:rPr>
          <w:rFonts w:hint="eastAsia" w:eastAsia="仿宋"/>
          <w:sz w:val="32"/>
          <w:szCs w:val="32"/>
          <w:lang w:val="en-US" w:eastAsia="zh-CN"/>
        </w:rPr>
        <w:t>15分，得15分</w:t>
      </w:r>
    </w:p>
    <w:p>
      <w:pPr>
        <w:pStyle w:val="7"/>
        <w:widowControl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eastAsia="仿宋"/>
          <w:sz w:val="32"/>
          <w:szCs w:val="32"/>
          <w:lang w:eastAsia="zh-CN"/>
        </w:rPr>
        <w:t>质量指标实际完成值达到预期目标，完成指标值：两广场洁净率、绿化率、灯亮率、地面完好率、喷泉使用率、执法纠查率全部</w:t>
      </w:r>
      <w:r>
        <w:rPr>
          <w:rFonts w:hint="eastAsia" w:ascii="Times New Roman" w:hAnsi="Times New Roman" w:eastAsia="仿宋"/>
          <w:sz w:val="32"/>
          <w:szCs w:val="32"/>
        </w:rPr>
        <w:t>按要求完成 202</w:t>
      </w:r>
      <w:r>
        <w:rPr>
          <w:rFonts w:hint="eastAsia" w:eastAsia="仿宋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"/>
          <w:sz w:val="32"/>
          <w:szCs w:val="32"/>
        </w:rPr>
        <w:t>年工作任务。</w:t>
      </w:r>
    </w:p>
    <w:p>
      <w:pPr>
        <w:pStyle w:val="7"/>
        <w:widowControl/>
        <w:numPr>
          <w:ilvl w:val="0"/>
          <w:numId w:val="2"/>
        </w:numPr>
        <w:ind w:left="0" w:leftChars="0" w:firstLine="640" w:firstLineChars="2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时效指标</w:t>
      </w:r>
      <w:r>
        <w:rPr>
          <w:rFonts w:hint="eastAsia" w:eastAsia="仿宋"/>
          <w:sz w:val="32"/>
          <w:szCs w:val="32"/>
          <w:lang w:eastAsia="zh-CN"/>
        </w:rPr>
        <w:t>。满分</w:t>
      </w:r>
      <w:r>
        <w:rPr>
          <w:rFonts w:hint="eastAsia" w:eastAsia="仿宋"/>
          <w:sz w:val="32"/>
          <w:szCs w:val="32"/>
          <w:lang w:val="en-US" w:eastAsia="zh-CN"/>
        </w:rPr>
        <w:t>10分，得10分</w:t>
      </w:r>
    </w:p>
    <w:p>
      <w:pPr>
        <w:pStyle w:val="7"/>
        <w:widowControl/>
        <w:numPr>
          <w:ilvl w:val="0"/>
          <w:numId w:val="0"/>
        </w:num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eastAsia="仿宋"/>
          <w:sz w:val="32"/>
          <w:szCs w:val="32"/>
          <w:lang w:eastAsia="zh-CN"/>
        </w:rPr>
        <w:t>质量指标</w:t>
      </w:r>
      <w:r>
        <w:rPr>
          <w:rFonts w:hint="eastAsia" w:eastAsia="仿宋"/>
          <w:sz w:val="32"/>
          <w:szCs w:val="32"/>
          <w:lang w:val="en-US" w:eastAsia="zh-CN"/>
        </w:rPr>
        <w:t>部门预决算完成及时率、部门预决算和三公经费预决算信息公开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</w:rPr>
        <w:t>基本在绩效目标确定的时限内完成了各项工作。</w:t>
      </w:r>
    </w:p>
    <w:p>
      <w:pPr>
        <w:widowControl/>
        <w:numPr>
          <w:ilvl w:val="0"/>
          <w:numId w:val="0"/>
        </w:numPr>
        <w:ind w:leftChars="200" w:firstLine="320" w:firstLineChars="1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3、</w:t>
      </w:r>
      <w:r>
        <w:rPr>
          <w:rFonts w:hint="eastAsia" w:ascii="Times New Roman" w:hAnsi="Times New Roman" w:eastAsia="仿宋"/>
          <w:sz w:val="32"/>
          <w:szCs w:val="32"/>
        </w:rPr>
        <w:t>效益指标。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权重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20分，得18分</w:t>
      </w:r>
    </w:p>
    <w:p>
      <w:pPr>
        <w:widowControl/>
        <w:numPr>
          <w:ilvl w:val="0"/>
          <w:numId w:val="0"/>
        </w:numPr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  <w:lang w:eastAsia="zh-CN"/>
        </w:rPr>
        <w:t>　　营造了一个市民休闲、锻炼的好去处，让群众获得感、幸福感有所加强，但还有待提升，扣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2分</w:t>
      </w:r>
      <w:r>
        <w:rPr>
          <w:rFonts w:hint="eastAsia" w:ascii="Times New Roman" w:hAnsi="Times New Roman" w:eastAsia="仿宋"/>
          <w:sz w:val="32"/>
          <w:szCs w:val="32"/>
        </w:rPr>
        <w:t>。</w:t>
      </w:r>
    </w:p>
    <w:p>
      <w:pPr>
        <w:widowControl/>
        <w:ind w:firstLine="640" w:firstLineChars="200"/>
        <w:rPr>
          <w:rFonts w:hint="default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4、</w:t>
      </w:r>
      <w:r>
        <w:rPr>
          <w:rFonts w:hint="eastAsia" w:ascii="Times New Roman" w:hAnsi="Times New Roman" w:eastAsia="仿宋"/>
          <w:sz w:val="32"/>
          <w:szCs w:val="32"/>
        </w:rPr>
        <w:t>满意度指标。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权重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10分，得9分。</w:t>
      </w:r>
    </w:p>
    <w:p>
      <w:pPr>
        <w:widowControl/>
        <w:ind w:firstLine="640" w:firstLineChars="2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  <w:lang w:eastAsia="zh-CN"/>
        </w:rPr>
        <w:t>在</w:t>
      </w:r>
      <w:r>
        <w:rPr>
          <w:rFonts w:hint="eastAsia" w:ascii="Times New Roman" w:hAnsi="Times New Roman" w:eastAsia="仿宋"/>
          <w:sz w:val="32"/>
          <w:szCs w:val="32"/>
        </w:rPr>
        <w:t>202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"/>
          <w:sz w:val="32"/>
          <w:szCs w:val="32"/>
        </w:rPr>
        <w:t>年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度工作中</w:t>
      </w:r>
      <w:r>
        <w:rPr>
          <w:rFonts w:hint="eastAsia" w:ascii="Times New Roman" w:hAnsi="Times New Roman" w:eastAsia="仿宋"/>
          <w:sz w:val="32"/>
          <w:szCs w:val="32"/>
        </w:rPr>
        <w:t>，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通过内强素质、外树形象，努力打造了一支业务精练、尽职尽职的广场管理队伍，切实提高广场综合管理水平，把创新工作方法，作为各项工作的突破口，全面推进广场管理工作上新台阶。且</w:t>
      </w:r>
      <w:r>
        <w:rPr>
          <w:rFonts w:hint="eastAsia" w:ascii="Times New Roman" w:hAnsi="Times New Roman" w:eastAsia="仿宋"/>
          <w:sz w:val="32"/>
          <w:szCs w:val="32"/>
        </w:rPr>
        <w:t>较好地实现社会效益和可持续效益目标。</w:t>
      </w:r>
    </w:p>
    <w:p>
      <w:pPr>
        <w:pStyle w:val="2"/>
        <w:rPr>
          <w:rFonts w:hint="eastAsia" w:eastAsia="仿宋"/>
          <w:lang w:eastAsia="zh-CN"/>
        </w:rPr>
      </w:pPr>
      <w:r>
        <w:rPr>
          <w:rFonts w:hint="eastAsia" w:ascii="Times New Roman" w:hAnsi="Times New Roman" w:eastAsia="仿宋"/>
          <w:sz w:val="32"/>
          <w:szCs w:val="32"/>
          <w:lang w:eastAsia="zh-CN"/>
        </w:rPr>
        <w:t>　　通过发放满意意度征求意见表，群众给我单位反馈结果都满意。</w:t>
      </w:r>
    </w:p>
    <w:p>
      <w:pPr>
        <w:widowControl/>
        <w:numPr>
          <w:ilvl w:val="0"/>
          <w:numId w:val="0"/>
        </w:numPr>
        <w:ind w:leftChars="200" w:firstLine="320" w:firstLineChars="100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5、成本指标。权重20分，得20分。</w:t>
      </w:r>
    </w:p>
    <w:p>
      <w:pPr>
        <w:widowControl/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2024年我单位例行节约，合理控制经费，没有超预算。年初一般公共预算收入203.24万元，年末决算一般预算收入251.87万元，预算调整48.63万元，调整率23.93</w:t>
      </w:r>
      <w:bookmarkStart w:id="0" w:name="_GoBack"/>
      <w:bookmarkEnd w:id="0"/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%，是因为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在职人员绩效奖、晋级晋档工资及退休人员绩效奖、七节一生等在年初没有纳入预算。</w:t>
      </w:r>
    </w:p>
    <w:p>
      <w:pPr>
        <w:pStyle w:val="7"/>
        <w:widowControl/>
        <w:spacing w:line="600" w:lineRule="exact"/>
        <w:ind w:left="0" w:leftChars="0"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eastAsia="黑体" w:cs="Times New Roman"/>
          <w:sz w:val="32"/>
          <w:szCs w:val="32"/>
          <w:lang w:eastAsia="zh-CN"/>
        </w:rPr>
        <w:t>　　四</w:t>
      </w:r>
      <w:r>
        <w:rPr>
          <w:rFonts w:hint="default" w:ascii="Times New Roman" w:hAnsi="Times New Roman" w:eastAsia="黑体" w:cs="Times New Roman"/>
          <w:sz w:val="32"/>
          <w:szCs w:val="32"/>
        </w:rPr>
        <w:t>、存在问题原因分析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黑体" w:cs="Times New Roman"/>
          <w:sz w:val="32"/>
          <w:szCs w:val="32"/>
        </w:rPr>
        <w:t>改进措施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细化预决算编制工作，认真做好预决算的编制。进一步加强单位内部机构各股室的预算管理意识，严格按照预算编制的相关制度和要求进行预算编制，尽量压缩变动性的、有控制空间的费用项目，进一步提高预算编制的科学性、严谨性和可控性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 2、加强财务管理，严格财务审核。加强单位财务管理，在费用报账支付时，按照预算规定的费用项目和用途进行资金使用审核、列报支付、财务核算，杜绝超支现象的发生。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 3、完善资产管理，严格编制政府采购年初预算和计划，规范各类资产的购置审批、采购、使用管理、处置和报废、管理岗位职责等制度，加强单位内部的资产管理工作。</w:t>
      </w:r>
    </w:p>
    <w:p>
      <w:pPr>
        <w:pStyle w:val="7"/>
        <w:widowControl/>
        <w:spacing w:line="600" w:lineRule="exact"/>
        <w:ind w:left="0" w:leftChars="0"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　　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五、</w:t>
      </w:r>
      <w:r>
        <w:rPr>
          <w:rFonts w:hint="default" w:ascii="Times New Roman" w:hAnsi="Times New Roman" w:eastAsia="黑体" w:cs="Times New Roman"/>
          <w:sz w:val="32"/>
          <w:szCs w:val="32"/>
        </w:rPr>
        <w:t>其他需要说明的情况</w:t>
      </w:r>
    </w:p>
    <w:p>
      <w:pPr>
        <w:ind w:firstLine="480" w:firstLineChars="1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年部门整体支出绩效评价自查自评结果为优秀。拟通过县人民政府网站向社会公开，接受社会监督。</w:t>
      </w:r>
    </w:p>
    <w:p>
      <w:pPr>
        <w:pStyle w:val="7"/>
        <w:widowControl/>
        <w:spacing w:line="600" w:lineRule="exact"/>
        <w:ind w:left="0" w:leftChars="0" w:firstLine="0" w:firstLineChars="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A323EF"/>
    <w:multiLevelType w:val="singleLevel"/>
    <w:tmpl w:val="85A323EF"/>
    <w:lvl w:ilvl="0" w:tentative="0">
      <w:start w:val="2"/>
      <w:numFmt w:val="chineseCounting"/>
      <w:suff w:val="nothing"/>
      <w:lvlText w:val="（%1）"/>
      <w:lvlJc w:val="left"/>
      <w:pPr>
        <w:ind w:left="640" w:leftChars="0" w:firstLine="0" w:firstLineChars="0"/>
      </w:pPr>
      <w:rPr>
        <w:rFonts w:hint="eastAsia"/>
      </w:rPr>
    </w:lvl>
  </w:abstractNum>
  <w:abstractNum w:abstractNumId="1">
    <w:nsid w:val="19A19E7F"/>
    <w:multiLevelType w:val="singleLevel"/>
    <w:tmpl w:val="19A19E7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5Y2VkYjZkYjRjYWQ3ZDZmNDc4NDEwODI4NTExOGMifQ=="/>
    <w:docVar w:name="KSO_WPS_MARK_KEY" w:val="31778806-b7a0-4b2d-8f4e-4d3a274fd65c"/>
  </w:docVars>
  <w:rsids>
    <w:rsidRoot w:val="4C43681B"/>
    <w:rsid w:val="022C6982"/>
    <w:rsid w:val="02D67969"/>
    <w:rsid w:val="03B86720"/>
    <w:rsid w:val="04E43544"/>
    <w:rsid w:val="068B5B47"/>
    <w:rsid w:val="074651B6"/>
    <w:rsid w:val="09146FE7"/>
    <w:rsid w:val="0B301291"/>
    <w:rsid w:val="0B405654"/>
    <w:rsid w:val="0E9E29B6"/>
    <w:rsid w:val="1182036D"/>
    <w:rsid w:val="18C179CD"/>
    <w:rsid w:val="1A086B2F"/>
    <w:rsid w:val="1B42577E"/>
    <w:rsid w:val="1DE275E2"/>
    <w:rsid w:val="1DEF1689"/>
    <w:rsid w:val="1E6E543A"/>
    <w:rsid w:val="22155519"/>
    <w:rsid w:val="223165BD"/>
    <w:rsid w:val="22674BBC"/>
    <w:rsid w:val="24F1010E"/>
    <w:rsid w:val="25B739C8"/>
    <w:rsid w:val="264F6618"/>
    <w:rsid w:val="27DA3663"/>
    <w:rsid w:val="2A2A1053"/>
    <w:rsid w:val="2A6D41ED"/>
    <w:rsid w:val="2B854A2B"/>
    <w:rsid w:val="2BDB7330"/>
    <w:rsid w:val="2D1E3911"/>
    <w:rsid w:val="33AB32FB"/>
    <w:rsid w:val="34A72A00"/>
    <w:rsid w:val="35380BBF"/>
    <w:rsid w:val="394641A7"/>
    <w:rsid w:val="3C0B6651"/>
    <w:rsid w:val="3D0160AB"/>
    <w:rsid w:val="3DA2751D"/>
    <w:rsid w:val="3E2D187A"/>
    <w:rsid w:val="43282DD1"/>
    <w:rsid w:val="452A10D9"/>
    <w:rsid w:val="455B1156"/>
    <w:rsid w:val="4C43681B"/>
    <w:rsid w:val="4C923160"/>
    <w:rsid w:val="4E54656B"/>
    <w:rsid w:val="50331AC9"/>
    <w:rsid w:val="50395ABF"/>
    <w:rsid w:val="515651ED"/>
    <w:rsid w:val="519A5C81"/>
    <w:rsid w:val="55944FFF"/>
    <w:rsid w:val="58D67C26"/>
    <w:rsid w:val="58EA42F7"/>
    <w:rsid w:val="592917C1"/>
    <w:rsid w:val="5D7529AC"/>
    <w:rsid w:val="5DDF7AE8"/>
    <w:rsid w:val="60067FC1"/>
    <w:rsid w:val="60A52F4C"/>
    <w:rsid w:val="60AE7E72"/>
    <w:rsid w:val="61824896"/>
    <w:rsid w:val="620924A4"/>
    <w:rsid w:val="6778080A"/>
    <w:rsid w:val="67EB41F2"/>
    <w:rsid w:val="687115B5"/>
    <w:rsid w:val="6A026ACA"/>
    <w:rsid w:val="6C2E7CD3"/>
    <w:rsid w:val="6CB461FC"/>
    <w:rsid w:val="6DC431FB"/>
    <w:rsid w:val="76A553AD"/>
    <w:rsid w:val="776C076D"/>
    <w:rsid w:val="7AE53869"/>
    <w:rsid w:val="7B88713B"/>
    <w:rsid w:val="7FA1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semiHidden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1856</Words>
  <Characters>2073</Characters>
  <Lines>0</Lines>
  <Paragraphs>0</Paragraphs>
  <TotalTime>3</TotalTime>
  <ScaleCrop>false</ScaleCrop>
  <LinksUpToDate>false</LinksUpToDate>
  <CharactersWithSpaces>2089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2024-03-05T00:23:00Z</dcterms:created>
  <dc:creator>Administrator</dc:creator>
  <cp:lastModifiedBy>龙世明</cp:lastModifiedBy>
  <cp:lastPrinted>2025-04-27T07:09:00Z</cp:lastPrinted>
  <dcterms:modified xsi:type="dcterms:W3CDTF">2025-11-04T00:33:32Z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17809FF650464DA18C73DF4B28C82D2D_13</vt:lpwstr>
  </property>
</Properties>
</file>