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0A19C">
      <w:pPr>
        <w:jc w:val="distribute"/>
        <w:rPr>
          <w:rFonts w:ascii="Times New Roman" w:hAnsi="Times New Roman" w:eastAsia="方正小标宋_GBK"/>
          <w:color w:val="FF0000"/>
          <w:sz w:val="109"/>
        </w:rPr>
      </w:pPr>
      <w:r>
        <w:rPr>
          <w:rFonts w:hint="eastAsia" w:ascii="Times New Roman" w:hAnsi="Times New Roman" w:eastAsia="方正小标宋_GBK"/>
          <w:color w:val="FF0000"/>
          <w:w w:val="50"/>
          <w:kern w:val="0"/>
          <w:sz w:val="109"/>
        </w:rPr>
        <w:t>衡</w:t>
      </w:r>
      <w:r>
        <w:rPr>
          <w:rFonts w:ascii="Times New Roman" w:hAnsi="Times New Roman" w:eastAsia="方正小标宋_GBK"/>
          <w:color w:val="FF0000"/>
          <w:w w:val="50"/>
          <w:kern w:val="0"/>
          <w:sz w:val="109"/>
        </w:rPr>
        <w:t>阳县</w:t>
      </w:r>
      <w:r>
        <w:rPr>
          <w:rFonts w:hint="eastAsia" w:ascii="方正小标宋_GBK" w:eastAsia="方正小标宋_GBK"/>
          <w:bCs/>
          <w:color w:val="FF0000"/>
          <w:w w:val="50"/>
          <w:kern w:val="0"/>
          <w:sz w:val="109"/>
        </w:rPr>
        <w:t>劳动保障监察大队</w:t>
      </w:r>
    </w:p>
    <w:p w14:paraId="72992A81">
      <w:pPr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34BD12B7"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方正小标宋_GBK"/>
          <w:sz w:val="36"/>
          <w:szCs w:val="36"/>
        </w:rPr>
        <w:t>部门整体支出绩效自评报告</w:t>
      </w:r>
    </w:p>
    <w:p w14:paraId="2645ABEA">
      <w:pPr>
        <w:pStyle w:val="8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</w:p>
    <w:p w14:paraId="3FD68F97">
      <w:pPr>
        <w:pStyle w:val="8"/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  <w:bookmarkStart w:id="0" w:name="_GoBack"/>
      <w:bookmarkEnd w:id="0"/>
    </w:p>
    <w:p w14:paraId="3CA6F8CD">
      <w:pPr>
        <w:pStyle w:val="8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（一）机构设置情况</w:t>
      </w:r>
    </w:p>
    <w:p w14:paraId="069614E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8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衡阳县劳动保障监察大队内设机构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个，分别是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办公室、财务室、案件审理督查室、监察一、二、三室、农民工劳动报酬保证金管理办公室、案件受理室（加挂“两网化管理办公室”）。</w:t>
      </w:r>
    </w:p>
    <w:p w14:paraId="00142606">
      <w:pPr>
        <w:pStyle w:val="8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人员编制情况</w:t>
      </w:r>
    </w:p>
    <w:p w14:paraId="2F9C09D7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大队核定事业编制30人，在职21人，退休1人。</w:t>
      </w:r>
    </w:p>
    <w:p w14:paraId="700DBD7C">
      <w:pPr>
        <w:pStyle w:val="8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 w14:paraId="36316B34">
      <w:pPr>
        <w:pStyle w:val="8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 w14:paraId="6D621FEC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1.部门预算情况</w:t>
      </w:r>
    </w:p>
    <w:p w14:paraId="3747C67F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年年初预算安排收入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197.75</w:t>
      </w:r>
      <w:r>
        <w:rPr>
          <w:rFonts w:ascii="Times New Roman" w:hAnsi="Times New Roman" w:eastAsia="仿宋_GB2312"/>
          <w:sz w:val="32"/>
          <w:szCs w:val="32"/>
        </w:rPr>
        <w:t>万元，其中一般公共财政拨款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197.75</w:t>
      </w:r>
      <w:r>
        <w:rPr>
          <w:rFonts w:ascii="Times New Roman" w:hAnsi="Times New Roman" w:eastAsia="仿宋_GB2312"/>
          <w:sz w:val="32"/>
          <w:szCs w:val="32"/>
        </w:rPr>
        <w:t>万元；202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年年初预算安排支出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197.75</w:t>
      </w:r>
      <w:r>
        <w:rPr>
          <w:rFonts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其中基本支出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197.75</w:t>
      </w:r>
      <w:r>
        <w:rPr>
          <w:rFonts w:ascii="Times New Roman" w:hAnsi="Times New Roman" w:eastAsia="仿宋_GB2312"/>
          <w:sz w:val="32"/>
          <w:szCs w:val="32"/>
        </w:rPr>
        <w:t>万元。</w:t>
      </w:r>
    </w:p>
    <w:p w14:paraId="50A8A849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</w:t>
      </w:r>
      <w:r>
        <w:rPr>
          <w:rFonts w:ascii="Times New Roman" w:hAnsi="Times New Roman" w:eastAsia="仿宋_GB2312"/>
          <w:sz w:val="32"/>
          <w:szCs w:val="32"/>
        </w:rPr>
        <w:t>部门决算情况</w:t>
      </w:r>
    </w:p>
    <w:p w14:paraId="21D41F22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年决算总收入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305.63</w:t>
      </w:r>
      <w:r>
        <w:rPr>
          <w:rFonts w:ascii="Times New Roman" w:hAnsi="Times New Roman" w:eastAsia="仿宋_GB2312"/>
          <w:sz w:val="32"/>
          <w:szCs w:val="32"/>
        </w:rPr>
        <w:t>万元，较预算增加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107.88</w:t>
      </w:r>
      <w:r>
        <w:rPr>
          <w:rFonts w:ascii="Times New Roman" w:hAnsi="Times New Roman" w:eastAsia="仿宋_GB2312"/>
          <w:sz w:val="32"/>
          <w:szCs w:val="32"/>
        </w:rPr>
        <w:t>万元，总支出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305.63</w:t>
      </w:r>
      <w:r>
        <w:rPr>
          <w:rFonts w:ascii="Times New Roman" w:hAnsi="Times New Roman" w:eastAsia="仿宋_GB2312"/>
          <w:sz w:val="32"/>
          <w:szCs w:val="32"/>
        </w:rPr>
        <w:t>万元，其中：基本支出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305.63</w:t>
      </w:r>
      <w:r>
        <w:rPr>
          <w:rFonts w:ascii="Times New Roman" w:hAnsi="Times New Roman" w:eastAsia="仿宋_GB2312"/>
          <w:sz w:val="32"/>
          <w:szCs w:val="32"/>
        </w:rPr>
        <w:t>万元，占总支出的</w:t>
      </w:r>
      <w:r>
        <w:rPr>
          <w:rFonts w:hint="eastAsia" w:ascii="Times New Roman" w:hAnsi="Times New Roman" w:eastAsia="仿宋_GB2312"/>
          <w:sz w:val="32"/>
          <w:szCs w:val="32"/>
        </w:rPr>
        <w:t>100</w:t>
      </w:r>
      <w:r>
        <w:rPr>
          <w:rFonts w:ascii="Times New Roman" w:hAnsi="Times New Roman" w:eastAsia="仿宋_GB2312"/>
          <w:sz w:val="32"/>
          <w:szCs w:val="32"/>
        </w:rPr>
        <w:t>％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 w14:paraId="1BBB538A"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（二）部门预算执行情况</w:t>
      </w:r>
    </w:p>
    <w:p w14:paraId="1378F397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.“三公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经费执行情况</w:t>
      </w:r>
    </w:p>
    <w:p w14:paraId="46C3CF7E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年“三公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经费预算数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1.57</w:t>
      </w:r>
      <w:r>
        <w:rPr>
          <w:rFonts w:ascii="Times New Roman" w:hAnsi="Times New Roman" w:eastAsia="仿宋_GB2312"/>
          <w:sz w:val="32"/>
          <w:szCs w:val="32"/>
        </w:rPr>
        <w:t>万元，其中：因公出国（境）费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ascii="Times New Roman" w:hAnsi="Times New Roman" w:eastAsia="仿宋_GB2312"/>
          <w:sz w:val="32"/>
          <w:szCs w:val="32"/>
        </w:rPr>
        <w:t>万元，公务用车购置及运行维护费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1.37</w:t>
      </w:r>
      <w:r>
        <w:rPr>
          <w:rFonts w:ascii="Times New Roman" w:hAnsi="Times New Roman" w:eastAsia="仿宋_GB2312"/>
          <w:sz w:val="32"/>
          <w:szCs w:val="32"/>
        </w:rPr>
        <w:t>万元，公务接待费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0.2</w:t>
      </w:r>
      <w:r>
        <w:rPr>
          <w:rFonts w:ascii="Times New Roman" w:hAnsi="Times New Roman" w:eastAsia="仿宋_GB2312"/>
          <w:sz w:val="32"/>
          <w:szCs w:val="32"/>
        </w:rPr>
        <w:t>万元。“三公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经费决算数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1.37万</w:t>
      </w:r>
      <w:r>
        <w:rPr>
          <w:rFonts w:ascii="Times New Roman" w:hAnsi="Times New Roman" w:eastAsia="仿宋_GB2312"/>
          <w:sz w:val="32"/>
          <w:szCs w:val="32"/>
        </w:rPr>
        <w:t>元，其中：因公出国（境）费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ascii="Times New Roman" w:hAnsi="Times New Roman" w:eastAsia="仿宋_GB2312"/>
          <w:sz w:val="32"/>
          <w:szCs w:val="32"/>
        </w:rPr>
        <w:t>万元，公务用车运行维护费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1.37</w:t>
      </w:r>
      <w:r>
        <w:rPr>
          <w:rFonts w:ascii="Times New Roman" w:hAnsi="Times New Roman" w:eastAsia="仿宋_GB2312"/>
          <w:sz w:val="32"/>
          <w:szCs w:val="32"/>
        </w:rPr>
        <w:t>万元，公务接待费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/>
          <w:sz w:val="32"/>
          <w:szCs w:val="32"/>
        </w:rPr>
        <w:t>万元。</w:t>
      </w:r>
    </w:p>
    <w:p w14:paraId="3FB4BD88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.政府采购执行情况</w:t>
      </w:r>
    </w:p>
    <w:p w14:paraId="16C608AB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年度政府采购支出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58.25</w:t>
      </w:r>
      <w:r>
        <w:rPr>
          <w:rFonts w:ascii="Times New Roman" w:hAnsi="Times New Roman" w:eastAsia="仿宋_GB2312"/>
          <w:sz w:val="32"/>
          <w:szCs w:val="32"/>
        </w:rPr>
        <w:t>万元，其中：货物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41.35</w:t>
      </w:r>
      <w:r>
        <w:rPr>
          <w:rFonts w:ascii="Times New Roman" w:hAnsi="Times New Roman" w:eastAsia="仿宋_GB2312"/>
          <w:sz w:val="32"/>
          <w:szCs w:val="32"/>
        </w:rPr>
        <w:t>元，工程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ascii="Times New Roman" w:hAnsi="Times New Roman" w:eastAsia="仿宋_GB2312"/>
          <w:sz w:val="32"/>
          <w:szCs w:val="32"/>
        </w:rPr>
        <w:t>万元，服务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16.89</w:t>
      </w:r>
      <w:r>
        <w:rPr>
          <w:rFonts w:ascii="Times New Roman" w:hAnsi="Times New Roman" w:eastAsia="仿宋_GB2312"/>
          <w:sz w:val="32"/>
          <w:szCs w:val="32"/>
        </w:rPr>
        <w:t>万元。</w:t>
      </w:r>
    </w:p>
    <w:p w14:paraId="2B04BA75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.资产管理情况</w:t>
      </w:r>
    </w:p>
    <w:p w14:paraId="3F61B572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年年末资产总额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16.54</w:t>
      </w:r>
      <w:r>
        <w:rPr>
          <w:rFonts w:ascii="Times New Roman" w:hAnsi="Times New Roman" w:eastAsia="仿宋_GB2312"/>
          <w:sz w:val="32"/>
          <w:szCs w:val="32"/>
        </w:rPr>
        <w:t>万元，负债总额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ascii="Times New Roman" w:hAnsi="Times New Roman" w:eastAsia="仿宋_GB2312"/>
          <w:sz w:val="32"/>
          <w:szCs w:val="32"/>
        </w:rPr>
        <w:t>万元，净资产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4.76</w:t>
      </w:r>
      <w:r>
        <w:rPr>
          <w:rFonts w:ascii="Times New Roman" w:hAnsi="Times New Roman" w:eastAsia="仿宋_GB2312"/>
          <w:sz w:val="32"/>
          <w:szCs w:val="32"/>
        </w:rPr>
        <w:t>万元。截至202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年12月31日，固定资产账面原值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25.05</w:t>
      </w:r>
      <w:r>
        <w:rPr>
          <w:rFonts w:ascii="Times New Roman" w:hAnsi="Times New Roman" w:eastAsia="仿宋_GB2312"/>
          <w:sz w:val="32"/>
          <w:szCs w:val="32"/>
        </w:rPr>
        <w:t>万元，在用资产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25.05</w:t>
      </w:r>
      <w:r>
        <w:rPr>
          <w:rFonts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36AC5BC7"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三、部门整体支出绩效情况</w:t>
      </w:r>
    </w:p>
    <w:p w14:paraId="7F1E32DE">
      <w:pPr>
        <w:widowControl/>
        <w:spacing w:line="600" w:lineRule="exact"/>
        <w:ind w:firstLine="645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（一）综合评价结论</w:t>
      </w:r>
    </w:p>
    <w:p w14:paraId="6505BED6"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年，我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队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积极履职，强化管理，较好地完成了年度工作目标，自评得分95分，综合评价等级为优秀。</w:t>
      </w:r>
    </w:p>
    <w:p w14:paraId="7C25AD04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hint="eastAsia" w:ascii="Times New Roman" w:hAnsi="Times New Roman" w:eastAsia="楷体_GB2312"/>
          <w:bCs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sz w:val="32"/>
          <w:szCs w:val="32"/>
        </w:rPr>
        <w:t>评价指标分析</w:t>
      </w:r>
    </w:p>
    <w:p w14:paraId="4EF31ECB">
      <w:pPr>
        <w:widowControl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1.产出指标</w:t>
      </w:r>
    </w:p>
    <w:p w14:paraId="2192D7AC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（1）数量指标：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主要是指书面审查、专项检查单位户数，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年度指标值为6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家，202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年实际完成值为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家，按照目标已完成。设置分值20分，实际得分20分。</w:t>
      </w:r>
    </w:p>
    <w:p w14:paraId="0D87162E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（2）质量指标：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主要是指开展用人单位劳动保障诚信等级评定的情况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，年度指标值设置按照100%完成，202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诚信等级评定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已100%完成。设置分值10分，实际得分10分。</w:t>
      </w:r>
    </w:p>
    <w:p w14:paraId="1C0095AA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（3）时效指标：主要是指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受理投诉举报案件情况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，年度指标值设置按照100%完成，202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案件办结率达到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100%。设置分值10分，实际得分10分。</w:t>
      </w:r>
    </w:p>
    <w:p w14:paraId="1BD07B6B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2.效益指标</w:t>
      </w:r>
    </w:p>
    <w:p w14:paraId="3805D1FE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（1）经济效益指标：主要是指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为劳动者追回劳动报酬情况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，年度指标值要求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维护劳动者合法权益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1083名劳动者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追回劳动报酬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1329万元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。设置分值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分，实际得分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分。</w:t>
      </w:r>
    </w:p>
    <w:p w14:paraId="416FAE32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（2）社会效益指标：主要是指工作正常开展，202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年以来我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的各项工作都得到了有效的开展。设置分值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分，实际得分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分。</w:t>
      </w:r>
    </w:p>
    <w:p w14:paraId="252DEDCB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3.满意度指标</w:t>
      </w:r>
    </w:p>
    <w:p w14:paraId="7E64FB46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（1）服务满意度：主要是指企业、民众对于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劳动保障监察工作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的认可度和服务满满意度，年度指标值设置为100%，202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年末实际完成值为95%。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设置分值10分，实际得分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分。</w:t>
      </w:r>
    </w:p>
    <w:p w14:paraId="747F805F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4.成本指标</w:t>
      </w:r>
    </w:p>
    <w:p w14:paraId="6149C00E">
      <w:pPr>
        <w:pStyle w:val="5"/>
        <w:widowControl/>
        <w:spacing w:before="120" w:beforeAutospacing="0" w:after="120" w:afterAutospacing="0" w:line="54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（1）经济成本指数：主要是指单位202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年的经济总成本，年度指标值要求不突破预算，但是年中预算调整增加了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42.54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人员工资、社保预算基数调整。</w:t>
      </w:r>
    </w:p>
    <w:p w14:paraId="1A3619F6"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四、项目绩效目标完成情况</w:t>
      </w:r>
    </w:p>
    <w:p w14:paraId="566BC2C3">
      <w:pPr>
        <w:widowControl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无</w:t>
      </w:r>
    </w:p>
    <w:p w14:paraId="367969EB">
      <w:pPr>
        <w:pStyle w:val="8"/>
        <w:widowControl/>
        <w:spacing w:line="600" w:lineRule="exact"/>
        <w:ind w:left="640" w:firstLine="0" w:firstLineChars="0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、存在问题原因分析</w:t>
      </w:r>
    </w:p>
    <w:p w14:paraId="3E098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"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基本支出预算的安排没有充分考虑到物价上涨等各方面外部因素，采用定员定额法时，定额标准不够准确，如办公费、住房公积金等实际支出中普遍存在超预算现象。</w:t>
      </w:r>
    </w:p>
    <w:p w14:paraId="5BB2E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对资产管理的认识不到位，设备更新速度较快，被淘汰的资产设备不少是未达到规定的资产折旧年限，而成为报废资产。</w:t>
      </w:r>
    </w:p>
    <w:p w14:paraId="56C8AF12"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六、改进措施</w:t>
      </w:r>
    </w:p>
    <w:p w14:paraId="04B8D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1.提高对预算编制重要性的认识</w:t>
      </w:r>
    </w:p>
    <w:p w14:paraId="31339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严格按照财政部门要求编制部门预算，认真做好编制前的准备工作，合理确定收入来源，预算收支数字必须依据充分确定的资料，努力提高预算的透明度。</w:t>
      </w:r>
    </w:p>
    <w:p w14:paraId="30B13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2.加强财务管理，严格财务审核</w:t>
      </w:r>
    </w:p>
    <w:p w14:paraId="0BBD5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加强单位财务管理，健全单位财务管理制度体系，规范单位财务行为。在费用报账支付时，按照预算规定的费用项目和用途进行资金使用审核、列报支付、财务核算，杜绝超支现象的发生。</w:t>
      </w:r>
    </w:p>
    <w:p w14:paraId="743DC04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资产管理严格编制政府采购年初预算和计划，规范各类资产的购置审批制度、资产出租出借和收入管理制度、资产采购制度、使用管理制度、资产处置和报废审批制度、资产管理岗位职责制度等，加强单位内部的资产管理工作。</w:t>
      </w:r>
    </w:p>
    <w:p w14:paraId="065B2B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4.对相关人员加强培训</w:t>
      </w:r>
    </w:p>
    <w:p w14:paraId="79BFC35E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针对《预算法》、《行政事业单位会计制度》等学习培训，规范部门预算收支核算，切实提高部门预算收支管理水平。</w:t>
      </w:r>
    </w:p>
    <w:p w14:paraId="172F1D8B">
      <w:pPr>
        <w:pStyle w:val="5"/>
        <w:widowControl/>
        <w:spacing w:before="120" w:beforeAutospacing="0" w:after="120" w:afterAutospacing="0"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七、</w:t>
      </w:r>
      <w:r>
        <w:rPr>
          <w:rFonts w:ascii="Times New Roman" w:hAnsi="Times New Roman" w:eastAsia="黑体"/>
          <w:sz w:val="32"/>
          <w:szCs w:val="32"/>
        </w:rPr>
        <w:t>其他需要说明的情况</w:t>
      </w:r>
    </w:p>
    <w:p w14:paraId="64F4D76E">
      <w:pPr>
        <w:spacing w:before="120" w:after="120" w:line="540" w:lineRule="exact"/>
        <w:ind w:firstLine="640" w:firstLineChars="20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无</w:t>
      </w:r>
    </w:p>
    <w:p w14:paraId="3A680202">
      <w:pPr>
        <w:spacing w:before="120" w:after="120" w:line="540" w:lineRule="exact"/>
        <w:ind w:firstLine="640" w:firstLineChars="200"/>
        <w:jc w:val="righ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 w14:paraId="17164555">
      <w:pPr>
        <w:spacing w:before="120" w:after="120" w:line="540" w:lineRule="exact"/>
        <w:ind w:firstLine="640" w:firstLineChars="200"/>
        <w:jc w:val="righ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 w14:paraId="4FA9D542">
      <w:pPr>
        <w:spacing w:before="120" w:after="120" w:line="540" w:lineRule="exact"/>
        <w:ind w:firstLine="640" w:firstLineChars="200"/>
        <w:jc w:val="right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衡阳县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劳动保障监察大队</w:t>
      </w:r>
    </w:p>
    <w:p w14:paraId="04E48E3B">
      <w:pPr>
        <w:spacing w:before="120" w:after="120" w:line="540" w:lineRule="exact"/>
        <w:ind w:firstLine="640" w:firstLineChars="200"/>
        <w:jc w:val="righ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                     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年4月25日</w:t>
      </w:r>
    </w:p>
    <w:p w14:paraId="713BBDA0">
      <w:pPr>
        <w:pStyle w:val="9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4D526356">
      <w:pPr>
        <w:pStyle w:val="9"/>
        <w:jc w:val="center"/>
        <w:rPr>
          <w:rFonts w:ascii="Times New Roman" w:hAnsi="Times New Roman" w:cs="Times New Roman"/>
          <w:sz w:val="72"/>
          <w:szCs w:val="72"/>
        </w:rPr>
      </w:pPr>
    </w:p>
    <w:p w14:paraId="34D5CC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1BC32F"/>
    <w:multiLevelType w:val="singleLevel"/>
    <w:tmpl w:val="871BC32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2932E53"/>
    <w:multiLevelType w:val="singleLevel"/>
    <w:tmpl w:val="92932E5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F1CC7"/>
    <w:rsid w:val="05A971B6"/>
    <w:rsid w:val="0E1F1CC7"/>
    <w:rsid w:val="587D49B7"/>
    <w:rsid w:val="62AA7CF0"/>
    <w:rsid w:val="6BD6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customStyle="1" w:styleId="3">
    <w:name w:val="Body Text First Indent 21"/>
    <w:basedOn w:val="4"/>
    <w:next w:val="1"/>
    <w:qFormat/>
    <w:uiPriority w:val="0"/>
    <w:pPr>
      <w:ind w:firstLine="200" w:firstLineChars="200"/>
    </w:pPr>
  </w:style>
  <w:style w:type="paragraph" w:customStyle="1" w:styleId="4">
    <w:name w:val="Body Text Indent1"/>
    <w:basedOn w:val="1"/>
    <w:next w:val="3"/>
    <w:qFormat/>
    <w:uiPriority w:val="0"/>
    <w:pPr>
      <w:widowControl/>
      <w:spacing w:after="120"/>
      <w:ind w:left="200" w:leftChars="200"/>
      <w:jc w:val="left"/>
    </w:pPr>
    <w:rPr>
      <w:rFonts w:ascii="宋体" w:hAnsi="宋体" w:eastAsia="宋体" w:cs="宋体"/>
      <w:kern w:val="0"/>
      <w:sz w:val="24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270" w:lineRule="atLeast"/>
      <w:jc w:val="left"/>
    </w:pPr>
    <w:rPr>
      <w:rFonts w:cs="宋体"/>
      <w:sz w:val="24"/>
      <w:szCs w:val="24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1712</Words>
  <Characters>1923</Characters>
  <Lines>0</Lines>
  <Paragraphs>0</Paragraphs>
  <TotalTime>1</TotalTime>
  <ScaleCrop>false</ScaleCrop>
  <LinksUpToDate>false</LinksUpToDate>
  <CharactersWithSpaces>1949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2025-10-24T03:40:00Z</dcterms:created>
  <dc:creator>斌</dc:creator>
  <cp:lastModifiedBy>斌</cp:lastModifiedBy>
  <dcterms:modified xsi:type="dcterms:W3CDTF">2025-10-27T00:51:21Z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01EF16E8E13144328C8474F982581DDC_11</vt:lpwstr>
  </property>
  <property fmtid="{D5CDD505-2E9C-101B-9397-08002B2CF9AE}" pid="4" name="KSOTemplateDocerSaveRecord">
    <vt:lpwstr>eyJoZGlkIjoiZTg5YmMwZDJhZjY1MTU5NGE4MTI0ODM3YmIyZGU3NjciLCJ1c2VySWQiOiIzMzgwODIxNzgifQ==</vt:lpwstr>
  </property>
</Properties>
</file>