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22B6C">
      <w:pPr>
        <w:rPr>
          <w:rFonts w:ascii="仿宋_GB2312" w:hAnsi="仿宋_GB2312" w:cs="仿宋_GB2312" w:eastAsiaTheme="minorEastAsia"/>
          <w:sz w:val="36"/>
          <w:szCs w:val="36"/>
        </w:rPr>
      </w:pPr>
    </w:p>
    <w:p w14:paraId="3047D187">
      <w:pPr>
        <w:pStyle w:val="2"/>
      </w:pPr>
    </w:p>
    <w:p w14:paraId="0C61F46E">
      <w:pPr>
        <w:rPr>
          <w:rFonts w:ascii="仿宋_GB2312" w:hAnsi="仿宋_GB2312" w:eastAsia="仿宋_GB2312" w:cs="仿宋_GB2312"/>
          <w:sz w:val="36"/>
          <w:szCs w:val="36"/>
        </w:rPr>
      </w:pPr>
    </w:p>
    <w:p w14:paraId="2786A7E3">
      <w:pPr>
        <w:rPr>
          <w:rFonts w:ascii="仿宋_GB2312" w:hAnsi="仿宋_GB2312" w:eastAsia="仿宋_GB2312" w:cs="仿宋_GB2312"/>
          <w:sz w:val="36"/>
          <w:szCs w:val="36"/>
        </w:rPr>
      </w:pPr>
    </w:p>
    <w:p w14:paraId="6DA37D3F">
      <w:pPr>
        <w:adjustRightInd w:val="0"/>
        <w:snapToGrid w:val="0"/>
        <w:jc w:val="center"/>
        <w:outlineLvl w:val="0"/>
        <w:rPr>
          <w:rFonts w:ascii="方正小标宋_GBK" w:eastAsia="方正小标宋_GBK"/>
          <w:bCs/>
          <w:sz w:val="72"/>
          <w:szCs w:val="72"/>
        </w:rPr>
      </w:pPr>
      <w:bookmarkStart w:id="0" w:name="_Toc111712322"/>
      <w:r>
        <w:rPr>
          <w:rFonts w:hint="eastAsia" w:ascii="方正小标宋_GBK" w:eastAsia="方正小标宋_GBK"/>
          <w:bCs/>
          <w:sz w:val="72"/>
          <w:szCs w:val="72"/>
        </w:rPr>
        <w:t>建设项目环境影响报告表</w:t>
      </w:r>
      <w:bookmarkEnd w:id="0"/>
    </w:p>
    <w:p w14:paraId="4533B384">
      <w:pPr>
        <w:adjustRightInd w:val="0"/>
        <w:snapToGrid w:val="0"/>
        <w:spacing w:before="192" w:beforeLines="80"/>
        <w:jc w:val="center"/>
        <w:rPr>
          <w:rFonts w:ascii="楷体_GB2312" w:eastAsia="楷体_GB2312"/>
          <w:bCs/>
          <w:sz w:val="48"/>
          <w:szCs w:val="48"/>
        </w:rPr>
      </w:pPr>
      <w:r>
        <w:rPr>
          <w:rFonts w:hint="eastAsia" w:ascii="楷体_GB2312" w:eastAsia="楷体_GB2312"/>
          <w:bCs/>
          <w:sz w:val="48"/>
          <w:szCs w:val="48"/>
        </w:rPr>
        <w:t>（污染影响类）</w:t>
      </w:r>
    </w:p>
    <w:p w14:paraId="1C3EF051">
      <w:pPr>
        <w:adjustRightInd w:val="0"/>
        <w:snapToGrid w:val="0"/>
        <w:spacing w:line="288" w:lineRule="auto"/>
        <w:jc w:val="center"/>
        <w:outlineLvl w:val="0"/>
        <w:rPr>
          <w:rFonts w:ascii="华文仿宋" w:hAnsi="华文仿宋" w:eastAsia="华文仿宋" w:cs="华文仿宋"/>
          <w:kern w:val="44"/>
          <w:sz w:val="44"/>
          <w:szCs w:val="44"/>
        </w:rPr>
      </w:pPr>
    </w:p>
    <w:p w14:paraId="139A8EAA">
      <w:pPr>
        <w:jc w:val="center"/>
        <w:rPr>
          <w:rFonts w:eastAsia="仿宋"/>
          <w:sz w:val="52"/>
          <w:szCs w:val="52"/>
        </w:rPr>
      </w:pPr>
    </w:p>
    <w:p w14:paraId="405266A4">
      <w:pPr>
        <w:rPr>
          <w:rFonts w:eastAsia="仿宋"/>
          <w:sz w:val="44"/>
          <w:szCs w:val="44"/>
        </w:rPr>
      </w:pPr>
    </w:p>
    <w:p w14:paraId="4E552E6D">
      <w:pPr>
        <w:ind w:firstLine="1040"/>
        <w:rPr>
          <w:rFonts w:eastAsia="仿宋"/>
          <w:sz w:val="44"/>
          <w:szCs w:val="44"/>
        </w:rPr>
      </w:pPr>
    </w:p>
    <w:p w14:paraId="2926DE38">
      <w:pPr>
        <w:ind w:firstLine="1040"/>
        <w:rPr>
          <w:rFonts w:eastAsia="仿宋"/>
          <w:sz w:val="44"/>
          <w:szCs w:val="44"/>
        </w:rPr>
      </w:pPr>
    </w:p>
    <w:p w14:paraId="572EF4F9">
      <w:pPr>
        <w:ind w:firstLine="1040"/>
        <w:rPr>
          <w:rFonts w:eastAsia="仿宋"/>
          <w:sz w:val="44"/>
          <w:szCs w:val="44"/>
        </w:rPr>
      </w:pPr>
    </w:p>
    <w:p w14:paraId="2BB3E492">
      <w:pPr>
        <w:adjustRightInd w:val="0"/>
        <w:snapToGrid w:val="0"/>
        <w:spacing w:line="288" w:lineRule="auto"/>
        <w:ind w:left="1800" w:hanging="1800" w:hangingChars="500"/>
        <w:rPr>
          <w:rFonts w:asciiTheme="majorEastAsia" w:hAnsiTheme="majorEastAsia" w:eastAsiaTheme="majorEastAsia"/>
          <w:sz w:val="36"/>
          <w:szCs w:val="36"/>
          <w:u w:val="single"/>
        </w:rPr>
      </w:pPr>
      <w:bookmarkStart w:id="1" w:name="_Hlk57884087"/>
      <w:r>
        <w:rPr>
          <w:rFonts w:hint="eastAsia" w:asciiTheme="majorEastAsia" w:hAnsiTheme="majorEastAsia" w:eastAsiaTheme="majorEastAsia"/>
          <w:sz w:val="36"/>
          <w:szCs w:val="36"/>
        </w:rPr>
        <w:t>项目名称：</w:t>
      </w:r>
      <w:r>
        <w:rPr>
          <w:rFonts w:hint="eastAsia" w:asciiTheme="majorEastAsia" w:hAnsiTheme="majorEastAsia" w:eastAsiaTheme="majorEastAsia"/>
          <w:sz w:val="36"/>
          <w:szCs w:val="36"/>
          <w:u w:val="single"/>
        </w:rPr>
        <w:t xml:space="preserve">  衡阳岳峰新材料有限公司年加工4万吨  </w:t>
      </w:r>
    </w:p>
    <w:p w14:paraId="7F600DA7">
      <w:pPr>
        <w:adjustRightInd w:val="0"/>
        <w:snapToGrid w:val="0"/>
        <w:spacing w:line="288" w:lineRule="auto"/>
        <w:ind w:left="1050" w:leftChars="500" w:firstLine="720" w:firstLineChars="200"/>
        <w:rPr>
          <w:rFonts w:asciiTheme="majorEastAsia" w:hAnsiTheme="majorEastAsia" w:eastAsiaTheme="majorEastAsia"/>
          <w:sz w:val="36"/>
          <w:szCs w:val="36"/>
          <w:u w:val="single"/>
        </w:rPr>
      </w:pPr>
      <w:r>
        <w:rPr>
          <w:rFonts w:hint="eastAsia" w:asciiTheme="majorEastAsia" w:hAnsiTheme="majorEastAsia" w:eastAsiaTheme="majorEastAsia"/>
          <w:sz w:val="36"/>
          <w:szCs w:val="36"/>
          <w:u w:val="single"/>
        </w:rPr>
        <w:t xml:space="preserve">       硫酸钡粉体材料建设项目     </w:t>
      </w:r>
    </w:p>
    <w:p w14:paraId="1AAA36CF">
      <w:pPr>
        <w:adjustRightInd w:val="0"/>
        <w:snapToGrid w:val="0"/>
        <w:spacing w:line="288" w:lineRule="auto"/>
        <w:rPr>
          <w:rFonts w:asciiTheme="majorEastAsia" w:hAnsiTheme="majorEastAsia" w:eastAsiaTheme="majorEastAsia"/>
          <w:sz w:val="36"/>
          <w:szCs w:val="36"/>
        </w:rPr>
      </w:pPr>
      <w:r>
        <w:rPr>
          <w:rFonts w:hint="eastAsia" w:asciiTheme="majorEastAsia" w:hAnsiTheme="majorEastAsia" w:eastAsiaTheme="majorEastAsia"/>
          <w:sz w:val="36"/>
          <w:szCs w:val="36"/>
        </w:rPr>
        <w:t>建设单位（盖章）：</w:t>
      </w:r>
      <w:r>
        <w:rPr>
          <w:rFonts w:hint="eastAsia" w:asciiTheme="majorEastAsia" w:hAnsiTheme="majorEastAsia" w:eastAsiaTheme="majorEastAsia"/>
          <w:sz w:val="36"/>
          <w:szCs w:val="36"/>
          <w:u w:val="single"/>
        </w:rPr>
        <w:t xml:space="preserve">    衡阳岳峰新材料有限公司    </w:t>
      </w:r>
    </w:p>
    <w:p w14:paraId="190F6A3A">
      <w:pPr>
        <w:adjustRightInd w:val="0"/>
        <w:snapToGrid w:val="0"/>
        <w:spacing w:line="288" w:lineRule="auto"/>
        <w:rPr>
          <w:rFonts w:ascii="仿宋_GB2312" w:eastAsiaTheme="majorEastAsia"/>
          <w:sz w:val="36"/>
          <w:szCs w:val="36"/>
        </w:rPr>
      </w:pPr>
      <w:r>
        <w:rPr>
          <w:rFonts w:hint="eastAsia" w:asciiTheme="majorEastAsia" w:hAnsiTheme="majorEastAsia" w:eastAsiaTheme="majorEastAsia"/>
          <w:sz w:val="36"/>
          <w:szCs w:val="36"/>
        </w:rPr>
        <w:t>编制日期：</w:t>
      </w:r>
      <w:r>
        <w:rPr>
          <w:rFonts w:hint="eastAsia" w:asciiTheme="majorEastAsia" w:hAnsiTheme="majorEastAsia" w:eastAsiaTheme="majorEastAsia"/>
          <w:sz w:val="36"/>
          <w:szCs w:val="36"/>
          <w:u w:val="single"/>
        </w:rPr>
        <w:t xml:space="preserve"> </w:t>
      </w:r>
      <w:r>
        <w:rPr>
          <w:rFonts w:asciiTheme="majorEastAsia" w:hAnsiTheme="majorEastAsia" w:eastAsiaTheme="majorEastAsia"/>
          <w:sz w:val="36"/>
          <w:szCs w:val="36"/>
          <w:u w:val="single"/>
        </w:rPr>
        <w:t xml:space="preserve">  </w:t>
      </w:r>
      <w:r>
        <w:rPr>
          <w:rFonts w:hint="eastAsia" w:asciiTheme="majorEastAsia" w:hAnsiTheme="majorEastAsia" w:eastAsiaTheme="majorEastAsia"/>
          <w:sz w:val="36"/>
          <w:szCs w:val="36"/>
          <w:u w:val="single"/>
        </w:rPr>
        <w:t xml:space="preserve">           2025年4月</w:t>
      </w:r>
      <w:r>
        <w:rPr>
          <w:rFonts w:asciiTheme="majorEastAsia" w:hAnsiTheme="majorEastAsia" w:eastAsiaTheme="majorEastAsia"/>
          <w:sz w:val="36"/>
          <w:szCs w:val="36"/>
          <w:u w:val="single"/>
        </w:rPr>
        <w:t xml:space="preserve">   </w:t>
      </w:r>
      <w:r>
        <w:rPr>
          <w:rFonts w:hint="eastAsia" w:asciiTheme="majorEastAsia" w:hAnsiTheme="majorEastAsia" w:eastAsiaTheme="majorEastAsia"/>
          <w:sz w:val="36"/>
          <w:szCs w:val="36"/>
          <w:u w:val="single"/>
        </w:rPr>
        <w:t xml:space="preserve">           </w:t>
      </w:r>
    </w:p>
    <w:p w14:paraId="0885B1BD">
      <w:pPr>
        <w:adjustRightInd w:val="0"/>
        <w:snapToGrid w:val="0"/>
        <w:spacing w:line="288" w:lineRule="auto"/>
        <w:ind w:firstLine="1040"/>
        <w:rPr>
          <w:rFonts w:ascii="仿宋_GB2312" w:eastAsia="仿宋_GB2312"/>
          <w:sz w:val="36"/>
          <w:szCs w:val="36"/>
        </w:rPr>
      </w:pPr>
    </w:p>
    <w:p w14:paraId="07B6CCF2">
      <w:pPr>
        <w:adjustRightInd w:val="0"/>
        <w:snapToGrid w:val="0"/>
        <w:spacing w:line="288" w:lineRule="auto"/>
        <w:ind w:firstLine="1040"/>
        <w:rPr>
          <w:rFonts w:ascii="仿宋_GB2312" w:eastAsia="仿宋_GB2312"/>
          <w:sz w:val="36"/>
          <w:szCs w:val="36"/>
        </w:rPr>
      </w:pPr>
    </w:p>
    <w:bookmarkEnd w:id="1"/>
    <w:p w14:paraId="45941CDA">
      <w:pPr>
        <w:adjustRightInd w:val="0"/>
        <w:snapToGrid w:val="0"/>
        <w:spacing w:line="288" w:lineRule="auto"/>
        <w:jc w:val="center"/>
        <w:rPr>
          <w:rFonts w:ascii="楷体_GB2312" w:eastAsia="楷体_GB2312"/>
          <w:sz w:val="36"/>
          <w:szCs w:val="36"/>
        </w:rPr>
      </w:pPr>
      <w:r>
        <w:rPr>
          <w:rFonts w:hint="eastAsia" w:ascii="楷体_GB2312" w:eastAsia="楷体_GB2312"/>
          <w:sz w:val="36"/>
          <w:szCs w:val="36"/>
        </w:rPr>
        <w:t>中华人民共和国生态环境部制</w:t>
      </w:r>
    </w:p>
    <w:p w14:paraId="76E86D8F">
      <w:pPr>
        <w:adjustRightInd w:val="0"/>
        <w:snapToGrid w:val="0"/>
        <w:spacing w:line="288" w:lineRule="auto"/>
        <w:ind w:firstLine="1040"/>
        <w:rPr>
          <w:rFonts w:ascii="仿宋_GB2312" w:eastAsia="仿宋_GB2312"/>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14:paraId="7E76B267">
      <w:pPr>
        <w:pStyle w:val="31"/>
        <w:jc w:val="center"/>
        <w:outlineLvl w:val="0"/>
        <w:rPr>
          <w:rFonts w:ascii="黑体" w:hAnsi="黑体" w:eastAsia="黑体"/>
          <w:snapToGrid w:val="0"/>
          <w:sz w:val="30"/>
          <w:szCs w:val="30"/>
        </w:rPr>
      </w:pPr>
      <w:bookmarkStart w:id="2" w:name="_Toc111712323"/>
      <w:bookmarkStart w:id="3" w:name="_Toc109898366"/>
      <w:r>
        <w:rPr>
          <w:rFonts w:hint="eastAsia" w:ascii="黑体" w:hAnsi="黑体" w:eastAsia="黑体"/>
          <w:snapToGrid w:val="0"/>
          <w:sz w:val="30"/>
          <w:szCs w:val="30"/>
        </w:rPr>
        <w:t>目  录</w:t>
      </w:r>
      <w:bookmarkEnd w:id="2"/>
      <w:bookmarkEnd w:id="3"/>
    </w:p>
    <w:p w14:paraId="01D0FC72">
      <w:pPr>
        <w:pStyle w:val="23"/>
        <w:tabs>
          <w:tab w:val="right" w:leader="dot" w:pos="8834"/>
        </w:tabs>
        <w:spacing w:line="360" w:lineRule="auto"/>
        <w:rPr>
          <w:rFonts w:eastAsiaTheme="minorEastAsia"/>
          <w:sz w:val="24"/>
        </w:rPr>
      </w:pPr>
      <w:r>
        <w:rPr>
          <w:rFonts w:eastAsiaTheme="minorEastAsia"/>
          <w:snapToGrid w:val="0"/>
          <w:sz w:val="24"/>
        </w:rPr>
        <w:fldChar w:fldCharType="begin"/>
      </w:r>
      <w:r>
        <w:rPr>
          <w:rFonts w:eastAsiaTheme="minorEastAsia"/>
          <w:snapToGrid w:val="0"/>
          <w:sz w:val="24"/>
        </w:rPr>
        <w:instrText xml:space="preserve"> TOC \o "1-1" \h \z \u </w:instrText>
      </w:r>
      <w:r>
        <w:rPr>
          <w:rFonts w:eastAsiaTheme="minorEastAsia"/>
          <w:snapToGrid w:val="0"/>
          <w:sz w:val="24"/>
        </w:rPr>
        <w:fldChar w:fldCharType="separate"/>
      </w:r>
      <w:r>
        <w:fldChar w:fldCharType="begin"/>
      </w:r>
      <w:r>
        <w:instrText xml:space="preserve"> HYPERLINK \l "_Toc111712326" </w:instrText>
      </w:r>
      <w:r>
        <w:fldChar w:fldCharType="separate"/>
      </w:r>
      <w:r>
        <w:rPr>
          <w:rStyle w:val="40"/>
          <w:rFonts w:hAnsiTheme="minorEastAsia" w:eastAsiaTheme="minorEastAsia"/>
          <w:snapToGrid w:val="0"/>
          <w:color w:val="auto"/>
          <w:sz w:val="24"/>
          <w:u w:val="none"/>
        </w:rPr>
        <w:t>一、建设项目基本情况</w:t>
      </w:r>
      <w:r>
        <w:rPr>
          <w:rFonts w:eastAsiaTheme="minorEastAsia"/>
          <w:sz w:val="24"/>
        </w:rPr>
        <w:tab/>
      </w:r>
      <w:r>
        <w:rPr>
          <w:rFonts w:eastAsiaTheme="minorEastAsia"/>
          <w:sz w:val="24"/>
        </w:rPr>
        <w:fldChar w:fldCharType="begin"/>
      </w:r>
      <w:r>
        <w:rPr>
          <w:rFonts w:eastAsiaTheme="minorEastAsia"/>
          <w:sz w:val="24"/>
        </w:rPr>
        <w:instrText xml:space="preserve"> PAGEREF _Toc111712326 \h </w:instrText>
      </w:r>
      <w:r>
        <w:rPr>
          <w:rFonts w:eastAsiaTheme="minorEastAsia"/>
          <w:sz w:val="24"/>
        </w:rPr>
        <w:fldChar w:fldCharType="separate"/>
      </w:r>
      <w:r>
        <w:rPr>
          <w:rFonts w:eastAsiaTheme="minorEastAsia"/>
          <w:sz w:val="24"/>
        </w:rPr>
        <w:t>2</w:t>
      </w:r>
      <w:r>
        <w:rPr>
          <w:rFonts w:eastAsiaTheme="minorEastAsia"/>
          <w:sz w:val="24"/>
        </w:rPr>
        <w:fldChar w:fldCharType="end"/>
      </w:r>
      <w:r>
        <w:rPr>
          <w:rFonts w:eastAsiaTheme="minorEastAsia"/>
          <w:sz w:val="24"/>
        </w:rPr>
        <w:fldChar w:fldCharType="end"/>
      </w:r>
    </w:p>
    <w:p w14:paraId="7A5DB522">
      <w:pPr>
        <w:pStyle w:val="23"/>
        <w:tabs>
          <w:tab w:val="right" w:leader="dot" w:pos="8834"/>
        </w:tabs>
        <w:spacing w:line="360" w:lineRule="auto"/>
        <w:rPr>
          <w:rFonts w:eastAsiaTheme="minorEastAsia"/>
          <w:sz w:val="24"/>
        </w:rPr>
      </w:pPr>
      <w:r>
        <w:fldChar w:fldCharType="begin"/>
      </w:r>
      <w:r>
        <w:instrText xml:space="preserve"> HYPERLINK \l "_Toc111712327" </w:instrText>
      </w:r>
      <w:r>
        <w:fldChar w:fldCharType="separate"/>
      </w:r>
      <w:r>
        <w:rPr>
          <w:rStyle w:val="40"/>
          <w:rFonts w:hAnsiTheme="minorEastAsia" w:eastAsiaTheme="minorEastAsia"/>
          <w:snapToGrid w:val="0"/>
          <w:color w:val="auto"/>
          <w:sz w:val="24"/>
          <w:u w:val="none"/>
        </w:rPr>
        <w:t>二、建设项目工程分析</w:t>
      </w:r>
      <w:r>
        <w:rPr>
          <w:rFonts w:eastAsiaTheme="minorEastAsia"/>
          <w:sz w:val="24"/>
        </w:rPr>
        <w:tab/>
      </w:r>
      <w:r>
        <w:rPr>
          <w:rFonts w:eastAsiaTheme="minorEastAsia"/>
          <w:sz w:val="24"/>
        </w:rPr>
        <w:fldChar w:fldCharType="begin"/>
      </w:r>
      <w:r>
        <w:rPr>
          <w:rFonts w:eastAsiaTheme="minorEastAsia"/>
          <w:sz w:val="24"/>
        </w:rPr>
        <w:instrText xml:space="preserve"> PAGEREF _Toc111712327 \h </w:instrText>
      </w:r>
      <w:r>
        <w:rPr>
          <w:rFonts w:eastAsiaTheme="minorEastAsia"/>
          <w:sz w:val="24"/>
        </w:rPr>
        <w:fldChar w:fldCharType="separate"/>
      </w:r>
      <w:r>
        <w:rPr>
          <w:rFonts w:eastAsiaTheme="minorEastAsia"/>
          <w:sz w:val="24"/>
        </w:rPr>
        <w:t>17</w:t>
      </w:r>
      <w:r>
        <w:rPr>
          <w:rFonts w:eastAsiaTheme="minorEastAsia"/>
          <w:sz w:val="24"/>
        </w:rPr>
        <w:fldChar w:fldCharType="end"/>
      </w:r>
      <w:r>
        <w:rPr>
          <w:rFonts w:eastAsiaTheme="minorEastAsia"/>
          <w:sz w:val="24"/>
        </w:rPr>
        <w:fldChar w:fldCharType="end"/>
      </w:r>
    </w:p>
    <w:p w14:paraId="3E19BDC7">
      <w:pPr>
        <w:pStyle w:val="23"/>
        <w:tabs>
          <w:tab w:val="right" w:leader="dot" w:pos="8834"/>
        </w:tabs>
        <w:spacing w:line="360" w:lineRule="auto"/>
        <w:rPr>
          <w:rFonts w:eastAsiaTheme="minorEastAsia"/>
          <w:sz w:val="24"/>
        </w:rPr>
      </w:pPr>
      <w:r>
        <w:fldChar w:fldCharType="begin"/>
      </w:r>
      <w:r>
        <w:instrText xml:space="preserve"> HYPERLINK \l "_Toc111712328" </w:instrText>
      </w:r>
      <w:r>
        <w:fldChar w:fldCharType="separate"/>
      </w:r>
      <w:r>
        <w:rPr>
          <w:rStyle w:val="40"/>
          <w:rFonts w:hAnsiTheme="minorEastAsia" w:eastAsiaTheme="minorEastAsia"/>
          <w:snapToGrid w:val="0"/>
          <w:color w:val="auto"/>
          <w:sz w:val="24"/>
          <w:u w:val="none"/>
        </w:rPr>
        <w:t>三、区域环境质量现状、环境保护目标及评价标准</w:t>
      </w:r>
      <w:r>
        <w:rPr>
          <w:rFonts w:eastAsiaTheme="minorEastAsia"/>
          <w:sz w:val="24"/>
        </w:rPr>
        <w:tab/>
      </w:r>
      <w:r>
        <w:rPr>
          <w:rFonts w:eastAsiaTheme="minorEastAsia"/>
          <w:sz w:val="24"/>
        </w:rPr>
        <w:fldChar w:fldCharType="begin"/>
      </w:r>
      <w:r>
        <w:rPr>
          <w:rFonts w:eastAsiaTheme="minorEastAsia"/>
          <w:sz w:val="24"/>
        </w:rPr>
        <w:instrText xml:space="preserve"> PAGEREF _Toc111712328 \h </w:instrText>
      </w:r>
      <w:r>
        <w:rPr>
          <w:rFonts w:eastAsiaTheme="minorEastAsia"/>
          <w:sz w:val="24"/>
        </w:rPr>
        <w:fldChar w:fldCharType="separate"/>
      </w:r>
      <w:r>
        <w:rPr>
          <w:rFonts w:eastAsiaTheme="minorEastAsia"/>
          <w:sz w:val="24"/>
        </w:rPr>
        <w:t>26</w:t>
      </w:r>
      <w:r>
        <w:rPr>
          <w:rFonts w:eastAsiaTheme="minorEastAsia"/>
          <w:sz w:val="24"/>
        </w:rPr>
        <w:fldChar w:fldCharType="end"/>
      </w:r>
      <w:r>
        <w:rPr>
          <w:rFonts w:eastAsiaTheme="minorEastAsia"/>
          <w:sz w:val="24"/>
        </w:rPr>
        <w:fldChar w:fldCharType="end"/>
      </w:r>
    </w:p>
    <w:p w14:paraId="3B909CC5">
      <w:pPr>
        <w:pStyle w:val="23"/>
        <w:tabs>
          <w:tab w:val="right" w:leader="dot" w:pos="8834"/>
        </w:tabs>
        <w:spacing w:line="360" w:lineRule="auto"/>
        <w:rPr>
          <w:rFonts w:eastAsiaTheme="minorEastAsia"/>
          <w:sz w:val="24"/>
        </w:rPr>
      </w:pPr>
      <w:r>
        <w:fldChar w:fldCharType="begin"/>
      </w:r>
      <w:r>
        <w:instrText xml:space="preserve"> HYPERLINK \l "_Toc111712329" </w:instrText>
      </w:r>
      <w:r>
        <w:fldChar w:fldCharType="separate"/>
      </w:r>
      <w:r>
        <w:rPr>
          <w:rStyle w:val="40"/>
          <w:rFonts w:hAnsiTheme="minorEastAsia" w:eastAsiaTheme="minorEastAsia"/>
          <w:snapToGrid w:val="0"/>
          <w:color w:val="auto"/>
          <w:sz w:val="24"/>
          <w:u w:val="none"/>
        </w:rPr>
        <w:t>四、主要环境影响和保护措施</w:t>
      </w:r>
      <w:r>
        <w:rPr>
          <w:rFonts w:eastAsiaTheme="minorEastAsia"/>
          <w:sz w:val="24"/>
        </w:rPr>
        <w:tab/>
      </w:r>
      <w:r>
        <w:rPr>
          <w:rFonts w:eastAsiaTheme="minorEastAsia"/>
          <w:sz w:val="24"/>
        </w:rPr>
        <w:fldChar w:fldCharType="begin"/>
      </w:r>
      <w:r>
        <w:rPr>
          <w:rFonts w:eastAsiaTheme="minorEastAsia"/>
          <w:sz w:val="24"/>
        </w:rPr>
        <w:instrText xml:space="preserve"> PAGEREF _Toc111712329 \h </w:instrText>
      </w:r>
      <w:r>
        <w:rPr>
          <w:rFonts w:eastAsiaTheme="minorEastAsia"/>
          <w:sz w:val="24"/>
        </w:rPr>
        <w:fldChar w:fldCharType="separate"/>
      </w:r>
      <w:r>
        <w:rPr>
          <w:rFonts w:eastAsiaTheme="minorEastAsia"/>
          <w:sz w:val="24"/>
        </w:rPr>
        <w:t>32</w:t>
      </w:r>
      <w:r>
        <w:rPr>
          <w:rFonts w:eastAsiaTheme="minorEastAsia"/>
          <w:sz w:val="24"/>
        </w:rPr>
        <w:fldChar w:fldCharType="end"/>
      </w:r>
      <w:r>
        <w:rPr>
          <w:rFonts w:eastAsiaTheme="minorEastAsia"/>
          <w:sz w:val="24"/>
        </w:rPr>
        <w:fldChar w:fldCharType="end"/>
      </w:r>
    </w:p>
    <w:p w14:paraId="55DC10E2">
      <w:pPr>
        <w:pStyle w:val="23"/>
        <w:tabs>
          <w:tab w:val="right" w:leader="dot" w:pos="8834"/>
        </w:tabs>
        <w:spacing w:line="360" w:lineRule="auto"/>
        <w:rPr>
          <w:rFonts w:eastAsiaTheme="minorEastAsia"/>
          <w:sz w:val="24"/>
        </w:rPr>
      </w:pPr>
      <w:r>
        <w:fldChar w:fldCharType="begin"/>
      </w:r>
      <w:r>
        <w:instrText xml:space="preserve"> HYPERLINK \l "_Toc111712330" </w:instrText>
      </w:r>
      <w:r>
        <w:fldChar w:fldCharType="separate"/>
      </w:r>
      <w:r>
        <w:rPr>
          <w:rStyle w:val="40"/>
          <w:rFonts w:hAnsiTheme="minorEastAsia" w:eastAsiaTheme="minorEastAsia"/>
          <w:snapToGrid w:val="0"/>
          <w:color w:val="auto"/>
          <w:sz w:val="24"/>
          <w:u w:val="none"/>
        </w:rPr>
        <w:t>五、环境保护措施监督检查清单</w:t>
      </w:r>
      <w:r>
        <w:rPr>
          <w:rFonts w:eastAsiaTheme="minorEastAsia"/>
          <w:sz w:val="24"/>
        </w:rPr>
        <w:tab/>
      </w:r>
      <w:r>
        <w:rPr>
          <w:rFonts w:eastAsiaTheme="minorEastAsia"/>
          <w:sz w:val="24"/>
        </w:rPr>
        <w:fldChar w:fldCharType="begin"/>
      </w:r>
      <w:r>
        <w:rPr>
          <w:rFonts w:eastAsiaTheme="minorEastAsia"/>
          <w:sz w:val="24"/>
        </w:rPr>
        <w:instrText xml:space="preserve"> PAGEREF _Toc111712330 \h </w:instrText>
      </w:r>
      <w:r>
        <w:rPr>
          <w:rFonts w:eastAsiaTheme="minorEastAsia"/>
          <w:sz w:val="24"/>
        </w:rPr>
        <w:fldChar w:fldCharType="separate"/>
      </w:r>
      <w:r>
        <w:rPr>
          <w:rFonts w:eastAsiaTheme="minorEastAsia"/>
          <w:sz w:val="24"/>
        </w:rPr>
        <w:t>51</w:t>
      </w:r>
      <w:r>
        <w:rPr>
          <w:rFonts w:eastAsiaTheme="minorEastAsia"/>
          <w:sz w:val="24"/>
        </w:rPr>
        <w:fldChar w:fldCharType="end"/>
      </w:r>
      <w:r>
        <w:rPr>
          <w:rFonts w:eastAsiaTheme="minorEastAsia"/>
          <w:sz w:val="24"/>
        </w:rPr>
        <w:fldChar w:fldCharType="end"/>
      </w:r>
    </w:p>
    <w:p w14:paraId="14C815AF">
      <w:pPr>
        <w:pStyle w:val="23"/>
        <w:tabs>
          <w:tab w:val="right" w:leader="dot" w:pos="8834"/>
        </w:tabs>
        <w:spacing w:line="360" w:lineRule="auto"/>
        <w:rPr>
          <w:rFonts w:eastAsiaTheme="minorEastAsia"/>
          <w:sz w:val="24"/>
        </w:rPr>
      </w:pPr>
      <w:r>
        <w:fldChar w:fldCharType="begin"/>
      </w:r>
      <w:r>
        <w:instrText xml:space="preserve"> HYPERLINK \l "_Toc111712331" </w:instrText>
      </w:r>
      <w:r>
        <w:fldChar w:fldCharType="separate"/>
      </w:r>
      <w:r>
        <w:rPr>
          <w:rStyle w:val="40"/>
          <w:rFonts w:hAnsiTheme="minorEastAsia" w:eastAsiaTheme="minorEastAsia"/>
          <w:snapToGrid w:val="0"/>
          <w:color w:val="auto"/>
          <w:sz w:val="24"/>
          <w:u w:val="none"/>
        </w:rPr>
        <w:t>六、结论</w:t>
      </w:r>
      <w:r>
        <w:rPr>
          <w:rFonts w:eastAsiaTheme="minorEastAsia"/>
          <w:sz w:val="24"/>
        </w:rPr>
        <w:tab/>
      </w:r>
      <w:r>
        <w:rPr>
          <w:rFonts w:eastAsiaTheme="minorEastAsia"/>
          <w:sz w:val="24"/>
        </w:rPr>
        <w:fldChar w:fldCharType="begin"/>
      </w:r>
      <w:r>
        <w:rPr>
          <w:rFonts w:eastAsiaTheme="minorEastAsia"/>
          <w:sz w:val="24"/>
        </w:rPr>
        <w:instrText xml:space="preserve"> PAGEREF _Toc111712331 \h </w:instrText>
      </w:r>
      <w:r>
        <w:rPr>
          <w:rFonts w:eastAsiaTheme="minorEastAsia"/>
          <w:sz w:val="24"/>
        </w:rPr>
        <w:fldChar w:fldCharType="separate"/>
      </w:r>
      <w:r>
        <w:rPr>
          <w:rFonts w:eastAsiaTheme="minorEastAsia"/>
          <w:sz w:val="24"/>
        </w:rPr>
        <w:t>53</w:t>
      </w:r>
      <w:r>
        <w:rPr>
          <w:rFonts w:eastAsiaTheme="minorEastAsia"/>
          <w:sz w:val="24"/>
        </w:rPr>
        <w:fldChar w:fldCharType="end"/>
      </w:r>
      <w:r>
        <w:rPr>
          <w:rFonts w:eastAsiaTheme="minorEastAsia"/>
          <w:sz w:val="24"/>
        </w:rPr>
        <w:fldChar w:fldCharType="end"/>
      </w:r>
    </w:p>
    <w:p w14:paraId="2AF66803">
      <w:pPr>
        <w:pStyle w:val="31"/>
        <w:spacing w:line="360" w:lineRule="auto"/>
        <w:outlineLvl w:val="0"/>
        <w:rPr>
          <w:rFonts w:ascii="黑体" w:hAnsi="黑体" w:eastAsia="黑体"/>
          <w:snapToGrid w:val="0"/>
          <w:sz w:val="30"/>
          <w:szCs w:val="30"/>
        </w:rPr>
      </w:pPr>
      <w:r>
        <w:rPr>
          <w:rFonts w:ascii="Times New Roman" w:hAnsi="Times New Roman" w:eastAsiaTheme="minorEastAsia"/>
          <w:snapToGrid w:val="0"/>
          <w:szCs w:val="24"/>
        </w:rPr>
        <w:fldChar w:fldCharType="end"/>
      </w:r>
      <w:bookmarkStart w:id="4" w:name="_Toc111712324"/>
      <w:r>
        <w:rPr>
          <w:rFonts w:hint="eastAsia" w:ascii="黑体" w:hAnsi="黑体" w:eastAsia="黑体"/>
          <w:snapToGrid w:val="0"/>
          <w:sz w:val="32"/>
          <w:szCs w:val="32"/>
        </w:rPr>
        <w:t>附图</w:t>
      </w:r>
      <w:bookmarkEnd w:id="4"/>
    </w:p>
    <w:p w14:paraId="03196E48">
      <w:pPr>
        <w:spacing w:line="360" w:lineRule="auto"/>
        <w:ind w:firstLine="480" w:firstLineChars="200"/>
        <w:rPr>
          <w:sz w:val="24"/>
          <w:szCs w:val="28"/>
        </w:rPr>
      </w:pPr>
      <w:r>
        <w:rPr>
          <w:rFonts w:hint="eastAsia"/>
          <w:sz w:val="24"/>
          <w:szCs w:val="28"/>
        </w:rPr>
        <w:t>附图</w:t>
      </w:r>
      <w:r>
        <w:rPr>
          <w:sz w:val="24"/>
          <w:szCs w:val="28"/>
        </w:rPr>
        <w:t xml:space="preserve">1  </w:t>
      </w:r>
      <w:r>
        <w:rPr>
          <w:rFonts w:hint="eastAsia"/>
          <w:sz w:val="24"/>
          <w:szCs w:val="28"/>
        </w:rPr>
        <w:t>项目地理位置示意图</w:t>
      </w:r>
    </w:p>
    <w:p w14:paraId="4E3EA1CF">
      <w:pPr>
        <w:spacing w:line="360" w:lineRule="auto"/>
        <w:ind w:firstLine="480" w:firstLineChars="200"/>
        <w:rPr>
          <w:sz w:val="24"/>
          <w:szCs w:val="28"/>
        </w:rPr>
      </w:pPr>
      <w:r>
        <w:rPr>
          <w:rFonts w:hint="eastAsia"/>
          <w:sz w:val="24"/>
          <w:szCs w:val="28"/>
        </w:rPr>
        <w:t>附图</w:t>
      </w:r>
      <w:r>
        <w:rPr>
          <w:sz w:val="24"/>
          <w:szCs w:val="28"/>
        </w:rPr>
        <w:t xml:space="preserve">2  </w:t>
      </w:r>
      <w:r>
        <w:rPr>
          <w:rFonts w:hint="eastAsia"/>
          <w:sz w:val="24"/>
          <w:szCs w:val="28"/>
        </w:rPr>
        <w:t>项目现场勘查图</w:t>
      </w:r>
    </w:p>
    <w:p w14:paraId="336B0AA8">
      <w:pPr>
        <w:spacing w:line="360" w:lineRule="auto"/>
        <w:ind w:firstLine="480" w:firstLineChars="200"/>
        <w:rPr>
          <w:sz w:val="24"/>
          <w:szCs w:val="28"/>
        </w:rPr>
      </w:pPr>
      <w:r>
        <w:rPr>
          <w:rFonts w:hint="eastAsia"/>
          <w:sz w:val="24"/>
          <w:szCs w:val="28"/>
        </w:rPr>
        <w:t>附图3</w:t>
      </w:r>
      <w:r>
        <w:rPr>
          <w:sz w:val="24"/>
          <w:szCs w:val="28"/>
        </w:rPr>
        <w:t xml:space="preserve">  </w:t>
      </w:r>
      <w:r>
        <w:rPr>
          <w:rFonts w:hint="eastAsia"/>
          <w:sz w:val="24"/>
          <w:szCs w:val="28"/>
        </w:rPr>
        <w:t>项目环境保护目标示意</w:t>
      </w:r>
      <w:r>
        <w:rPr>
          <w:sz w:val="24"/>
          <w:szCs w:val="28"/>
        </w:rPr>
        <w:t>图</w:t>
      </w:r>
    </w:p>
    <w:p w14:paraId="26D334A8">
      <w:pPr>
        <w:spacing w:line="360" w:lineRule="auto"/>
        <w:ind w:firstLine="480" w:firstLineChars="200"/>
        <w:rPr>
          <w:sz w:val="24"/>
          <w:szCs w:val="28"/>
        </w:rPr>
      </w:pPr>
      <w:r>
        <w:rPr>
          <w:rFonts w:hint="eastAsia"/>
          <w:sz w:val="24"/>
          <w:szCs w:val="28"/>
        </w:rPr>
        <w:t>附图4</w:t>
      </w:r>
      <w:r>
        <w:rPr>
          <w:sz w:val="24"/>
          <w:szCs w:val="28"/>
        </w:rPr>
        <w:t xml:space="preserve">  </w:t>
      </w:r>
      <w:r>
        <w:rPr>
          <w:rFonts w:hint="eastAsia"/>
          <w:sz w:val="24"/>
          <w:szCs w:val="28"/>
        </w:rPr>
        <w:t>项目总平面布置及环保设施示意图</w:t>
      </w:r>
    </w:p>
    <w:p w14:paraId="7266B189">
      <w:pPr>
        <w:spacing w:line="360" w:lineRule="auto"/>
        <w:ind w:firstLine="480" w:firstLineChars="200"/>
        <w:rPr>
          <w:sz w:val="24"/>
          <w:szCs w:val="28"/>
        </w:rPr>
      </w:pPr>
      <w:r>
        <w:rPr>
          <w:rFonts w:hint="eastAsia"/>
          <w:sz w:val="24"/>
          <w:szCs w:val="28"/>
        </w:rPr>
        <w:t>附图5</w:t>
      </w:r>
      <w:r>
        <w:rPr>
          <w:sz w:val="24"/>
          <w:szCs w:val="28"/>
        </w:rPr>
        <w:t xml:space="preserve">  </w:t>
      </w:r>
      <w:r>
        <w:rPr>
          <w:rFonts w:hint="eastAsia"/>
          <w:sz w:val="24"/>
          <w:szCs w:val="28"/>
        </w:rPr>
        <w:t>区域水系图</w:t>
      </w:r>
    </w:p>
    <w:p w14:paraId="1DA58225">
      <w:pPr>
        <w:spacing w:line="360" w:lineRule="auto"/>
        <w:ind w:firstLine="480" w:firstLineChars="200"/>
        <w:rPr>
          <w:sz w:val="24"/>
          <w:szCs w:val="28"/>
        </w:rPr>
      </w:pPr>
      <w:r>
        <w:rPr>
          <w:rFonts w:hint="eastAsia"/>
          <w:sz w:val="24"/>
          <w:szCs w:val="28"/>
        </w:rPr>
        <w:t>附图6</w:t>
      </w:r>
      <w:r>
        <w:rPr>
          <w:sz w:val="24"/>
          <w:szCs w:val="28"/>
        </w:rPr>
        <w:t xml:space="preserve">  </w:t>
      </w:r>
      <w:r>
        <w:rPr>
          <w:rFonts w:hint="eastAsia"/>
          <w:sz w:val="24"/>
          <w:szCs w:val="28"/>
        </w:rPr>
        <w:t>衡阳西渡高新区污水处理厂纳污范围图</w:t>
      </w:r>
    </w:p>
    <w:p w14:paraId="6AA156FF">
      <w:pPr>
        <w:pStyle w:val="31"/>
        <w:outlineLvl w:val="0"/>
        <w:rPr>
          <w:rFonts w:ascii="黑体" w:hAnsi="黑体" w:eastAsia="黑体"/>
          <w:snapToGrid w:val="0"/>
          <w:sz w:val="30"/>
          <w:szCs w:val="30"/>
        </w:rPr>
      </w:pPr>
      <w:bookmarkStart w:id="5" w:name="_Toc111712325"/>
      <w:r>
        <w:rPr>
          <w:rFonts w:hint="eastAsia" w:ascii="黑体" w:hAnsi="黑体" w:eastAsia="黑体"/>
          <w:snapToGrid w:val="0"/>
          <w:sz w:val="32"/>
          <w:szCs w:val="32"/>
        </w:rPr>
        <w:t>附件</w:t>
      </w:r>
      <w:bookmarkEnd w:id="5"/>
    </w:p>
    <w:p w14:paraId="6B680511">
      <w:pPr>
        <w:spacing w:line="360" w:lineRule="auto"/>
        <w:ind w:firstLine="480" w:firstLineChars="200"/>
        <w:rPr>
          <w:sz w:val="24"/>
          <w:szCs w:val="28"/>
        </w:rPr>
      </w:pPr>
      <w:r>
        <w:rPr>
          <w:sz w:val="24"/>
          <w:szCs w:val="28"/>
        </w:rPr>
        <w:t>附件1  环评委托书</w:t>
      </w:r>
    </w:p>
    <w:p w14:paraId="1DAA586B">
      <w:pPr>
        <w:spacing w:line="360" w:lineRule="auto"/>
        <w:ind w:firstLine="480" w:firstLineChars="200"/>
        <w:rPr>
          <w:sz w:val="24"/>
        </w:rPr>
      </w:pPr>
      <w:r>
        <w:rPr>
          <w:sz w:val="24"/>
          <w:szCs w:val="28"/>
        </w:rPr>
        <w:t>附件</w:t>
      </w:r>
      <w:r>
        <w:rPr>
          <w:rFonts w:hint="eastAsia"/>
          <w:sz w:val="24"/>
          <w:szCs w:val="28"/>
        </w:rPr>
        <w:t>2</w:t>
      </w:r>
      <w:r>
        <w:rPr>
          <w:sz w:val="24"/>
          <w:szCs w:val="28"/>
        </w:rPr>
        <w:t xml:space="preserve">  </w:t>
      </w:r>
      <w:r>
        <w:rPr>
          <w:rFonts w:hint="eastAsia"/>
          <w:sz w:val="24"/>
        </w:rPr>
        <w:t>营业执照</w:t>
      </w:r>
    </w:p>
    <w:p w14:paraId="2FFA3B77">
      <w:pPr>
        <w:spacing w:line="360" w:lineRule="auto"/>
        <w:ind w:firstLine="480" w:firstLineChars="200"/>
        <w:rPr>
          <w:sz w:val="24"/>
          <w:szCs w:val="28"/>
        </w:rPr>
      </w:pPr>
      <w:r>
        <w:rPr>
          <w:rFonts w:hint="eastAsia"/>
          <w:sz w:val="24"/>
        </w:rPr>
        <w:t>附件3  项目备案证明</w:t>
      </w:r>
    </w:p>
    <w:p w14:paraId="31A6AA2B">
      <w:pPr>
        <w:spacing w:line="360" w:lineRule="auto"/>
        <w:ind w:firstLine="480" w:firstLineChars="200"/>
        <w:rPr>
          <w:sz w:val="24"/>
          <w:szCs w:val="28"/>
        </w:rPr>
      </w:pPr>
      <w:r>
        <w:rPr>
          <w:sz w:val="24"/>
          <w:szCs w:val="28"/>
        </w:rPr>
        <w:t>附件</w:t>
      </w:r>
      <w:r>
        <w:rPr>
          <w:rFonts w:hint="eastAsia"/>
          <w:sz w:val="24"/>
          <w:szCs w:val="28"/>
        </w:rPr>
        <w:t xml:space="preserve">4  </w:t>
      </w:r>
      <w:r>
        <w:rPr>
          <w:rFonts w:hint="eastAsia"/>
          <w:sz w:val="24"/>
        </w:rPr>
        <w:t>厂房租赁合同</w:t>
      </w:r>
    </w:p>
    <w:p w14:paraId="11DDAAD4">
      <w:pPr>
        <w:spacing w:line="360" w:lineRule="auto"/>
        <w:ind w:firstLine="480" w:firstLineChars="200"/>
        <w:rPr>
          <w:sz w:val="24"/>
          <w:szCs w:val="28"/>
        </w:rPr>
      </w:pPr>
      <w:r>
        <w:rPr>
          <w:rFonts w:hint="eastAsia"/>
          <w:sz w:val="24"/>
          <w:szCs w:val="28"/>
        </w:rPr>
        <w:t>附件5  原矿购买合同</w:t>
      </w:r>
    </w:p>
    <w:p w14:paraId="10981B4A">
      <w:pPr>
        <w:spacing w:line="360" w:lineRule="auto"/>
        <w:ind w:firstLine="480" w:firstLineChars="200"/>
        <w:rPr>
          <w:sz w:val="24"/>
          <w:szCs w:val="28"/>
        </w:rPr>
      </w:pPr>
      <w:r>
        <w:rPr>
          <w:rFonts w:hint="eastAsia"/>
          <w:sz w:val="24"/>
          <w:szCs w:val="28"/>
        </w:rPr>
        <w:t>附件6  原矿检测报告</w:t>
      </w:r>
    </w:p>
    <w:p w14:paraId="760A57A4">
      <w:pPr>
        <w:spacing w:line="360" w:lineRule="auto"/>
        <w:ind w:firstLine="480" w:firstLineChars="200"/>
        <w:rPr>
          <w:sz w:val="24"/>
          <w:szCs w:val="28"/>
        </w:rPr>
      </w:pPr>
      <w:r>
        <w:rPr>
          <w:rFonts w:hint="eastAsia"/>
          <w:sz w:val="24"/>
          <w:szCs w:val="28"/>
        </w:rPr>
        <w:t>附件7  园区规划环评审查意见</w:t>
      </w:r>
    </w:p>
    <w:p w14:paraId="4E86B2DE">
      <w:pPr>
        <w:spacing w:line="360" w:lineRule="auto"/>
        <w:ind w:firstLine="480" w:firstLineChars="200"/>
        <w:rPr>
          <w:sz w:val="24"/>
          <w:szCs w:val="28"/>
        </w:rPr>
      </w:pPr>
      <w:r>
        <w:rPr>
          <w:rFonts w:hint="eastAsia"/>
          <w:sz w:val="24"/>
          <w:szCs w:val="28"/>
        </w:rPr>
        <w:t>附件8  园区跟踪环评工作意见的函</w:t>
      </w:r>
    </w:p>
    <w:p w14:paraId="628F4378">
      <w:pPr>
        <w:spacing w:line="360" w:lineRule="auto"/>
        <w:ind w:firstLine="480" w:firstLineChars="200"/>
      </w:pPr>
      <w:r>
        <w:rPr>
          <w:rFonts w:hint="eastAsia"/>
          <w:sz w:val="24"/>
          <w:szCs w:val="28"/>
        </w:rPr>
        <w:t>附件9  专家评审意见及签到表</w:t>
      </w:r>
    </w:p>
    <w:p w14:paraId="5D71EABC">
      <w:pPr>
        <w:spacing w:line="360" w:lineRule="auto"/>
        <w:ind w:firstLine="480" w:firstLineChars="200"/>
        <w:rPr>
          <w:sz w:val="24"/>
          <w:szCs w:val="28"/>
        </w:rPr>
      </w:pPr>
      <w:r>
        <w:rPr>
          <w:sz w:val="24"/>
          <w:szCs w:val="28"/>
        </w:rPr>
        <w:br w:type="page"/>
      </w:r>
    </w:p>
    <w:p w14:paraId="7A7EF52B">
      <w:pPr>
        <w:pStyle w:val="31"/>
        <w:jc w:val="center"/>
        <w:outlineLvl w:val="0"/>
        <w:rPr>
          <w:rFonts w:ascii="黑体" w:hAnsi="黑体" w:eastAsia="黑体"/>
          <w:snapToGrid w:val="0"/>
          <w:sz w:val="30"/>
          <w:szCs w:val="30"/>
        </w:rPr>
      </w:pPr>
      <w:bookmarkStart w:id="6" w:name="_Toc111712326"/>
      <w:r>
        <w:rPr>
          <w:rFonts w:hint="eastAsia" w:ascii="黑体" w:hAnsi="黑体" w:eastAsia="黑体"/>
          <w:snapToGrid w:val="0"/>
          <w:sz w:val="30"/>
          <w:szCs w:val="30"/>
        </w:rPr>
        <w:t>一、建设项目基本情况</w:t>
      </w:r>
      <w:bookmarkEnd w:id="6"/>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823"/>
        <w:gridCol w:w="1476"/>
        <w:gridCol w:w="2325"/>
        <w:gridCol w:w="2544"/>
        <w:gridCol w:w="3038"/>
      </w:tblGrid>
      <w:tr w14:paraId="790C4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145A691A">
            <w:pPr>
              <w:adjustRightInd w:val="0"/>
              <w:snapToGrid w:val="0"/>
              <w:jc w:val="center"/>
              <w:rPr>
                <w:b/>
                <w:sz w:val="24"/>
              </w:rPr>
            </w:pPr>
            <w:r>
              <w:rPr>
                <w:b/>
                <w:sz w:val="24"/>
              </w:rPr>
              <w:t>建设项目名称</w:t>
            </w:r>
          </w:p>
        </w:tc>
        <w:tc>
          <w:tcPr>
            <w:tcW w:w="7907" w:type="dxa"/>
            <w:gridSpan w:val="3"/>
            <w:vAlign w:val="center"/>
          </w:tcPr>
          <w:p w14:paraId="4968ACD7">
            <w:pPr>
              <w:adjustRightInd w:val="0"/>
              <w:snapToGrid w:val="0"/>
              <w:jc w:val="center"/>
              <w:rPr>
                <w:sz w:val="24"/>
              </w:rPr>
            </w:pPr>
            <w:r>
              <w:rPr>
                <w:rFonts w:hint="eastAsia"/>
                <w:sz w:val="24"/>
              </w:rPr>
              <w:t>衡阳岳峰新材料有限公司年加工4万吨硫酸钡粉体材料建设项目</w:t>
            </w:r>
          </w:p>
        </w:tc>
      </w:tr>
      <w:tr w14:paraId="08ED93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2A5BDFFD">
            <w:pPr>
              <w:adjustRightInd w:val="0"/>
              <w:snapToGrid w:val="0"/>
              <w:jc w:val="center"/>
              <w:rPr>
                <w:b/>
                <w:sz w:val="24"/>
              </w:rPr>
            </w:pPr>
            <w:r>
              <w:rPr>
                <w:b/>
                <w:sz w:val="24"/>
              </w:rPr>
              <w:t>项目代码</w:t>
            </w:r>
          </w:p>
        </w:tc>
        <w:tc>
          <w:tcPr>
            <w:tcW w:w="7907" w:type="dxa"/>
            <w:gridSpan w:val="3"/>
            <w:vAlign w:val="center"/>
          </w:tcPr>
          <w:p w14:paraId="33F702F9">
            <w:pPr>
              <w:adjustRightInd w:val="0"/>
              <w:snapToGrid w:val="0"/>
              <w:jc w:val="center"/>
              <w:rPr>
                <w:sz w:val="24"/>
              </w:rPr>
            </w:pPr>
            <w:r>
              <w:rPr>
                <w:sz w:val="24"/>
              </w:rPr>
              <w:t>2501-430400-04-01-174950</w:t>
            </w:r>
          </w:p>
        </w:tc>
      </w:tr>
      <w:tr w14:paraId="610033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3F61C655">
            <w:pPr>
              <w:adjustRightInd w:val="0"/>
              <w:snapToGrid w:val="0"/>
              <w:jc w:val="center"/>
              <w:rPr>
                <w:b/>
                <w:sz w:val="24"/>
              </w:rPr>
            </w:pPr>
            <w:r>
              <w:rPr>
                <w:b/>
                <w:sz w:val="24"/>
              </w:rPr>
              <w:t>建设单位联系人</w:t>
            </w:r>
          </w:p>
        </w:tc>
        <w:tc>
          <w:tcPr>
            <w:tcW w:w="2325" w:type="dxa"/>
            <w:vAlign w:val="center"/>
          </w:tcPr>
          <w:p w14:paraId="1C2CA221">
            <w:pPr>
              <w:adjustRightInd w:val="0"/>
              <w:snapToGrid w:val="0"/>
              <w:jc w:val="center"/>
              <w:rPr>
                <w:sz w:val="24"/>
              </w:rPr>
            </w:pPr>
            <w:bookmarkStart w:id="7" w:name="OLE_LINK48"/>
            <w:r>
              <w:rPr>
                <w:rFonts w:hint="eastAsia"/>
                <w:sz w:val="24"/>
              </w:rPr>
              <w:t>伍白兰</w:t>
            </w:r>
            <w:bookmarkEnd w:id="7"/>
          </w:p>
        </w:tc>
        <w:tc>
          <w:tcPr>
            <w:tcW w:w="2544" w:type="dxa"/>
            <w:vAlign w:val="center"/>
          </w:tcPr>
          <w:p w14:paraId="7056789A">
            <w:pPr>
              <w:adjustRightInd w:val="0"/>
              <w:snapToGrid w:val="0"/>
              <w:jc w:val="center"/>
              <w:rPr>
                <w:sz w:val="24"/>
              </w:rPr>
            </w:pPr>
            <w:r>
              <w:rPr>
                <w:rFonts w:hint="eastAsia"/>
                <w:b/>
                <w:bCs/>
                <w:sz w:val="24"/>
              </w:rPr>
              <w:t>联系方式</w:t>
            </w:r>
          </w:p>
        </w:tc>
        <w:tc>
          <w:tcPr>
            <w:tcW w:w="3038" w:type="dxa"/>
            <w:vAlign w:val="center"/>
          </w:tcPr>
          <w:p w14:paraId="4381FDE8">
            <w:pPr>
              <w:adjustRightInd w:val="0"/>
              <w:snapToGrid w:val="0"/>
              <w:jc w:val="center"/>
              <w:rPr>
                <w:sz w:val="24"/>
              </w:rPr>
            </w:pPr>
            <w:r>
              <w:rPr>
                <w:rFonts w:hint="eastAsia"/>
                <w:sz w:val="24"/>
              </w:rPr>
              <w:t>18774258400</w:t>
            </w:r>
          </w:p>
        </w:tc>
      </w:tr>
      <w:tr w14:paraId="512429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617E433A">
            <w:pPr>
              <w:adjustRightInd w:val="0"/>
              <w:snapToGrid w:val="0"/>
              <w:jc w:val="center"/>
              <w:rPr>
                <w:b/>
                <w:sz w:val="24"/>
              </w:rPr>
            </w:pPr>
            <w:r>
              <w:rPr>
                <w:b/>
                <w:sz w:val="24"/>
              </w:rPr>
              <w:t>建设地点</w:t>
            </w:r>
          </w:p>
        </w:tc>
        <w:tc>
          <w:tcPr>
            <w:tcW w:w="7907" w:type="dxa"/>
            <w:gridSpan w:val="3"/>
            <w:vAlign w:val="center"/>
          </w:tcPr>
          <w:p w14:paraId="07B6767C">
            <w:pPr>
              <w:adjustRightInd w:val="0"/>
              <w:snapToGrid w:val="0"/>
              <w:jc w:val="center"/>
              <w:rPr>
                <w:sz w:val="24"/>
              </w:rPr>
            </w:pPr>
            <w:r>
              <w:rPr>
                <w:rFonts w:hint="eastAsia"/>
                <w:sz w:val="24"/>
                <w:szCs w:val="28"/>
              </w:rPr>
              <w:t>湖南省衡阳市衡阳县西渡镇大勇村</w:t>
            </w:r>
          </w:p>
        </w:tc>
      </w:tr>
      <w:tr w14:paraId="4F3A48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68D4BE7F">
            <w:pPr>
              <w:adjustRightInd w:val="0"/>
              <w:snapToGrid w:val="0"/>
              <w:jc w:val="center"/>
              <w:rPr>
                <w:b/>
                <w:sz w:val="24"/>
              </w:rPr>
            </w:pPr>
            <w:r>
              <w:rPr>
                <w:b/>
                <w:sz w:val="24"/>
              </w:rPr>
              <w:t>地理坐标</w:t>
            </w:r>
          </w:p>
        </w:tc>
        <w:tc>
          <w:tcPr>
            <w:tcW w:w="7907" w:type="dxa"/>
            <w:gridSpan w:val="3"/>
            <w:vAlign w:val="center"/>
          </w:tcPr>
          <w:p w14:paraId="09CF7244">
            <w:pPr>
              <w:jc w:val="center"/>
              <w:rPr>
                <w:sz w:val="24"/>
              </w:rPr>
            </w:pPr>
            <w:r>
              <w:rPr>
                <w:sz w:val="24"/>
              </w:rPr>
              <w:t>（</w:t>
            </w:r>
            <w:r>
              <w:rPr>
                <w:rFonts w:hint="eastAsia"/>
                <w:sz w:val="24"/>
                <w:u w:val="single"/>
              </w:rPr>
              <w:t xml:space="preserve"> </w:t>
            </w:r>
            <w:r>
              <w:rPr>
                <w:sz w:val="24"/>
                <w:u w:val="single"/>
              </w:rPr>
              <w:t xml:space="preserve"> </w:t>
            </w:r>
            <w:r>
              <w:rPr>
                <w:rFonts w:hint="eastAsia"/>
                <w:sz w:val="24"/>
                <w:u w:val="single"/>
              </w:rPr>
              <w:t xml:space="preserve">112  </w:t>
            </w:r>
            <w:r>
              <w:rPr>
                <w:sz w:val="24"/>
              </w:rPr>
              <w:t>度</w:t>
            </w:r>
            <w:r>
              <w:rPr>
                <w:sz w:val="24"/>
                <w:u w:val="single"/>
              </w:rPr>
              <w:t xml:space="preserve">  </w:t>
            </w:r>
            <w:r>
              <w:rPr>
                <w:rFonts w:hint="eastAsia"/>
                <w:sz w:val="24"/>
                <w:u w:val="single"/>
              </w:rPr>
              <w:t xml:space="preserve">26 </w:t>
            </w:r>
            <w:r>
              <w:rPr>
                <w:sz w:val="24"/>
                <w:u w:val="single"/>
              </w:rPr>
              <w:t xml:space="preserve"> </w:t>
            </w:r>
            <w:r>
              <w:rPr>
                <w:sz w:val="24"/>
              </w:rPr>
              <w:t>分</w:t>
            </w:r>
            <w:r>
              <w:rPr>
                <w:sz w:val="24"/>
                <w:u w:val="single"/>
              </w:rPr>
              <w:t xml:space="preserve"> </w:t>
            </w:r>
            <w:r>
              <w:rPr>
                <w:rFonts w:hint="eastAsia"/>
                <w:sz w:val="24"/>
                <w:u w:val="single"/>
              </w:rPr>
              <w:t xml:space="preserve">57.985 </w:t>
            </w:r>
            <w:r>
              <w:rPr>
                <w:sz w:val="24"/>
                <w:u w:val="single"/>
              </w:rPr>
              <w:t xml:space="preserve"> </w:t>
            </w:r>
            <w:r>
              <w:rPr>
                <w:sz w:val="24"/>
              </w:rPr>
              <w:t>秒，</w:t>
            </w:r>
            <w:r>
              <w:rPr>
                <w:sz w:val="24"/>
                <w:u w:val="single"/>
              </w:rPr>
              <w:t xml:space="preserve"> </w:t>
            </w:r>
            <w:r>
              <w:rPr>
                <w:rFonts w:hint="eastAsia"/>
                <w:sz w:val="24"/>
                <w:u w:val="single"/>
              </w:rPr>
              <w:t xml:space="preserve"> 26</w:t>
            </w:r>
            <w:r>
              <w:rPr>
                <w:sz w:val="24"/>
                <w:u w:val="single"/>
              </w:rPr>
              <w:t xml:space="preserve">  </w:t>
            </w:r>
            <w:r>
              <w:rPr>
                <w:sz w:val="24"/>
              </w:rPr>
              <w:t>度</w:t>
            </w:r>
            <w:r>
              <w:rPr>
                <w:sz w:val="24"/>
                <w:u w:val="single"/>
              </w:rPr>
              <w:t xml:space="preserve">  </w:t>
            </w:r>
            <w:r>
              <w:rPr>
                <w:rFonts w:hint="eastAsia"/>
                <w:sz w:val="24"/>
                <w:u w:val="single"/>
              </w:rPr>
              <w:t xml:space="preserve">56  </w:t>
            </w:r>
            <w:r>
              <w:rPr>
                <w:sz w:val="24"/>
              </w:rPr>
              <w:t>分</w:t>
            </w:r>
            <w:r>
              <w:rPr>
                <w:sz w:val="24"/>
                <w:u w:val="single"/>
              </w:rPr>
              <w:t xml:space="preserve"> </w:t>
            </w:r>
            <w:r>
              <w:rPr>
                <w:rFonts w:hint="eastAsia"/>
                <w:sz w:val="24"/>
                <w:u w:val="single"/>
              </w:rPr>
              <w:t xml:space="preserve"> 40.320  </w:t>
            </w:r>
            <w:r>
              <w:rPr>
                <w:sz w:val="24"/>
              </w:rPr>
              <w:t>秒）</w:t>
            </w:r>
          </w:p>
        </w:tc>
      </w:tr>
      <w:tr w14:paraId="08BA39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0F746CD7">
            <w:pPr>
              <w:adjustRightInd w:val="0"/>
              <w:snapToGrid w:val="0"/>
              <w:jc w:val="center"/>
              <w:rPr>
                <w:b/>
                <w:sz w:val="24"/>
              </w:rPr>
            </w:pPr>
            <w:r>
              <w:rPr>
                <w:b/>
                <w:sz w:val="24"/>
              </w:rPr>
              <w:t>国民经济</w:t>
            </w:r>
          </w:p>
          <w:p w14:paraId="48F0C3DC">
            <w:pPr>
              <w:adjustRightInd w:val="0"/>
              <w:snapToGrid w:val="0"/>
              <w:jc w:val="center"/>
              <w:rPr>
                <w:b/>
                <w:sz w:val="24"/>
              </w:rPr>
            </w:pPr>
            <w:r>
              <w:rPr>
                <w:b/>
                <w:sz w:val="24"/>
              </w:rPr>
              <w:t>行业类别</w:t>
            </w:r>
          </w:p>
        </w:tc>
        <w:tc>
          <w:tcPr>
            <w:tcW w:w="2325" w:type="dxa"/>
            <w:vAlign w:val="center"/>
          </w:tcPr>
          <w:p w14:paraId="0011177D">
            <w:pPr>
              <w:adjustRightInd w:val="0"/>
              <w:snapToGrid w:val="0"/>
              <w:jc w:val="center"/>
              <w:rPr>
                <w:sz w:val="24"/>
              </w:rPr>
            </w:pPr>
            <w:r>
              <w:rPr>
                <w:rFonts w:hint="eastAsia"/>
                <w:sz w:val="24"/>
              </w:rPr>
              <w:t>C3099其他非金属矿物制品制造</w:t>
            </w:r>
          </w:p>
        </w:tc>
        <w:tc>
          <w:tcPr>
            <w:tcW w:w="2544" w:type="dxa"/>
            <w:vAlign w:val="center"/>
          </w:tcPr>
          <w:p w14:paraId="0A764245">
            <w:pPr>
              <w:adjustRightInd w:val="0"/>
              <w:snapToGrid w:val="0"/>
              <w:jc w:val="center"/>
              <w:rPr>
                <w:b/>
                <w:sz w:val="24"/>
              </w:rPr>
            </w:pPr>
            <w:bookmarkStart w:id="8" w:name="_Hlk49843745"/>
            <w:r>
              <w:rPr>
                <w:b/>
                <w:sz w:val="24"/>
              </w:rPr>
              <w:t>建设项目</w:t>
            </w:r>
          </w:p>
          <w:p w14:paraId="12AA27F0">
            <w:pPr>
              <w:adjustRightInd w:val="0"/>
              <w:snapToGrid w:val="0"/>
              <w:jc w:val="center"/>
              <w:rPr>
                <w:b/>
                <w:sz w:val="24"/>
              </w:rPr>
            </w:pPr>
            <w:r>
              <w:rPr>
                <w:b/>
                <w:sz w:val="24"/>
              </w:rPr>
              <w:t>行业类别</w:t>
            </w:r>
            <w:bookmarkEnd w:id="8"/>
          </w:p>
        </w:tc>
        <w:tc>
          <w:tcPr>
            <w:tcW w:w="3038" w:type="dxa"/>
            <w:vAlign w:val="center"/>
          </w:tcPr>
          <w:p w14:paraId="02F6A175">
            <w:pPr>
              <w:adjustRightInd w:val="0"/>
              <w:snapToGrid w:val="0"/>
              <w:jc w:val="center"/>
            </w:pPr>
            <w:r>
              <w:rPr>
                <w:rFonts w:hint="eastAsia"/>
                <w:sz w:val="24"/>
              </w:rPr>
              <w:t>二十七、非金属矿物制造业30，60石墨及其他非金属矿物制品制造 309，其他</w:t>
            </w:r>
          </w:p>
        </w:tc>
      </w:tr>
      <w:tr w14:paraId="46F7FA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352F35AE">
            <w:pPr>
              <w:adjustRightInd w:val="0"/>
              <w:snapToGrid w:val="0"/>
              <w:jc w:val="center"/>
              <w:rPr>
                <w:b/>
                <w:sz w:val="24"/>
              </w:rPr>
            </w:pPr>
            <w:r>
              <w:rPr>
                <w:b/>
                <w:sz w:val="24"/>
              </w:rPr>
              <w:t>建设性质</w:t>
            </w:r>
          </w:p>
        </w:tc>
        <w:tc>
          <w:tcPr>
            <w:tcW w:w="2325" w:type="dxa"/>
            <w:vAlign w:val="center"/>
          </w:tcPr>
          <w:p w14:paraId="2C6AC145">
            <w:pPr>
              <w:jc w:val="left"/>
              <w:rPr>
                <w:rFonts w:ascii="宋体" w:hAnsi="宋体"/>
                <w:sz w:val="24"/>
              </w:rPr>
            </w:pPr>
            <w:r>
              <w:rPr>
                <w:rFonts w:hint="eastAsia" w:ascii="宋体" w:hAnsi="宋体" w:cs="宋体"/>
                <w:sz w:val="24"/>
              </w:rPr>
              <w:sym w:font="Wingdings 2" w:char="0052"/>
            </w:r>
            <w:r>
              <w:rPr>
                <w:rFonts w:ascii="宋体" w:hAnsi="宋体"/>
                <w:sz w:val="24"/>
              </w:rPr>
              <w:t>新建（迁建）</w:t>
            </w:r>
          </w:p>
          <w:p w14:paraId="01817ECA">
            <w:pPr>
              <w:jc w:val="left"/>
              <w:rPr>
                <w:rFonts w:ascii="宋体" w:hAnsi="宋体"/>
                <w:sz w:val="24"/>
              </w:rPr>
            </w:pPr>
            <w:r>
              <w:rPr>
                <w:rFonts w:ascii="宋体" w:hAnsi="宋体"/>
                <w:sz w:val="24"/>
              </w:rPr>
              <w:t>□改建</w:t>
            </w:r>
          </w:p>
          <w:p w14:paraId="4B10C24A">
            <w:pPr>
              <w:jc w:val="left"/>
              <w:rPr>
                <w:rFonts w:ascii="宋体" w:hAnsi="宋体"/>
                <w:sz w:val="24"/>
              </w:rPr>
            </w:pPr>
            <w:r>
              <w:rPr>
                <w:rFonts w:ascii="宋体" w:hAnsi="宋体" w:cs="宋体"/>
                <w:sz w:val="24"/>
              </w:rPr>
              <w:t>□</w:t>
            </w:r>
            <w:r>
              <w:rPr>
                <w:rFonts w:ascii="宋体" w:hAnsi="宋体"/>
                <w:sz w:val="24"/>
              </w:rPr>
              <w:t>扩建</w:t>
            </w:r>
          </w:p>
          <w:p w14:paraId="74D62926">
            <w:pPr>
              <w:jc w:val="left"/>
              <w:rPr>
                <w:rFonts w:ascii="宋体" w:hAnsi="宋体"/>
                <w:sz w:val="24"/>
              </w:rPr>
            </w:pPr>
            <w:r>
              <w:rPr>
                <w:rFonts w:ascii="宋体" w:hAnsi="宋体"/>
                <w:sz w:val="24"/>
              </w:rPr>
              <w:t>□技术改造</w:t>
            </w:r>
          </w:p>
        </w:tc>
        <w:tc>
          <w:tcPr>
            <w:tcW w:w="2544" w:type="dxa"/>
            <w:vAlign w:val="center"/>
          </w:tcPr>
          <w:p w14:paraId="3C4E6CE5">
            <w:pPr>
              <w:adjustRightInd w:val="0"/>
              <w:snapToGrid w:val="0"/>
              <w:jc w:val="center"/>
              <w:rPr>
                <w:rFonts w:ascii="宋体" w:hAnsi="宋体"/>
                <w:b/>
                <w:sz w:val="24"/>
              </w:rPr>
            </w:pPr>
            <w:r>
              <w:rPr>
                <w:rFonts w:ascii="宋体" w:hAnsi="宋体"/>
                <w:b/>
                <w:sz w:val="24"/>
              </w:rPr>
              <w:t>建设项目</w:t>
            </w:r>
          </w:p>
          <w:p w14:paraId="564C80F2">
            <w:pPr>
              <w:adjustRightInd w:val="0"/>
              <w:snapToGrid w:val="0"/>
              <w:jc w:val="center"/>
              <w:rPr>
                <w:rFonts w:ascii="宋体" w:hAnsi="宋体"/>
                <w:b/>
                <w:sz w:val="24"/>
              </w:rPr>
            </w:pPr>
            <w:r>
              <w:rPr>
                <w:rFonts w:ascii="宋体" w:hAnsi="宋体"/>
                <w:b/>
                <w:sz w:val="24"/>
              </w:rPr>
              <w:t>申报情形</w:t>
            </w:r>
          </w:p>
        </w:tc>
        <w:tc>
          <w:tcPr>
            <w:tcW w:w="3038" w:type="dxa"/>
            <w:vAlign w:val="center"/>
          </w:tcPr>
          <w:p w14:paraId="6C82D57B">
            <w:pPr>
              <w:jc w:val="left"/>
              <w:rPr>
                <w:rFonts w:ascii="宋体" w:hAnsi="宋体"/>
                <w:sz w:val="24"/>
              </w:rPr>
            </w:pPr>
            <w:r>
              <w:rPr>
                <w:rFonts w:hint="eastAsia" w:ascii="宋体" w:hAnsi="宋体" w:cs="宋体"/>
                <w:sz w:val="24"/>
              </w:rPr>
              <w:sym w:font="Wingdings 2" w:char="0052"/>
            </w:r>
            <w:r>
              <w:rPr>
                <w:rFonts w:ascii="宋体" w:hAnsi="宋体"/>
                <w:sz w:val="24"/>
              </w:rPr>
              <w:t xml:space="preserve">首次申报项目             </w:t>
            </w:r>
          </w:p>
          <w:p w14:paraId="52A3BEB2">
            <w:pPr>
              <w:jc w:val="left"/>
              <w:rPr>
                <w:rFonts w:ascii="宋体" w:hAnsi="宋体"/>
                <w:sz w:val="24"/>
              </w:rPr>
            </w:pPr>
            <w:r>
              <w:rPr>
                <w:rFonts w:ascii="宋体" w:hAnsi="宋体"/>
                <w:sz w:val="24"/>
              </w:rPr>
              <w:t>□不予批准后再次申报项目</w:t>
            </w:r>
          </w:p>
          <w:p w14:paraId="02C56C92">
            <w:pPr>
              <w:jc w:val="left"/>
              <w:rPr>
                <w:rFonts w:ascii="宋体" w:hAnsi="宋体"/>
                <w:sz w:val="24"/>
              </w:rPr>
            </w:pPr>
            <w:r>
              <w:rPr>
                <w:rFonts w:ascii="宋体" w:hAnsi="宋体"/>
                <w:sz w:val="24"/>
              </w:rPr>
              <w:sym w:font="Wingdings 2" w:char="00A3"/>
            </w:r>
            <w:r>
              <w:rPr>
                <w:rFonts w:ascii="宋体" w:hAnsi="宋体"/>
                <w:sz w:val="24"/>
              </w:rPr>
              <w:t xml:space="preserve">超五年重新审核项目     </w:t>
            </w:r>
          </w:p>
          <w:p w14:paraId="6A78BD1A">
            <w:pPr>
              <w:jc w:val="left"/>
              <w:rPr>
                <w:rFonts w:ascii="宋体" w:hAnsi="宋体"/>
                <w:sz w:val="24"/>
              </w:rPr>
            </w:pPr>
            <w:r>
              <w:rPr>
                <w:rFonts w:ascii="宋体" w:hAnsi="宋体"/>
                <w:sz w:val="24"/>
              </w:rPr>
              <w:sym w:font="Wingdings 2" w:char="00A3"/>
            </w:r>
            <w:r>
              <w:rPr>
                <w:rFonts w:ascii="宋体" w:hAnsi="宋体"/>
                <w:sz w:val="24"/>
              </w:rPr>
              <w:t>重大变动重新报批项目</w:t>
            </w:r>
          </w:p>
        </w:tc>
      </w:tr>
      <w:tr w14:paraId="7BD3D5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08BA4D65">
            <w:pPr>
              <w:adjustRightInd w:val="0"/>
              <w:snapToGrid w:val="0"/>
              <w:jc w:val="center"/>
              <w:rPr>
                <w:b/>
                <w:sz w:val="24"/>
              </w:rPr>
            </w:pPr>
            <w:r>
              <w:rPr>
                <w:b/>
                <w:sz w:val="24"/>
              </w:rPr>
              <w:t>项目审批（核准/</w:t>
            </w:r>
          </w:p>
          <w:p w14:paraId="63DCE060">
            <w:pPr>
              <w:adjustRightInd w:val="0"/>
              <w:snapToGrid w:val="0"/>
              <w:jc w:val="center"/>
              <w:rPr>
                <w:b/>
                <w:sz w:val="24"/>
              </w:rPr>
            </w:pPr>
            <w:r>
              <w:rPr>
                <w:b/>
                <w:sz w:val="24"/>
              </w:rPr>
              <w:t>备案）部门（选填）</w:t>
            </w:r>
          </w:p>
        </w:tc>
        <w:tc>
          <w:tcPr>
            <w:tcW w:w="2325" w:type="dxa"/>
            <w:vAlign w:val="center"/>
          </w:tcPr>
          <w:p w14:paraId="79EC7264">
            <w:pPr>
              <w:adjustRightInd w:val="0"/>
              <w:snapToGrid w:val="0"/>
              <w:jc w:val="center"/>
              <w:rPr>
                <w:sz w:val="24"/>
              </w:rPr>
            </w:pPr>
            <w:r>
              <w:rPr>
                <w:rFonts w:hint="eastAsia"/>
                <w:sz w:val="24"/>
              </w:rPr>
              <w:t>湖南衡阳西渡高新技术产业园区管理委员会</w:t>
            </w:r>
          </w:p>
        </w:tc>
        <w:tc>
          <w:tcPr>
            <w:tcW w:w="2544" w:type="dxa"/>
            <w:vAlign w:val="center"/>
          </w:tcPr>
          <w:p w14:paraId="19DADD71">
            <w:pPr>
              <w:adjustRightInd w:val="0"/>
              <w:snapToGrid w:val="0"/>
              <w:jc w:val="center"/>
              <w:rPr>
                <w:b/>
                <w:bCs/>
                <w:sz w:val="24"/>
              </w:rPr>
            </w:pPr>
            <w:r>
              <w:rPr>
                <w:rFonts w:hint="eastAsia"/>
                <w:b/>
                <w:bCs/>
                <w:sz w:val="24"/>
              </w:rPr>
              <w:t>项目审批（核准/</w:t>
            </w:r>
          </w:p>
          <w:p w14:paraId="771C5592">
            <w:pPr>
              <w:adjustRightInd w:val="0"/>
              <w:snapToGrid w:val="0"/>
              <w:jc w:val="center"/>
              <w:rPr>
                <w:sz w:val="24"/>
              </w:rPr>
            </w:pPr>
            <w:r>
              <w:rPr>
                <w:rFonts w:hint="eastAsia"/>
                <w:b/>
                <w:bCs/>
                <w:sz w:val="24"/>
              </w:rPr>
              <w:t>备案）文号（选填）</w:t>
            </w:r>
          </w:p>
        </w:tc>
        <w:tc>
          <w:tcPr>
            <w:tcW w:w="3038" w:type="dxa"/>
            <w:vAlign w:val="center"/>
          </w:tcPr>
          <w:p w14:paraId="4F509923">
            <w:pPr>
              <w:adjustRightInd w:val="0"/>
              <w:snapToGrid w:val="0"/>
              <w:jc w:val="center"/>
              <w:rPr>
                <w:sz w:val="24"/>
              </w:rPr>
            </w:pPr>
            <w:r>
              <w:rPr>
                <w:rFonts w:hint="eastAsia"/>
                <w:sz w:val="24"/>
              </w:rPr>
              <w:t>蒸高新备案【2025】1号</w:t>
            </w:r>
          </w:p>
        </w:tc>
      </w:tr>
      <w:tr w14:paraId="7BACAC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66B49C10">
            <w:pPr>
              <w:adjustRightInd w:val="0"/>
              <w:snapToGrid w:val="0"/>
              <w:jc w:val="center"/>
              <w:rPr>
                <w:b/>
                <w:sz w:val="24"/>
              </w:rPr>
            </w:pPr>
            <w:r>
              <w:rPr>
                <w:b/>
                <w:sz w:val="24"/>
              </w:rPr>
              <w:t>总投资（万元）</w:t>
            </w:r>
          </w:p>
        </w:tc>
        <w:tc>
          <w:tcPr>
            <w:tcW w:w="2325" w:type="dxa"/>
            <w:vAlign w:val="center"/>
          </w:tcPr>
          <w:p w14:paraId="49240D58">
            <w:pPr>
              <w:adjustRightInd w:val="0"/>
              <w:snapToGrid w:val="0"/>
              <w:jc w:val="center"/>
              <w:rPr>
                <w:sz w:val="24"/>
              </w:rPr>
            </w:pPr>
            <w:r>
              <w:rPr>
                <w:rFonts w:hint="eastAsia"/>
                <w:sz w:val="24"/>
              </w:rPr>
              <w:t>200</w:t>
            </w:r>
          </w:p>
        </w:tc>
        <w:tc>
          <w:tcPr>
            <w:tcW w:w="2544" w:type="dxa"/>
            <w:tcMar>
              <w:top w:w="16" w:type="dxa"/>
              <w:left w:w="16" w:type="dxa"/>
              <w:right w:w="16" w:type="dxa"/>
            </w:tcMar>
            <w:vAlign w:val="center"/>
          </w:tcPr>
          <w:p w14:paraId="16FF7806">
            <w:pPr>
              <w:adjustRightInd w:val="0"/>
              <w:snapToGrid w:val="0"/>
              <w:jc w:val="center"/>
              <w:rPr>
                <w:b/>
                <w:sz w:val="24"/>
              </w:rPr>
            </w:pPr>
            <w:r>
              <w:rPr>
                <w:b/>
                <w:sz w:val="24"/>
              </w:rPr>
              <w:t>环保投资（万元）</w:t>
            </w:r>
          </w:p>
        </w:tc>
        <w:tc>
          <w:tcPr>
            <w:tcW w:w="3038" w:type="dxa"/>
            <w:vAlign w:val="center"/>
          </w:tcPr>
          <w:p w14:paraId="248A6F03">
            <w:pPr>
              <w:adjustRightInd w:val="0"/>
              <w:snapToGrid w:val="0"/>
              <w:jc w:val="center"/>
              <w:rPr>
                <w:sz w:val="24"/>
                <w:u w:val="wave"/>
              </w:rPr>
            </w:pPr>
            <w:r>
              <w:rPr>
                <w:rFonts w:hint="eastAsia"/>
                <w:sz w:val="24"/>
                <w:u w:val="wave"/>
              </w:rPr>
              <w:t>20</w:t>
            </w:r>
          </w:p>
        </w:tc>
      </w:tr>
      <w:tr w14:paraId="7A18CB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6EA71082">
            <w:pPr>
              <w:adjustRightInd w:val="0"/>
              <w:snapToGrid w:val="0"/>
              <w:jc w:val="center"/>
              <w:rPr>
                <w:b/>
                <w:sz w:val="24"/>
              </w:rPr>
            </w:pPr>
            <w:r>
              <w:rPr>
                <w:b/>
                <w:sz w:val="24"/>
              </w:rPr>
              <w:t>环保投资占比（%）</w:t>
            </w:r>
          </w:p>
        </w:tc>
        <w:tc>
          <w:tcPr>
            <w:tcW w:w="2325" w:type="dxa"/>
            <w:vAlign w:val="center"/>
          </w:tcPr>
          <w:p w14:paraId="31FB05F8">
            <w:pPr>
              <w:adjustRightInd w:val="0"/>
              <w:snapToGrid w:val="0"/>
              <w:jc w:val="center"/>
              <w:rPr>
                <w:sz w:val="24"/>
              </w:rPr>
            </w:pPr>
          </w:p>
        </w:tc>
        <w:tc>
          <w:tcPr>
            <w:tcW w:w="2544" w:type="dxa"/>
            <w:tcMar>
              <w:top w:w="16" w:type="dxa"/>
              <w:left w:w="16" w:type="dxa"/>
              <w:right w:w="16" w:type="dxa"/>
            </w:tcMar>
            <w:vAlign w:val="center"/>
          </w:tcPr>
          <w:p w14:paraId="583A1A07">
            <w:pPr>
              <w:adjustRightInd w:val="0"/>
              <w:snapToGrid w:val="0"/>
              <w:jc w:val="center"/>
              <w:rPr>
                <w:b/>
                <w:sz w:val="24"/>
              </w:rPr>
            </w:pPr>
            <w:r>
              <w:rPr>
                <w:b/>
                <w:sz w:val="24"/>
              </w:rPr>
              <w:t>施工工期</w:t>
            </w:r>
          </w:p>
        </w:tc>
        <w:tc>
          <w:tcPr>
            <w:tcW w:w="3038" w:type="dxa"/>
            <w:vAlign w:val="center"/>
          </w:tcPr>
          <w:p w14:paraId="1EE8AC0B">
            <w:pPr>
              <w:adjustRightInd w:val="0"/>
              <w:snapToGrid w:val="0"/>
              <w:jc w:val="center"/>
              <w:rPr>
                <w:sz w:val="24"/>
              </w:rPr>
            </w:pPr>
            <w:r>
              <w:rPr>
                <w:rFonts w:hint="eastAsia"/>
                <w:sz w:val="24"/>
              </w:rPr>
              <w:t>1个月</w:t>
            </w:r>
          </w:p>
        </w:tc>
      </w:tr>
      <w:tr w14:paraId="2D422E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99" w:type="dxa"/>
            <w:gridSpan w:val="2"/>
            <w:tcMar>
              <w:top w:w="16" w:type="dxa"/>
              <w:left w:w="16" w:type="dxa"/>
              <w:right w:w="16" w:type="dxa"/>
            </w:tcMar>
            <w:vAlign w:val="center"/>
          </w:tcPr>
          <w:p w14:paraId="12518A7D">
            <w:pPr>
              <w:adjustRightInd w:val="0"/>
              <w:snapToGrid w:val="0"/>
              <w:jc w:val="center"/>
              <w:rPr>
                <w:b/>
                <w:sz w:val="24"/>
              </w:rPr>
            </w:pPr>
            <w:r>
              <w:rPr>
                <w:b/>
                <w:sz w:val="24"/>
              </w:rPr>
              <w:t>是否开工建设</w:t>
            </w:r>
          </w:p>
        </w:tc>
        <w:tc>
          <w:tcPr>
            <w:tcW w:w="2325" w:type="dxa"/>
            <w:vAlign w:val="center"/>
          </w:tcPr>
          <w:p w14:paraId="48976B6C">
            <w:pPr>
              <w:adjustRightInd w:val="0"/>
              <w:snapToGrid w:val="0"/>
              <w:rPr>
                <w:sz w:val="24"/>
              </w:rPr>
            </w:pPr>
            <w:r>
              <w:rPr>
                <w:sz w:val="24"/>
              </w:rPr>
              <w:sym w:font="Wingdings 2" w:char="0052"/>
            </w:r>
            <w:r>
              <w:rPr>
                <w:sz w:val="24"/>
              </w:rPr>
              <w:t>否</w:t>
            </w:r>
          </w:p>
          <w:p w14:paraId="06E9F3E9">
            <w:pPr>
              <w:adjustRightInd w:val="0"/>
              <w:snapToGrid w:val="0"/>
              <w:rPr>
                <w:sz w:val="24"/>
              </w:rPr>
            </w:pPr>
            <w:r>
              <w:rPr>
                <w:rFonts w:hint="eastAsia" w:ascii="宋体" w:hAnsi="宋体" w:cs="宋体"/>
                <w:sz w:val="24"/>
              </w:rPr>
              <w:sym w:font="Wingdings 2" w:char="00A3"/>
            </w:r>
            <w:r>
              <w:rPr>
                <w:sz w:val="24"/>
              </w:rPr>
              <w:t>是：</w:t>
            </w:r>
            <w:r>
              <w:rPr>
                <w:rFonts w:hint="eastAsia"/>
                <w:sz w:val="24"/>
              </w:rPr>
              <w:t xml:space="preserve">        </w:t>
            </w:r>
          </w:p>
        </w:tc>
        <w:tc>
          <w:tcPr>
            <w:tcW w:w="2544" w:type="dxa"/>
            <w:tcMar>
              <w:top w:w="16" w:type="dxa"/>
              <w:left w:w="16" w:type="dxa"/>
              <w:right w:w="16" w:type="dxa"/>
            </w:tcMar>
            <w:vAlign w:val="center"/>
          </w:tcPr>
          <w:p w14:paraId="2BB2EDE4">
            <w:pPr>
              <w:adjustRightInd w:val="0"/>
              <w:snapToGrid w:val="0"/>
              <w:jc w:val="center"/>
              <w:rPr>
                <w:b/>
                <w:spacing w:val="-6"/>
                <w:sz w:val="24"/>
              </w:rPr>
            </w:pPr>
            <w:r>
              <w:rPr>
                <w:b/>
                <w:spacing w:val="-6"/>
                <w:sz w:val="24"/>
              </w:rPr>
              <w:t>用地（用海）</w:t>
            </w:r>
          </w:p>
          <w:p w14:paraId="07E38230">
            <w:pPr>
              <w:adjustRightInd w:val="0"/>
              <w:snapToGrid w:val="0"/>
              <w:jc w:val="center"/>
              <w:rPr>
                <w:b/>
                <w:sz w:val="24"/>
              </w:rPr>
            </w:pPr>
            <w:r>
              <w:rPr>
                <w:b/>
                <w:spacing w:val="-6"/>
                <w:sz w:val="24"/>
              </w:rPr>
              <w:t>面积（m</w:t>
            </w:r>
            <w:r>
              <w:rPr>
                <w:b/>
                <w:spacing w:val="-6"/>
                <w:sz w:val="24"/>
                <w:vertAlign w:val="superscript"/>
              </w:rPr>
              <w:t>2</w:t>
            </w:r>
            <w:r>
              <w:rPr>
                <w:b/>
                <w:spacing w:val="-6"/>
                <w:sz w:val="24"/>
              </w:rPr>
              <w:t>）</w:t>
            </w:r>
          </w:p>
        </w:tc>
        <w:tc>
          <w:tcPr>
            <w:tcW w:w="3038" w:type="dxa"/>
            <w:vAlign w:val="center"/>
          </w:tcPr>
          <w:p w14:paraId="77503925">
            <w:pPr>
              <w:adjustRightInd w:val="0"/>
              <w:snapToGrid w:val="0"/>
              <w:jc w:val="center"/>
              <w:rPr>
                <w:sz w:val="24"/>
              </w:rPr>
            </w:pPr>
            <w:r>
              <w:rPr>
                <w:rFonts w:hint="eastAsia"/>
                <w:kern w:val="0"/>
                <w:sz w:val="24"/>
              </w:rPr>
              <w:t>租赁面积2793</w:t>
            </w:r>
            <w:r>
              <w:rPr>
                <w:sz w:val="24"/>
              </w:rPr>
              <w:t>m</w:t>
            </w:r>
            <w:r>
              <w:rPr>
                <w:sz w:val="24"/>
                <w:vertAlign w:val="superscript"/>
              </w:rPr>
              <w:t>2</w:t>
            </w:r>
          </w:p>
        </w:tc>
      </w:tr>
      <w:tr w14:paraId="4D2E49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23" w:type="dxa"/>
            <w:vAlign w:val="center"/>
          </w:tcPr>
          <w:p w14:paraId="26ED4AC7">
            <w:pPr>
              <w:autoSpaceDE w:val="0"/>
              <w:autoSpaceDN w:val="0"/>
              <w:adjustRightInd w:val="0"/>
              <w:snapToGrid w:val="0"/>
              <w:jc w:val="center"/>
              <w:rPr>
                <w:b/>
                <w:kern w:val="0"/>
                <w:sz w:val="24"/>
              </w:rPr>
            </w:pPr>
            <w:r>
              <w:rPr>
                <w:b/>
                <w:kern w:val="0"/>
                <w:sz w:val="24"/>
              </w:rPr>
              <w:t>专项评价设置情况</w:t>
            </w:r>
          </w:p>
        </w:tc>
        <w:tc>
          <w:tcPr>
            <w:tcW w:w="9383" w:type="dxa"/>
            <w:gridSpan w:val="4"/>
            <w:vAlign w:val="center"/>
          </w:tcPr>
          <w:p w14:paraId="24649096">
            <w:pPr>
              <w:autoSpaceDE w:val="0"/>
              <w:autoSpaceDN w:val="0"/>
              <w:adjustRightInd w:val="0"/>
              <w:snapToGrid w:val="0"/>
              <w:spacing w:line="360" w:lineRule="auto"/>
              <w:ind w:firstLine="480" w:firstLineChars="200"/>
              <w:rPr>
                <w:rFonts w:hAnsiTheme="minorEastAsia" w:eastAsiaTheme="minorEastAsia"/>
                <w:sz w:val="24"/>
                <w:szCs w:val="22"/>
              </w:rPr>
            </w:pPr>
            <w:r>
              <w:rPr>
                <w:rFonts w:hint="eastAsia" w:hAnsiTheme="minorEastAsia" w:eastAsiaTheme="minorEastAsia"/>
                <w:sz w:val="24"/>
                <w:szCs w:val="22"/>
              </w:rPr>
              <w:t>根据《建设项目环境影响报告表编制技术指南（污染影响类）（试行）》以及项目排污情况、所涉环境敏感程度，确定专项评价的类别。本项目的专项评价设置情况见下表：</w:t>
            </w:r>
          </w:p>
          <w:p w14:paraId="7B421C4F">
            <w:pPr>
              <w:autoSpaceDE w:val="0"/>
              <w:autoSpaceDN w:val="0"/>
              <w:adjustRightInd w:val="0"/>
              <w:snapToGrid w:val="0"/>
              <w:spacing w:before="120" w:beforeLines="50"/>
              <w:jc w:val="center"/>
              <w:rPr>
                <w:b/>
                <w:bCs/>
              </w:rPr>
            </w:pPr>
            <w:r>
              <w:rPr>
                <w:b/>
              </w:rPr>
              <w:t>表</w:t>
            </w:r>
            <w:r>
              <w:rPr>
                <w:rFonts w:hint="eastAsia"/>
                <w:b/>
              </w:rPr>
              <w:t xml:space="preserve">1-1  </w:t>
            </w:r>
            <w:r>
              <w:rPr>
                <w:rFonts w:hint="eastAsia"/>
                <w:b/>
                <w:bCs/>
              </w:rPr>
              <w:t>专项评价设置原则</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62"/>
              <w:gridCol w:w="4101"/>
              <w:gridCol w:w="3061"/>
              <w:gridCol w:w="813"/>
            </w:tblGrid>
            <w:tr w14:paraId="11996D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3F5A7654">
                  <w:pPr>
                    <w:autoSpaceDE w:val="0"/>
                    <w:autoSpaceDN w:val="0"/>
                    <w:adjustRightInd w:val="0"/>
                    <w:snapToGrid w:val="0"/>
                    <w:jc w:val="center"/>
                    <w:rPr>
                      <w:rFonts w:eastAsiaTheme="minorEastAsia"/>
                      <w:b/>
                      <w:bCs/>
                    </w:rPr>
                  </w:pPr>
                  <w:r>
                    <w:rPr>
                      <w:rFonts w:hAnsiTheme="minorEastAsia" w:eastAsiaTheme="minorEastAsia"/>
                      <w:b/>
                      <w:bCs/>
                    </w:rPr>
                    <w:t>专项评价类别</w:t>
                  </w:r>
                </w:p>
              </w:tc>
              <w:tc>
                <w:tcPr>
                  <w:tcW w:w="2244" w:type="pct"/>
                  <w:vAlign w:val="center"/>
                </w:tcPr>
                <w:p w14:paraId="43FBD41E">
                  <w:pPr>
                    <w:autoSpaceDE w:val="0"/>
                    <w:autoSpaceDN w:val="0"/>
                    <w:adjustRightInd w:val="0"/>
                    <w:snapToGrid w:val="0"/>
                    <w:jc w:val="center"/>
                    <w:rPr>
                      <w:rFonts w:eastAsiaTheme="minorEastAsia"/>
                      <w:b/>
                      <w:bCs/>
                    </w:rPr>
                  </w:pPr>
                  <w:r>
                    <w:rPr>
                      <w:rFonts w:hAnsiTheme="minorEastAsia" w:eastAsiaTheme="minorEastAsia"/>
                      <w:b/>
                      <w:bCs/>
                    </w:rPr>
                    <w:t>设置原则</w:t>
                  </w:r>
                </w:p>
              </w:tc>
              <w:tc>
                <w:tcPr>
                  <w:tcW w:w="1675" w:type="pct"/>
                  <w:vAlign w:val="center"/>
                </w:tcPr>
                <w:p w14:paraId="7E8B9126">
                  <w:pPr>
                    <w:autoSpaceDE w:val="0"/>
                    <w:autoSpaceDN w:val="0"/>
                    <w:adjustRightInd w:val="0"/>
                    <w:snapToGrid w:val="0"/>
                    <w:jc w:val="center"/>
                    <w:rPr>
                      <w:rFonts w:eastAsiaTheme="minorEastAsia"/>
                      <w:b/>
                      <w:bCs/>
                    </w:rPr>
                  </w:pPr>
                  <w:r>
                    <w:rPr>
                      <w:rFonts w:hAnsiTheme="minorEastAsia" w:eastAsiaTheme="minorEastAsia"/>
                      <w:b/>
                      <w:bCs/>
                    </w:rPr>
                    <w:t>项目情况</w:t>
                  </w:r>
                </w:p>
              </w:tc>
              <w:tc>
                <w:tcPr>
                  <w:tcW w:w="445" w:type="pct"/>
                  <w:vAlign w:val="center"/>
                </w:tcPr>
                <w:p w14:paraId="19BCCB4E">
                  <w:pPr>
                    <w:autoSpaceDE w:val="0"/>
                    <w:autoSpaceDN w:val="0"/>
                    <w:adjustRightInd w:val="0"/>
                    <w:snapToGrid w:val="0"/>
                    <w:jc w:val="center"/>
                    <w:rPr>
                      <w:rFonts w:eastAsiaTheme="minorEastAsia"/>
                      <w:b/>
                      <w:bCs/>
                    </w:rPr>
                  </w:pPr>
                  <w:r>
                    <w:rPr>
                      <w:rFonts w:hAnsiTheme="minorEastAsia" w:eastAsiaTheme="minorEastAsia"/>
                      <w:b/>
                      <w:bCs/>
                    </w:rPr>
                    <w:t>判定结果</w:t>
                  </w:r>
                </w:p>
              </w:tc>
            </w:tr>
            <w:tr w14:paraId="2DA605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1C14016C">
                  <w:pPr>
                    <w:autoSpaceDE w:val="0"/>
                    <w:autoSpaceDN w:val="0"/>
                    <w:adjustRightInd w:val="0"/>
                    <w:snapToGrid w:val="0"/>
                    <w:jc w:val="center"/>
                    <w:rPr>
                      <w:rFonts w:eastAsiaTheme="minorEastAsia"/>
                      <w:bCs/>
                    </w:rPr>
                  </w:pPr>
                  <w:r>
                    <w:rPr>
                      <w:rFonts w:hAnsiTheme="minorEastAsia" w:eastAsiaTheme="minorEastAsia"/>
                      <w:bCs/>
                    </w:rPr>
                    <w:t>大气</w:t>
                  </w:r>
                </w:p>
              </w:tc>
              <w:tc>
                <w:tcPr>
                  <w:tcW w:w="2244" w:type="pct"/>
                  <w:vAlign w:val="center"/>
                </w:tcPr>
                <w:p w14:paraId="76161B7E">
                  <w:pPr>
                    <w:autoSpaceDE w:val="0"/>
                    <w:autoSpaceDN w:val="0"/>
                    <w:adjustRightInd w:val="0"/>
                    <w:snapToGrid w:val="0"/>
                    <w:jc w:val="center"/>
                    <w:rPr>
                      <w:rFonts w:eastAsiaTheme="minorEastAsia"/>
                      <w:bCs/>
                    </w:rPr>
                  </w:pPr>
                  <w:r>
                    <w:rPr>
                      <w:rFonts w:hAnsiTheme="minorEastAsia" w:eastAsiaTheme="minorEastAsia"/>
                      <w:bCs/>
                    </w:rPr>
                    <w:t>排放废气含有毒有害污染物、二噁英、苯并</w:t>
                  </w:r>
                  <w:r>
                    <w:rPr>
                      <w:rFonts w:eastAsiaTheme="minorEastAsia"/>
                      <w:bCs/>
                    </w:rPr>
                    <w:t>[a]</w:t>
                  </w:r>
                  <w:r>
                    <w:rPr>
                      <w:rFonts w:hAnsiTheme="minorEastAsia" w:eastAsiaTheme="minorEastAsia"/>
                      <w:bCs/>
                    </w:rPr>
                    <w:t>芘、氰化物、氯气且厂界外</w:t>
                  </w:r>
                  <w:r>
                    <w:rPr>
                      <w:rFonts w:eastAsiaTheme="minorEastAsia"/>
                      <w:bCs/>
                    </w:rPr>
                    <w:t>500</w:t>
                  </w:r>
                  <w:r>
                    <w:rPr>
                      <w:rFonts w:hAnsiTheme="minorEastAsia" w:eastAsiaTheme="minorEastAsia"/>
                      <w:bCs/>
                    </w:rPr>
                    <w:t>米范围内有环境空气保护目标的建设项目</w:t>
                  </w:r>
                </w:p>
              </w:tc>
              <w:tc>
                <w:tcPr>
                  <w:tcW w:w="1675" w:type="pct"/>
                  <w:vAlign w:val="center"/>
                </w:tcPr>
                <w:p w14:paraId="561817D2">
                  <w:pPr>
                    <w:autoSpaceDE w:val="0"/>
                    <w:autoSpaceDN w:val="0"/>
                    <w:adjustRightInd w:val="0"/>
                    <w:snapToGrid w:val="0"/>
                    <w:jc w:val="center"/>
                    <w:rPr>
                      <w:rFonts w:eastAsiaTheme="minorEastAsia"/>
                      <w:bCs/>
                    </w:rPr>
                  </w:pPr>
                  <w:r>
                    <w:rPr>
                      <w:rFonts w:hAnsiTheme="minorEastAsia" w:eastAsiaTheme="minorEastAsia"/>
                      <w:bCs/>
                    </w:rPr>
                    <w:t>排放的大气污染物不含有毒有害污染物、二噁英、苯并</w:t>
                  </w:r>
                  <w:r>
                    <w:rPr>
                      <w:rFonts w:eastAsiaTheme="minorEastAsia"/>
                      <w:bCs/>
                    </w:rPr>
                    <w:t>[a]</w:t>
                  </w:r>
                  <w:r>
                    <w:rPr>
                      <w:rFonts w:hAnsiTheme="minorEastAsia" w:eastAsiaTheme="minorEastAsia"/>
                      <w:bCs/>
                    </w:rPr>
                    <w:t>芘、氰化物、氯气等物质</w:t>
                  </w:r>
                </w:p>
              </w:tc>
              <w:tc>
                <w:tcPr>
                  <w:tcW w:w="445" w:type="pct"/>
                  <w:vAlign w:val="center"/>
                </w:tcPr>
                <w:p w14:paraId="17AB4C56">
                  <w:pPr>
                    <w:autoSpaceDE w:val="0"/>
                    <w:autoSpaceDN w:val="0"/>
                    <w:adjustRightInd w:val="0"/>
                    <w:snapToGrid w:val="0"/>
                    <w:jc w:val="center"/>
                    <w:rPr>
                      <w:rFonts w:eastAsiaTheme="minorEastAsia"/>
                      <w:bCs/>
                    </w:rPr>
                  </w:pPr>
                  <w:r>
                    <w:rPr>
                      <w:rFonts w:hAnsiTheme="minorEastAsia" w:eastAsiaTheme="minorEastAsia"/>
                      <w:bCs/>
                    </w:rPr>
                    <w:t>无需设置</w:t>
                  </w:r>
                </w:p>
              </w:tc>
            </w:tr>
            <w:tr w14:paraId="66674F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2B533D20">
                  <w:pPr>
                    <w:autoSpaceDE w:val="0"/>
                    <w:autoSpaceDN w:val="0"/>
                    <w:adjustRightInd w:val="0"/>
                    <w:snapToGrid w:val="0"/>
                    <w:jc w:val="center"/>
                    <w:rPr>
                      <w:rFonts w:eastAsiaTheme="minorEastAsia"/>
                      <w:bCs/>
                    </w:rPr>
                  </w:pPr>
                  <w:r>
                    <w:rPr>
                      <w:rFonts w:hAnsiTheme="minorEastAsia" w:eastAsiaTheme="minorEastAsia"/>
                      <w:bCs/>
                    </w:rPr>
                    <w:t>地表水</w:t>
                  </w:r>
                </w:p>
              </w:tc>
              <w:tc>
                <w:tcPr>
                  <w:tcW w:w="2244" w:type="pct"/>
                  <w:vAlign w:val="center"/>
                </w:tcPr>
                <w:p w14:paraId="3A310C40">
                  <w:pPr>
                    <w:autoSpaceDE w:val="0"/>
                    <w:autoSpaceDN w:val="0"/>
                    <w:adjustRightInd w:val="0"/>
                    <w:snapToGrid w:val="0"/>
                    <w:jc w:val="center"/>
                    <w:rPr>
                      <w:rFonts w:eastAsiaTheme="minorEastAsia"/>
                      <w:bCs/>
                    </w:rPr>
                  </w:pPr>
                  <w:r>
                    <w:rPr>
                      <w:rFonts w:hAnsiTheme="minorEastAsia" w:eastAsiaTheme="minorEastAsia"/>
                      <w:bCs/>
                    </w:rPr>
                    <w:t>新增工业废水直接排放建设项目（槽罐车外送至污水处理厂的除外）；新增废水直排的污水集中处理厂</w:t>
                  </w:r>
                </w:p>
              </w:tc>
              <w:tc>
                <w:tcPr>
                  <w:tcW w:w="1675" w:type="pct"/>
                  <w:vAlign w:val="center"/>
                </w:tcPr>
                <w:p w14:paraId="5FBABE0E">
                  <w:pPr>
                    <w:autoSpaceDE w:val="0"/>
                    <w:autoSpaceDN w:val="0"/>
                    <w:adjustRightInd w:val="0"/>
                    <w:snapToGrid w:val="0"/>
                    <w:jc w:val="center"/>
                    <w:rPr>
                      <w:rFonts w:eastAsiaTheme="minorEastAsia"/>
                      <w:bCs/>
                    </w:rPr>
                  </w:pPr>
                  <w:r>
                    <w:rPr>
                      <w:rFonts w:hAnsiTheme="minorEastAsia" w:eastAsiaTheme="minorEastAsia"/>
                      <w:bCs/>
                    </w:rPr>
                    <w:t>项目不涉及工业废水直接排放</w:t>
                  </w:r>
                </w:p>
              </w:tc>
              <w:tc>
                <w:tcPr>
                  <w:tcW w:w="445" w:type="pct"/>
                  <w:vAlign w:val="center"/>
                </w:tcPr>
                <w:p w14:paraId="276BB7BC">
                  <w:pPr>
                    <w:autoSpaceDE w:val="0"/>
                    <w:autoSpaceDN w:val="0"/>
                    <w:adjustRightInd w:val="0"/>
                    <w:snapToGrid w:val="0"/>
                    <w:jc w:val="center"/>
                    <w:rPr>
                      <w:rFonts w:eastAsiaTheme="minorEastAsia"/>
                      <w:bCs/>
                    </w:rPr>
                  </w:pPr>
                  <w:r>
                    <w:rPr>
                      <w:rFonts w:hAnsiTheme="minorEastAsia" w:eastAsiaTheme="minorEastAsia"/>
                      <w:bCs/>
                    </w:rPr>
                    <w:t>无需设置</w:t>
                  </w:r>
                </w:p>
              </w:tc>
            </w:tr>
            <w:tr w14:paraId="03156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431D0636">
                  <w:pPr>
                    <w:autoSpaceDE w:val="0"/>
                    <w:autoSpaceDN w:val="0"/>
                    <w:adjustRightInd w:val="0"/>
                    <w:snapToGrid w:val="0"/>
                    <w:jc w:val="center"/>
                    <w:rPr>
                      <w:rFonts w:eastAsiaTheme="minorEastAsia"/>
                      <w:bCs/>
                    </w:rPr>
                  </w:pPr>
                  <w:r>
                    <w:rPr>
                      <w:rFonts w:hAnsiTheme="minorEastAsia" w:eastAsiaTheme="minorEastAsia"/>
                      <w:bCs/>
                    </w:rPr>
                    <w:t>环境风险</w:t>
                  </w:r>
                </w:p>
              </w:tc>
              <w:tc>
                <w:tcPr>
                  <w:tcW w:w="2244" w:type="pct"/>
                  <w:vAlign w:val="center"/>
                </w:tcPr>
                <w:p w14:paraId="645B9FE9">
                  <w:pPr>
                    <w:autoSpaceDE w:val="0"/>
                    <w:autoSpaceDN w:val="0"/>
                    <w:adjustRightInd w:val="0"/>
                    <w:snapToGrid w:val="0"/>
                    <w:jc w:val="center"/>
                    <w:rPr>
                      <w:rFonts w:eastAsiaTheme="minorEastAsia"/>
                      <w:bCs/>
                    </w:rPr>
                  </w:pPr>
                  <w:r>
                    <w:rPr>
                      <w:rFonts w:hAnsiTheme="minorEastAsia" w:eastAsiaTheme="minorEastAsia"/>
                      <w:bCs/>
                    </w:rPr>
                    <w:t>有毒有害和易燃易爆危险物质存储量超过临界量的建设项目</w:t>
                  </w:r>
                </w:p>
              </w:tc>
              <w:tc>
                <w:tcPr>
                  <w:tcW w:w="1675" w:type="pct"/>
                  <w:vAlign w:val="center"/>
                </w:tcPr>
                <w:p w14:paraId="6C0DFCEA">
                  <w:pPr>
                    <w:autoSpaceDE w:val="0"/>
                    <w:autoSpaceDN w:val="0"/>
                    <w:adjustRightInd w:val="0"/>
                    <w:snapToGrid w:val="0"/>
                    <w:jc w:val="center"/>
                    <w:rPr>
                      <w:rFonts w:eastAsiaTheme="minorEastAsia"/>
                      <w:bCs/>
                    </w:rPr>
                  </w:pPr>
                  <w:r>
                    <w:rPr>
                      <w:rFonts w:hAnsiTheme="minorEastAsia" w:eastAsiaTheme="minorEastAsia"/>
                      <w:bCs/>
                    </w:rPr>
                    <w:t>危险物质存储量未超过临界量</w:t>
                  </w:r>
                </w:p>
              </w:tc>
              <w:tc>
                <w:tcPr>
                  <w:tcW w:w="445" w:type="pct"/>
                  <w:vAlign w:val="center"/>
                </w:tcPr>
                <w:p w14:paraId="25440161">
                  <w:pPr>
                    <w:autoSpaceDE w:val="0"/>
                    <w:autoSpaceDN w:val="0"/>
                    <w:adjustRightInd w:val="0"/>
                    <w:snapToGrid w:val="0"/>
                    <w:jc w:val="center"/>
                    <w:rPr>
                      <w:rFonts w:eastAsiaTheme="minorEastAsia"/>
                      <w:bCs/>
                    </w:rPr>
                  </w:pPr>
                  <w:r>
                    <w:rPr>
                      <w:rFonts w:hAnsiTheme="minorEastAsia" w:eastAsiaTheme="minorEastAsia"/>
                      <w:bCs/>
                    </w:rPr>
                    <w:t>无需设置</w:t>
                  </w:r>
                </w:p>
              </w:tc>
            </w:tr>
            <w:tr w14:paraId="69A31C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04160DB5">
                  <w:pPr>
                    <w:autoSpaceDE w:val="0"/>
                    <w:autoSpaceDN w:val="0"/>
                    <w:adjustRightInd w:val="0"/>
                    <w:snapToGrid w:val="0"/>
                    <w:jc w:val="center"/>
                    <w:rPr>
                      <w:rFonts w:eastAsiaTheme="minorEastAsia"/>
                      <w:bCs/>
                    </w:rPr>
                  </w:pPr>
                  <w:r>
                    <w:rPr>
                      <w:rFonts w:hAnsiTheme="minorEastAsia" w:eastAsiaTheme="minorEastAsia"/>
                      <w:bCs/>
                    </w:rPr>
                    <w:t>生态</w:t>
                  </w:r>
                </w:p>
              </w:tc>
              <w:tc>
                <w:tcPr>
                  <w:tcW w:w="2244" w:type="pct"/>
                  <w:vAlign w:val="center"/>
                </w:tcPr>
                <w:p w14:paraId="2493DCC0">
                  <w:pPr>
                    <w:autoSpaceDE w:val="0"/>
                    <w:autoSpaceDN w:val="0"/>
                    <w:adjustRightInd w:val="0"/>
                    <w:snapToGrid w:val="0"/>
                    <w:jc w:val="center"/>
                    <w:rPr>
                      <w:rFonts w:eastAsiaTheme="minorEastAsia"/>
                      <w:bCs/>
                    </w:rPr>
                  </w:pPr>
                  <w:r>
                    <w:rPr>
                      <w:rFonts w:hAnsiTheme="minorEastAsia" w:eastAsiaTheme="minorEastAsia"/>
                      <w:bCs/>
                    </w:rPr>
                    <w:t>取水口下游</w:t>
                  </w:r>
                  <w:r>
                    <w:rPr>
                      <w:rFonts w:eastAsiaTheme="minorEastAsia"/>
                      <w:bCs/>
                    </w:rPr>
                    <w:t>500</w:t>
                  </w:r>
                  <w:r>
                    <w:rPr>
                      <w:rFonts w:hAnsiTheme="minorEastAsia" w:eastAsiaTheme="minorEastAsia"/>
                      <w:bCs/>
                    </w:rPr>
                    <w:t>米范围内有重要水生生物的自然产卵场、索饵场、越冬场和洄游通道的新增河道取水的污染类建设项目</w:t>
                  </w:r>
                </w:p>
              </w:tc>
              <w:tc>
                <w:tcPr>
                  <w:tcW w:w="1675" w:type="pct"/>
                  <w:vAlign w:val="center"/>
                </w:tcPr>
                <w:p w14:paraId="5DA8769B">
                  <w:pPr>
                    <w:autoSpaceDE w:val="0"/>
                    <w:autoSpaceDN w:val="0"/>
                    <w:adjustRightInd w:val="0"/>
                    <w:snapToGrid w:val="0"/>
                    <w:jc w:val="center"/>
                    <w:rPr>
                      <w:rFonts w:eastAsiaTheme="minorEastAsia"/>
                      <w:bCs/>
                    </w:rPr>
                  </w:pPr>
                  <w:r>
                    <w:rPr>
                      <w:rFonts w:hAnsiTheme="minorEastAsia" w:eastAsiaTheme="minorEastAsia"/>
                    </w:rPr>
                    <w:t>不涉及取水口</w:t>
                  </w:r>
                </w:p>
              </w:tc>
              <w:tc>
                <w:tcPr>
                  <w:tcW w:w="445" w:type="pct"/>
                  <w:vAlign w:val="center"/>
                </w:tcPr>
                <w:p w14:paraId="35AAA40F">
                  <w:pPr>
                    <w:autoSpaceDE w:val="0"/>
                    <w:autoSpaceDN w:val="0"/>
                    <w:adjustRightInd w:val="0"/>
                    <w:snapToGrid w:val="0"/>
                    <w:jc w:val="center"/>
                    <w:rPr>
                      <w:rFonts w:eastAsiaTheme="minorEastAsia"/>
                    </w:rPr>
                  </w:pPr>
                  <w:r>
                    <w:rPr>
                      <w:rFonts w:hAnsiTheme="minorEastAsia" w:eastAsiaTheme="minorEastAsia"/>
                      <w:bCs/>
                    </w:rPr>
                    <w:t>无需设置</w:t>
                  </w:r>
                </w:p>
              </w:tc>
            </w:tr>
            <w:tr w14:paraId="1D1AA5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36" w:type="pct"/>
                  <w:vAlign w:val="center"/>
                </w:tcPr>
                <w:p w14:paraId="2E4CB962">
                  <w:pPr>
                    <w:autoSpaceDE w:val="0"/>
                    <w:autoSpaceDN w:val="0"/>
                    <w:adjustRightInd w:val="0"/>
                    <w:snapToGrid w:val="0"/>
                    <w:jc w:val="center"/>
                    <w:rPr>
                      <w:rFonts w:eastAsiaTheme="minorEastAsia"/>
                      <w:bCs/>
                    </w:rPr>
                  </w:pPr>
                  <w:r>
                    <w:rPr>
                      <w:rFonts w:hAnsiTheme="minorEastAsia" w:eastAsiaTheme="minorEastAsia"/>
                      <w:bCs/>
                    </w:rPr>
                    <w:t>海洋</w:t>
                  </w:r>
                </w:p>
              </w:tc>
              <w:tc>
                <w:tcPr>
                  <w:tcW w:w="2244" w:type="pct"/>
                  <w:vAlign w:val="center"/>
                </w:tcPr>
                <w:p w14:paraId="4F369193">
                  <w:pPr>
                    <w:autoSpaceDE w:val="0"/>
                    <w:autoSpaceDN w:val="0"/>
                    <w:adjustRightInd w:val="0"/>
                    <w:snapToGrid w:val="0"/>
                    <w:jc w:val="center"/>
                    <w:rPr>
                      <w:rFonts w:eastAsiaTheme="minorEastAsia"/>
                      <w:bCs/>
                    </w:rPr>
                  </w:pPr>
                  <w:r>
                    <w:rPr>
                      <w:rFonts w:hAnsiTheme="minorEastAsia" w:eastAsiaTheme="minorEastAsia"/>
                      <w:bCs/>
                    </w:rPr>
                    <w:t>直接向海排放污染物的海洋工程建设项目</w:t>
                  </w:r>
                </w:p>
              </w:tc>
              <w:tc>
                <w:tcPr>
                  <w:tcW w:w="1675" w:type="pct"/>
                  <w:vAlign w:val="center"/>
                </w:tcPr>
                <w:p w14:paraId="2F015D2F">
                  <w:pPr>
                    <w:autoSpaceDE w:val="0"/>
                    <w:autoSpaceDN w:val="0"/>
                    <w:adjustRightInd w:val="0"/>
                    <w:snapToGrid w:val="0"/>
                    <w:jc w:val="center"/>
                    <w:rPr>
                      <w:rFonts w:eastAsiaTheme="minorEastAsia"/>
                      <w:bCs/>
                    </w:rPr>
                  </w:pPr>
                  <w:r>
                    <w:rPr>
                      <w:rFonts w:hAnsiTheme="minorEastAsia" w:eastAsiaTheme="minorEastAsia"/>
                    </w:rPr>
                    <w:t>不涉及向海洋排放污染物</w:t>
                  </w:r>
                </w:p>
              </w:tc>
              <w:tc>
                <w:tcPr>
                  <w:tcW w:w="445" w:type="pct"/>
                  <w:vAlign w:val="center"/>
                </w:tcPr>
                <w:p w14:paraId="3D63C794">
                  <w:pPr>
                    <w:autoSpaceDE w:val="0"/>
                    <w:autoSpaceDN w:val="0"/>
                    <w:adjustRightInd w:val="0"/>
                    <w:snapToGrid w:val="0"/>
                    <w:jc w:val="center"/>
                    <w:rPr>
                      <w:rFonts w:eastAsiaTheme="minorEastAsia"/>
                    </w:rPr>
                  </w:pPr>
                  <w:r>
                    <w:rPr>
                      <w:rFonts w:hAnsiTheme="minorEastAsia" w:eastAsiaTheme="minorEastAsia"/>
                      <w:bCs/>
                    </w:rPr>
                    <w:t>无需设置</w:t>
                  </w:r>
                </w:p>
              </w:tc>
            </w:tr>
          </w:tbl>
          <w:p w14:paraId="64A42B24">
            <w:pPr>
              <w:pStyle w:val="2"/>
              <w:spacing w:line="360" w:lineRule="auto"/>
              <w:ind w:firstLine="480" w:firstLineChars="200"/>
              <w:jc w:val="both"/>
              <w:rPr>
                <w:color w:val="auto"/>
              </w:rPr>
            </w:pPr>
            <w:r>
              <w:rPr>
                <w:rFonts w:hint="eastAsia"/>
                <w:color w:val="auto"/>
              </w:rPr>
              <w:t>由上表可知，本项目无需开展专项评价。</w:t>
            </w:r>
          </w:p>
        </w:tc>
      </w:tr>
      <w:tr w14:paraId="2D0D9D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23" w:type="dxa"/>
            <w:vAlign w:val="center"/>
          </w:tcPr>
          <w:p w14:paraId="28216D9E">
            <w:pPr>
              <w:autoSpaceDE w:val="0"/>
              <w:autoSpaceDN w:val="0"/>
              <w:adjustRightInd w:val="0"/>
              <w:snapToGrid w:val="0"/>
              <w:jc w:val="center"/>
              <w:rPr>
                <w:b/>
                <w:kern w:val="0"/>
                <w:sz w:val="24"/>
              </w:rPr>
            </w:pPr>
            <w:r>
              <w:rPr>
                <w:b/>
                <w:sz w:val="24"/>
              </w:rPr>
              <w:t>规划情况</w:t>
            </w:r>
          </w:p>
        </w:tc>
        <w:tc>
          <w:tcPr>
            <w:tcW w:w="9383" w:type="dxa"/>
            <w:gridSpan w:val="4"/>
            <w:vAlign w:val="center"/>
          </w:tcPr>
          <w:p w14:paraId="3B04DCE4">
            <w:pPr>
              <w:spacing w:line="360" w:lineRule="auto"/>
              <w:ind w:firstLine="472" w:firstLineChars="200"/>
              <w:rPr>
                <w:rFonts w:eastAsiaTheme="minorEastAsia"/>
                <w:spacing w:val="-2"/>
                <w:sz w:val="24"/>
              </w:rPr>
            </w:pPr>
            <w:r>
              <w:rPr>
                <w:rFonts w:hint="eastAsia" w:eastAsiaTheme="minorEastAsia"/>
                <w:spacing w:val="-2"/>
                <w:sz w:val="24"/>
              </w:rPr>
              <w:t>湖南衡阳西渡高新技术产业园区前身为衡阳县经济技术开发区，于1992年经衡阳市人民政府衡政发[1992]95号文件批准设立，1994年经湖南省人民政府湘政发[1994]5号文件认定为省级开发区，2006年经国家发改委第41号公告公布列入第七批通过审核的开发区名录，并更名为湖南衡阳西渡经济开发区，2012年湖南省人民政府以湘政函[2012]88号文件批准更名为湖南衡阳西渡高新技术产业园区。</w:t>
            </w:r>
          </w:p>
          <w:p w14:paraId="6AA01656">
            <w:pPr>
              <w:spacing w:line="360" w:lineRule="auto"/>
              <w:ind w:firstLine="472" w:firstLineChars="200"/>
              <w:rPr>
                <w:rFonts w:eastAsiaTheme="minorEastAsia"/>
                <w:spacing w:val="-2"/>
                <w:sz w:val="24"/>
              </w:rPr>
            </w:pPr>
            <w:r>
              <w:rPr>
                <w:rFonts w:hint="eastAsia" w:eastAsiaTheme="minorEastAsia"/>
                <w:spacing w:val="-2"/>
                <w:sz w:val="24"/>
              </w:rPr>
              <w:t>根据湖南省发展和改革委员会、湖南省自然资源厅关于发布衡阳西渡高新技术产业园区边界面积及四至范围的通知（湘发改园区[2022]601号），湖南衡阳西渡高新技术产业园区规划面积1007.11公顷</w:t>
            </w:r>
            <w:r>
              <w:rPr>
                <w:rFonts w:hint="eastAsia"/>
                <w:spacing w:val="-2"/>
                <w:sz w:val="24"/>
              </w:rPr>
              <w:t>。</w:t>
            </w:r>
          </w:p>
        </w:tc>
      </w:tr>
      <w:tr w14:paraId="15EDA4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23" w:type="dxa"/>
            <w:vAlign w:val="center"/>
          </w:tcPr>
          <w:p w14:paraId="23FE7640">
            <w:pPr>
              <w:adjustRightInd w:val="0"/>
              <w:snapToGrid w:val="0"/>
              <w:jc w:val="center"/>
              <w:rPr>
                <w:b/>
                <w:sz w:val="24"/>
              </w:rPr>
            </w:pPr>
            <w:r>
              <w:rPr>
                <w:b/>
                <w:sz w:val="24"/>
              </w:rPr>
              <w:t>规划环境影响评价情况</w:t>
            </w:r>
          </w:p>
        </w:tc>
        <w:tc>
          <w:tcPr>
            <w:tcW w:w="9383" w:type="dxa"/>
            <w:gridSpan w:val="4"/>
            <w:vAlign w:val="center"/>
          </w:tcPr>
          <w:p w14:paraId="72E68B21">
            <w:pPr>
              <w:spacing w:line="360" w:lineRule="auto"/>
              <w:ind w:firstLine="472" w:firstLineChars="200"/>
              <w:rPr>
                <w:rFonts w:eastAsiaTheme="minorEastAsia"/>
                <w:spacing w:val="-2"/>
                <w:sz w:val="24"/>
              </w:rPr>
            </w:pPr>
            <w:r>
              <w:rPr>
                <w:rFonts w:hint="eastAsia" w:eastAsiaTheme="minorEastAsia"/>
                <w:spacing w:val="-2"/>
                <w:sz w:val="24"/>
              </w:rPr>
              <w:t>（1）</w:t>
            </w:r>
            <w:r>
              <w:rPr>
                <w:rFonts w:eastAsiaTheme="minorEastAsia"/>
                <w:spacing w:val="-2"/>
                <w:sz w:val="24"/>
              </w:rPr>
              <w:t>文件名称：《衡阳西渡经济开发区环境影响报告书》；</w:t>
            </w:r>
          </w:p>
          <w:p w14:paraId="2E618AA4">
            <w:pPr>
              <w:spacing w:line="360" w:lineRule="auto"/>
              <w:ind w:firstLine="472" w:firstLineChars="200"/>
              <w:rPr>
                <w:rFonts w:eastAsiaTheme="minorEastAsia"/>
                <w:spacing w:val="-2"/>
                <w:sz w:val="24"/>
              </w:rPr>
            </w:pPr>
            <w:r>
              <w:rPr>
                <w:rFonts w:hint="eastAsia" w:eastAsiaTheme="minorEastAsia"/>
                <w:spacing w:val="-2"/>
                <w:sz w:val="24"/>
              </w:rPr>
              <w:t>召集审查机关：湖南省生态环境厅；</w:t>
            </w:r>
          </w:p>
          <w:p w14:paraId="08592B78">
            <w:pPr>
              <w:spacing w:line="360" w:lineRule="auto"/>
              <w:ind w:firstLine="472" w:firstLineChars="200"/>
              <w:rPr>
                <w:spacing w:val="-2"/>
                <w:sz w:val="24"/>
              </w:rPr>
            </w:pPr>
            <w:r>
              <w:rPr>
                <w:rFonts w:hint="eastAsia" w:eastAsiaTheme="minorEastAsia"/>
                <w:spacing w:val="-2"/>
                <w:sz w:val="24"/>
              </w:rPr>
              <w:t>审查文件名称及文号：</w:t>
            </w:r>
            <w:r>
              <w:rPr>
                <w:rFonts w:eastAsiaTheme="minorEastAsia"/>
                <w:spacing w:val="-2"/>
                <w:sz w:val="24"/>
              </w:rPr>
              <w:t>《关于西渡经济开发区环境影响报告书的批复》（</w:t>
            </w:r>
            <w:r>
              <w:rPr>
                <w:rFonts w:hint="eastAsia" w:eastAsiaTheme="minorEastAsia"/>
                <w:spacing w:val="-2"/>
                <w:sz w:val="24"/>
              </w:rPr>
              <w:t>湘环评[2013]285号</w:t>
            </w:r>
            <w:r>
              <w:rPr>
                <w:rFonts w:eastAsiaTheme="minorEastAsia"/>
                <w:spacing w:val="-2"/>
                <w:sz w:val="24"/>
              </w:rPr>
              <w:t>）</w:t>
            </w:r>
            <w:r>
              <w:rPr>
                <w:rFonts w:hint="eastAsia"/>
                <w:spacing w:val="-2"/>
                <w:sz w:val="24"/>
              </w:rPr>
              <w:t>；</w:t>
            </w:r>
          </w:p>
          <w:p w14:paraId="30BCB7EA">
            <w:pPr>
              <w:spacing w:line="360" w:lineRule="auto"/>
              <w:ind w:firstLine="472" w:firstLineChars="200"/>
              <w:rPr>
                <w:rFonts w:eastAsiaTheme="minorEastAsia"/>
                <w:spacing w:val="-2"/>
                <w:sz w:val="24"/>
              </w:rPr>
            </w:pPr>
            <w:r>
              <w:rPr>
                <w:rFonts w:hint="eastAsia" w:eastAsiaTheme="minorEastAsia"/>
                <w:spacing w:val="-2"/>
                <w:sz w:val="24"/>
              </w:rPr>
              <w:t>（2）</w:t>
            </w:r>
            <w:r>
              <w:rPr>
                <w:rFonts w:eastAsiaTheme="minorEastAsia"/>
                <w:spacing w:val="-2"/>
                <w:sz w:val="24"/>
              </w:rPr>
              <w:t>文件名称：《</w:t>
            </w:r>
            <w:bookmarkStart w:id="9" w:name="OLE_LINK5"/>
            <w:bookmarkStart w:id="10" w:name="OLE_LINK6"/>
            <w:bookmarkStart w:id="11" w:name="OLE_LINK7"/>
            <w:bookmarkStart w:id="12" w:name="OLE_LINK8"/>
            <w:r>
              <w:rPr>
                <w:rFonts w:hint="eastAsia" w:eastAsiaTheme="minorEastAsia"/>
                <w:spacing w:val="-2"/>
                <w:sz w:val="24"/>
              </w:rPr>
              <w:t>湖南衡阳西渡高新技术产业园区环境影响跟踪评价报告书</w:t>
            </w:r>
            <w:bookmarkEnd w:id="9"/>
            <w:bookmarkEnd w:id="10"/>
            <w:bookmarkEnd w:id="11"/>
            <w:bookmarkEnd w:id="12"/>
            <w:r>
              <w:rPr>
                <w:rFonts w:eastAsiaTheme="minorEastAsia"/>
                <w:spacing w:val="-2"/>
                <w:sz w:val="24"/>
              </w:rPr>
              <w:t>》；</w:t>
            </w:r>
          </w:p>
          <w:p w14:paraId="48B72707">
            <w:pPr>
              <w:spacing w:line="360" w:lineRule="auto"/>
              <w:ind w:firstLine="472" w:firstLineChars="200"/>
              <w:rPr>
                <w:rFonts w:eastAsiaTheme="minorEastAsia"/>
                <w:spacing w:val="-2"/>
                <w:sz w:val="24"/>
              </w:rPr>
            </w:pPr>
            <w:r>
              <w:rPr>
                <w:rFonts w:hint="eastAsia" w:eastAsiaTheme="minorEastAsia"/>
                <w:spacing w:val="-2"/>
                <w:sz w:val="24"/>
              </w:rPr>
              <w:t>召集审查机关：湖南省生态环境厅；</w:t>
            </w:r>
          </w:p>
          <w:p w14:paraId="34CB1E0F">
            <w:pPr>
              <w:spacing w:line="360" w:lineRule="auto"/>
              <w:ind w:firstLine="472" w:firstLineChars="200"/>
              <w:rPr>
                <w:spacing w:val="-2"/>
                <w:sz w:val="24"/>
              </w:rPr>
            </w:pPr>
            <w:r>
              <w:rPr>
                <w:rFonts w:hint="eastAsia" w:eastAsiaTheme="minorEastAsia"/>
                <w:spacing w:val="-2"/>
                <w:sz w:val="24"/>
              </w:rPr>
              <w:t>审查文件名称及文号：</w:t>
            </w:r>
            <w:r>
              <w:rPr>
                <w:rFonts w:eastAsiaTheme="minorEastAsia"/>
                <w:spacing w:val="-2"/>
                <w:sz w:val="24"/>
              </w:rPr>
              <w:t>《</w:t>
            </w:r>
            <w:r>
              <w:rPr>
                <w:spacing w:val="-2"/>
                <w:sz w:val="24"/>
              </w:rPr>
              <w:t>湖南省生态环境厅关于</w:t>
            </w:r>
            <w:r>
              <w:rPr>
                <w:rFonts w:hint="eastAsia" w:eastAsiaTheme="minorEastAsia"/>
                <w:spacing w:val="-2"/>
                <w:sz w:val="24"/>
              </w:rPr>
              <w:t>湖南衡阳西渡高新技术产业园区</w:t>
            </w:r>
            <w:r>
              <w:rPr>
                <w:spacing w:val="-2"/>
                <w:sz w:val="24"/>
              </w:rPr>
              <w:t>环境影响跟踪评价工作意见的函</w:t>
            </w:r>
            <w:r>
              <w:rPr>
                <w:rFonts w:eastAsiaTheme="minorEastAsia"/>
                <w:spacing w:val="-2"/>
                <w:sz w:val="24"/>
              </w:rPr>
              <w:t>》（</w:t>
            </w:r>
            <w:r>
              <w:rPr>
                <w:rFonts w:hint="eastAsia" w:eastAsiaTheme="minorEastAsia"/>
                <w:spacing w:val="-2"/>
                <w:sz w:val="24"/>
              </w:rPr>
              <w:t>湘环评函[2022]85号</w:t>
            </w:r>
            <w:r>
              <w:rPr>
                <w:rFonts w:eastAsiaTheme="minorEastAsia"/>
                <w:spacing w:val="-2"/>
                <w:sz w:val="24"/>
              </w:rPr>
              <w:t>）</w:t>
            </w:r>
            <w:r>
              <w:rPr>
                <w:rFonts w:hint="eastAsia"/>
                <w:spacing w:val="-2"/>
                <w:sz w:val="24"/>
              </w:rPr>
              <w:t>。</w:t>
            </w:r>
          </w:p>
        </w:tc>
      </w:tr>
      <w:tr w14:paraId="629837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23" w:type="dxa"/>
            <w:vAlign w:val="center"/>
          </w:tcPr>
          <w:p w14:paraId="45B3F0D7">
            <w:pPr>
              <w:autoSpaceDE w:val="0"/>
              <w:autoSpaceDN w:val="0"/>
              <w:adjustRightInd w:val="0"/>
              <w:snapToGrid w:val="0"/>
              <w:jc w:val="center"/>
              <w:rPr>
                <w:b/>
                <w:kern w:val="0"/>
                <w:sz w:val="24"/>
              </w:rPr>
            </w:pPr>
            <w:r>
              <w:rPr>
                <w:b/>
                <w:kern w:val="0"/>
                <w:sz w:val="24"/>
              </w:rPr>
              <w:t>规划及规划环境影响评价符合性分析</w:t>
            </w:r>
          </w:p>
        </w:tc>
        <w:tc>
          <w:tcPr>
            <w:tcW w:w="9383" w:type="dxa"/>
            <w:gridSpan w:val="4"/>
            <w:vAlign w:val="center"/>
          </w:tcPr>
          <w:p w14:paraId="0F167BD7">
            <w:pPr>
              <w:autoSpaceDE w:val="0"/>
              <w:autoSpaceDN w:val="0"/>
              <w:adjustRightInd w:val="0"/>
              <w:snapToGrid w:val="0"/>
              <w:spacing w:line="360" w:lineRule="auto"/>
              <w:ind w:firstLine="482" w:firstLineChars="200"/>
              <w:rPr>
                <w:rFonts w:hAnsiTheme="minorEastAsia" w:eastAsiaTheme="minorEastAsia"/>
                <w:b/>
                <w:sz w:val="24"/>
                <w:szCs w:val="22"/>
              </w:rPr>
            </w:pPr>
            <w:r>
              <w:rPr>
                <w:rFonts w:hint="eastAsia" w:hAnsiTheme="minorEastAsia" w:eastAsiaTheme="minorEastAsia"/>
                <w:b/>
                <w:sz w:val="24"/>
                <w:szCs w:val="22"/>
              </w:rPr>
              <w:t>1、与《衡阳西渡高新技术产业开发区发展规划》的相符性分析</w:t>
            </w:r>
          </w:p>
          <w:p w14:paraId="06EDB1DA">
            <w:pPr>
              <w:spacing w:line="360" w:lineRule="auto"/>
              <w:ind w:firstLine="472" w:firstLineChars="200"/>
              <w:rPr>
                <w:rFonts w:eastAsiaTheme="minorEastAsia"/>
                <w:spacing w:val="-2"/>
                <w:sz w:val="24"/>
              </w:rPr>
            </w:pPr>
            <w:r>
              <w:rPr>
                <w:rFonts w:hint="eastAsia" w:eastAsiaTheme="minorEastAsia"/>
                <w:spacing w:val="-2"/>
                <w:sz w:val="24"/>
              </w:rPr>
              <w:t>根据湘环评函〔2013〕285号文件，</w:t>
            </w:r>
            <w:r>
              <w:rPr>
                <w:rFonts w:eastAsiaTheme="minorEastAsia"/>
                <w:spacing w:val="-2"/>
                <w:sz w:val="24"/>
              </w:rPr>
              <w:t>衡阳西渡高新技术产业园产业定位为：以生物医药、外贸加工和机械电子制造产业基地为主导产业，以农产品加工行业为辅导产业，配套物流及居民安置区，建立省级新型工业化示范基地，打造新型的省级经济开发区</w:t>
            </w:r>
            <w:r>
              <w:rPr>
                <w:rFonts w:hint="eastAsia" w:eastAsiaTheme="minorEastAsia"/>
                <w:spacing w:val="-2"/>
                <w:sz w:val="24"/>
              </w:rPr>
              <w:t>；根据湘发改函〔2015〕314号文件，</w:t>
            </w:r>
            <w:r>
              <w:rPr>
                <w:rFonts w:eastAsiaTheme="minorEastAsia"/>
                <w:spacing w:val="-2"/>
                <w:sz w:val="24"/>
              </w:rPr>
              <w:t>衡阳西渡高新技术产业园</w:t>
            </w:r>
            <w:r>
              <w:rPr>
                <w:rFonts w:hint="eastAsia" w:eastAsiaTheme="minorEastAsia"/>
                <w:spacing w:val="-2"/>
                <w:sz w:val="24"/>
              </w:rPr>
              <w:t>新扩区的主导产业包括医药制造业、皮革、毛皮、羽毛及其制品和制鞋业，以及非金属矿物制品等；根据六部委公告2018年第4号文件，</w:t>
            </w:r>
            <w:r>
              <w:rPr>
                <w:rFonts w:eastAsiaTheme="minorEastAsia"/>
                <w:spacing w:val="-2"/>
                <w:sz w:val="24"/>
              </w:rPr>
              <w:t>衡阳西渡高新技术产业园</w:t>
            </w:r>
            <w:r>
              <w:rPr>
                <w:rFonts w:hint="eastAsia" w:eastAsiaTheme="minorEastAsia"/>
                <w:spacing w:val="-2"/>
                <w:sz w:val="24"/>
              </w:rPr>
              <w:t>主导产业新增医药、智能机器和非金属矿物制品</w:t>
            </w:r>
            <w:r>
              <w:rPr>
                <w:rFonts w:eastAsiaTheme="minorEastAsia"/>
                <w:spacing w:val="-2"/>
                <w:sz w:val="24"/>
              </w:rPr>
              <w:t>。</w:t>
            </w:r>
          </w:p>
          <w:p w14:paraId="265442C3">
            <w:pPr>
              <w:spacing w:line="360" w:lineRule="auto"/>
              <w:ind w:firstLine="480" w:firstLineChars="200"/>
              <w:rPr>
                <w:rFonts w:eastAsiaTheme="minorEastAsia"/>
                <w:spacing w:val="-2"/>
                <w:sz w:val="24"/>
              </w:rPr>
            </w:pPr>
            <w:r>
              <w:rPr>
                <w:rFonts w:hint="eastAsia" w:hAnsiTheme="minorEastAsia" w:eastAsiaTheme="minorEastAsia"/>
                <w:sz w:val="24"/>
                <w:szCs w:val="22"/>
              </w:rPr>
              <w:t>符合性分析：本项目位于</w:t>
            </w:r>
            <w:r>
              <w:rPr>
                <w:rFonts w:hint="eastAsia"/>
                <w:sz w:val="24"/>
                <w:szCs w:val="28"/>
              </w:rPr>
              <w:t>湖南省衡阳市衡阳县西渡镇大勇村</w:t>
            </w:r>
            <w:r>
              <w:rPr>
                <w:rFonts w:hint="eastAsia" w:hAnsiTheme="minorEastAsia" w:eastAsiaTheme="minorEastAsia"/>
                <w:sz w:val="24"/>
                <w:szCs w:val="22"/>
              </w:rPr>
              <w:t>，属于</w:t>
            </w:r>
            <w:r>
              <w:rPr>
                <w:rFonts w:eastAsiaTheme="minorEastAsia"/>
                <w:spacing w:val="-2"/>
                <w:sz w:val="24"/>
              </w:rPr>
              <w:t>衡阳西渡高新技术产业园区块三</w:t>
            </w:r>
            <w:r>
              <w:rPr>
                <w:rFonts w:hint="eastAsia" w:hAnsiTheme="minorEastAsia" w:eastAsiaTheme="minorEastAsia"/>
                <w:sz w:val="24"/>
                <w:szCs w:val="22"/>
              </w:rPr>
              <w:t>用地范围内，</w:t>
            </w:r>
            <w:r>
              <w:rPr>
                <w:rFonts w:hint="eastAsia" w:eastAsiaTheme="minorEastAsia"/>
                <w:spacing w:val="-2"/>
                <w:sz w:val="24"/>
              </w:rPr>
              <w:t>企业主要从事</w:t>
            </w:r>
            <w:r>
              <w:rPr>
                <w:rFonts w:hint="eastAsia"/>
                <w:sz w:val="24"/>
              </w:rPr>
              <w:t>硫酸钡粉体材料生产，</w:t>
            </w:r>
            <w:r>
              <w:rPr>
                <w:rFonts w:hint="eastAsia" w:eastAsiaTheme="minorEastAsia"/>
                <w:spacing w:val="-2"/>
                <w:sz w:val="24"/>
              </w:rPr>
              <w:t>属于</w:t>
            </w:r>
            <w:r>
              <w:rPr>
                <w:rFonts w:hint="eastAsia"/>
                <w:sz w:val="24"/>
              </w:rPr>
              <w:t>其他非金属矿物制品制造</w:t>
            </w:r>
            <w:r>
              <w:rPr>
                <w:rFonts w:hint="eastAsia" w:eastAsiaTheme="minorEastAsia"/>
                <w:spacing w:val="-2"/>
                <w:sz w:val="24"/>
              </w:rPr>
              <w:t>项目，因此项目建设符合园区的产业定位。</w:t>
            </w:r>
          </w:p>
          <w:p w14:paraId="17B2667C">
            <w:pPr>
              <w:autoSpaceDE w:val="0"/>
              <w:autoSpaceDN w:val="0"/>
              <w:adjustRightInd w:val="0"/>
              <w:snapToGrid w:val="0"/>
              <w:spacing w:line="360" w:lineRule="auto"/>
              <w:ind w:firstLine="482" w:firstLineChars="200"/>
              <w:rPr>
                <w:b/>
                <w:bCs/>
                <w:kern w:val="0"/>
                <w:sz w:val="24"/>
              </w:rPr>
            </w:pPr>
            <w:r>
              <w:rPr>
                <w:rFonts w:hint="eastAsia"/>
                <w:b/>
                <w:bCs/>
                <w:kern w:val="0"/>
                <w:sz w:val="24"/>
              </w:rPr>
              <w:t>2、规划环境影响评价批复符合性</w:t>
            </w:r>
          </w:p>
          <w:p w14:paraId="212A2582">
            <w:pPr>
              <w:autoSpaceDE w:val="0"/>
              <w:autoSpaceDN w:val="0"/>
              <w:adjustRightInd w:val="0"/>
              <w:snapToGrid w:val="0"/>
              <w:spacing w:line="360" w:lineRule="auto"/>
              <w:ind w:firstLine="480" w:firstLineChars="200"/>
              <w:rPr>
                <w:rFonts w:hAnsiTheme="minorEastAsia" w:eastAsiaTheme="minorEastAsia"/>
                <w:sz w:val="24"/>
                <w:szCs w:val="22"/>
              </w:rPr>
            </w:pPr>
            <w:r>
              <w:rPr>
                <w:rFonts w:hint="eastAsia"/>
                <w:bCs/>
                <w:kern w:val="0"/>
                <w:sz w:val="24"/>
              </w:rPr>
              <w:t>根据湖南省环境保护厅关于《衡阳西渡经济开发区环境影响报告书》的批复（湘环评[2013]285号）</w:t>
            </w:r>
            <w:r>
              <w:rPr>
                <w:spacing w:val="9"/>
                <w:sz w:val="24"/>
              </w:rPr>
              <w:t>和</w:t>
            </w:r>
            <w:r>
              <w:rPr>
                <w:rFonts w:hint="eastAsia"/>
                <w:spacing w:val="9"/>
                <w:sz w:val="24"/>
              </w:rPr>
              <w:t>《湖南省生态环境厅关于湖南衡阳西渡高新技术产业园区环境影响跟踪评价工作意见的函》（湘环评函[2022]85号）</w:t>
            </w:r>
            <w:r>
              <w:rPr>
                <w:rFonts w:hint="eastAsia" w:hAnsiTheme="minorEastAsia" w:eastAsiaTheme="minorEastAsia"/>
                <w:sz w:val="24"/>
                <w:szCs w:val="22"/>
              </w:rPr>
              <w:t>，本项目与其的相符性具体分析如下：</w:t>
            </w:r>
          </w:p>
          <w:p w14:paraId="0AEEF715">
            <w:pPr>
              <w:widowControl/>
              <w:adjustRightInd w:val="0"/>
              <w:snapToGrid w:val="0"/>
              <w:spacing w:before="120" w:beforeLines="50"/>
              <w:jc w:val="center"/>
              <w:rPr>
                <w:rFonts w:eastAsiaTheme="minorEastAsia"/>
                <w:b/>
                <w:kern w:val="0"/>
                <w:szCs w:val="21"/>
              </w:rPr>
            </w:pPr>
            <w:r>
              <w:rPr>
                <w:rFonts w:hint="eastAsia" w:eastAsiaTheme="minorEastAsia"/>
                <w:b/>
                <w:kern w:val="0"/>
                <w:szCs w:val="21"/>
              </w:rPr>
              <w:t>表1-2  本项目与园区规划环评相符性分析</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76"/>
              <w:gridCol w:w="4735"/>
              <w:gridCol w:w="2929"/>
              <w:gridCol w:w="897"/>
            </w:tblGrid>
            <w:tr w14:paraId="3D632C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393BE103">
                  <w:pPr>
                    <w:autoSpaceDE w:val="0"/>
                    <w:autoSpaceDN w:val="0"/>
                    <w:adjustRightInd w:val="0"/>
                    <w:snapToGrid w:val="0"/>
                    <w:jc w:val="center"/>
                    <w:rPr>
                      <w:b/>
                      <w:bCs/>
                      <w:szCs w:val="21"/>
                    </w:rPr>
                  </w:pPr>
                  <w:r>
                    <w:rPr>
                      <w:rFonts w:hint="eastAsia"/>
                      <w:b/>
                      <w:bCs/>
                      <w:szCs w:val="21"/>
                    </w:rPr>
                    <w:t>序号</w:t>
                  </w:r>
                </w:p>
              </w:tc>
              <w:tc>
                <w:tcPr>
                  <w:tcW w:w="2591" w:type="pct"/>
                  <w:shd w:val="clear" w:color="auto" w:fill="auto"/>
                  <w:vAlign w:val="center"/>
                </w:tcPr>
                <w:p w14:paraId="42EEB939">
                  <w:pPr>
                    <w:autoSpaceDE w:val="0"/>
                    <w:autoSpaceDN w:val="0"/>
                    <w:adjustRightInd w:val="0"/>
                    <w:snapToGrid w:val="0"/>
                    <w:jc w:val="center"/>
                    <w:rPr>
                      <w:b/>
                      <w:bCs/>
                      <w:szCs w:val="21"/>
                    </w:rPr>
                  </w:pPr>
                  <w:r>
                    <w:rPr>
                      <w:rFonts w:hint="eastAsia"/>
                      <w:b/>
                      <w:bCs/>
                      <w:szCs w:val="21"/>
                    </w:rPr>
                    <w:t>园区环保要求</w:t>
                  </w:r>
                </w:p>
              </w:tc>
              <w:tc>
                <w:tcPr>
                  <w:tcW w:w="1603" w:type="pct"/>
                  <w:shd w:val="clear" w:color="auto" w:fill="auto"/>
                  <w:vAlign w:val="center"/>
                </w:tcPr>
                <w:p w14:paraId="63C893EE">
                  <w:pPr>
                    <w:autoSpaceDE w:val="0"/>
                    <w:autoSpaceDN w:val="0"/>
                    <w:adjustRightInd w:val="0"/>
                    <w:snapToGrid w:val="0"/>
                    <w:jc w:val="center"/>
                    <w:rPr>
                      <w:b/>
                      <w:bCs/>
                      <w:szCs w:val="21"/>
                    </w:rPr>
                  </w:pPr>
                  <w:r>
                    <w:rPr>
                      <w:rFonts w:hint="eastAsia"/>
                      <w:b/>
                      <w:bCs/>
                      <w:szCs w:val="21"/>
                    </w:rPr>
                    <w:t>本项目情况</w:t>
                  </w:r>
                </w:p>
              </w:tc>
              <w:tc>
                <w:tcPr>
                  <w:tcW w:w="491" w:type="pct"/>
                  <w:vAlign w:val="center"/>
                </w:tcPr>
                <w:p w14:paraId="222F828B">
                  <w:pPr>
                    <w:autoSpaceDE w:val="0"/>
                    <w:autoSpaceDN w:val="0"/>
                    <w:adjustRightInd w:val="0"/>
                    <w:snapToGrid w:val="0"/>
                    <w:jc w:val="center"/>
                    <w:rPr>
                      <w:b/>
                      <w:bCs/>
                      <w:szCs w:val="21"/>
                    </w:rPr>
                  </w:pPr>
                  <w:r>
                    <w:rPr>
                      <w:rFonts w:hint="eastAsia"/>
                      <w:b/>
                      <w:bCs/>
                      <w:szCs w:val="21"/>
                    </w:rPr>
                    <w:t>相符性</w:t>
                  </w:r>
                </w:p>
              </w:tc>
            </w:tr>
            <w:tr w14:paraId="01BE76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4"/>
                  <w:shd w:val="clear" w:color="auto" w:fill="auto"/>
                  <w:vAlign w:val="center"/>
                </w:tcPr>
                <w:p w14:paraId="27085D0B">
                  <w:pPr>
                    <w:autoSpaceDE w:val="0"/>
                    <w:autoSpaceDN w:val="0"/>
                    <w:adjustRightInd w:val="0"/>
                    <w:snapToGrid w:val="0"/>
                    <w:jc w:val="center"/>
                    <w:rPr>
                      <w:b/>
                      <w:bCs/>
                      <w:szCs w:val="21"/>
                    </w:rPr>
                  </w:pPr>
                  <w:r>
                    <w:rPr>
                      <w:rFonts w:hint="eastAsia"/>
                      <w:b/>
                      <w:bCs/>
                      <w:szCs w:val="21"/>
                    </w:rPr>
                    <w:t>湘环评[2013]285号要求</w:t>
                  </w:r>
                </w:p>
              </w:tc>
            </w:tr>
            <w:tr w14:paraId="0A5267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51165F72">
                  <w:pPr>
                    <w:autoSpaceDE w:val="0"/>
                    <w:autoSpaceDN w:val="0"/>
                    <w:adjustRightInd w:val="0"/>
                    <w:snapToGrid w:val="0"/>
                    <w:jc w:val="center"/>
                    <w:rPr>
                      <w:bCs/>
                      <w:szCs w:val="21"/>
                    </w:rPr>
                  </w:pPr>
                  <w:r>
                    <w:rPr>
                      <w:rFonts w:hint="eastAsia"/>
                      <w:bCs/>
                      <w:szCs w:val="21"/>
                    </w:rPr>
                    <w:t>1</w:t>
                  </w:r>
                </w:p>
              </w:tc>
              <w:tc>
                <w:tcPr>
                  <w:tcW w:w="2591" w:type="pct"/>
                  <w:shd w:val="clear" w:color="auto" w:fill="auto"/>
                  <w:vAlign w:val="center"/>
                </w:tcPr>
                <w:p w14:paraId="100EA960">
                  <w:pPr>
                    <w:autoSpaceDE w:val="0"/>
                    <w:autoSpaceDN w:val="0"/>
                    <w:adjustRightInd w:val="0"/>
                    <w:snapToGrid w:val="0"/>
                    <w:jc w:val="center"/>
                    <w:rPr>
                      <w:bCs/>
                      <w:szCs w:val="21"/>
                    </w:rPr>
                  </w:pPr>
                  <w:r>
                    <w:rPr>
                      <w:rFonts w:hint="eastAsia"/>
                      <w:bCs/>
                      <w:szCs w:val="21"/>
                    </w:rPr>
                    <w:t>进一步优化规划布局，经开区内各功能区相对集中布置，严格按照功能区划进行有序开发建设，处理好经开区内部各功能组团及经开区与周边工业、生活、配套服务等各功能组团间的关系，充分利用自然地形和绿化隔离带使各功能区隔离，按报告书要求，将经开区中部南、北两侧均临近规划居住区的二类工业用地调整为一类工业用地，对现状居住工业混杂局面逐步调整，控制在规划道路两侧新建对噪声敏感的建筑物，确保功能区划明确、产业相对集中、生态环境优良，减轻功能区相互干扰影响。</w:t>
                  </w:r>
                </w:p>
              </w:tc>
              <w:tc>
                <w:tcPr>
                  <w:tcW w:w="1603" w:type="pct"/>
                  <w:shd w:val="clear" w:color="auto" w:fill="auto"/>
                  <w:vAlign w:val="center"/>
                </w:tcPr>
                <w:p w14:paraId="3C5E483E">
                  <w:pPr>
                    <w:autoSpaceDE w:val="0"/>
                    <w:autoSpaceDN w:val="0"/>
                    <w:adjustRightInd w:val="0"/>
                    <w:snapToGrid w:val="0"/>
                    <w:jc w:val="center"/>
                    <w:rPr>
                      <w:bCs/>
                      <w:szCs w:val="21"/>
                    </w:rPr>
                  </w:pPr>
                  <w:r>
                    <w:rPr>
                      <w:szCs w:val="21"/>
                    </w:rPr>
                    <w:t>项目位于</w:t>
                  </w:r>
                  <w:r>
                    <w:rPr>
                      <w:rFonts w:hint="eastAsia"/>
                      <w:szCs w:val="21"/>
                    </w:rPr>
                    <w:t>衡阳西渡高新技术产业园区块三用地范围内</w:t>
                  </w:r>
                  <w:r>
                    <w:rPr>
                      <w:szCs w:val="21"/>
                    </w:rPr>
                    <w:t>，所在用地属于工业用地</w:t>
                  </w:r>
                </w:p>
              </w:tc>
              <w:tc>
                <w:tcPr>
                  <w:tcW w:w="491" w:type="pct"/>
                  <w:vAlign w:val="center"/>
                </w:tcPr>
                <w:p w14:paraId="16E62CA5">
                  <w:pPr>
                    <w:autoSpaceDE w:val="0"/>
                    <w:autoSpaceDN w:val="0"/>
                    <w:adjustRightInd w:val="0"/>
                    <w:snapToGrid w:val="0"/>
                    <w:jc w:val="center"/>
                    <w:rPr>
                      <w:szCs w:val="21"/>
                    </w:rPr>
                  </w:pPr>
                  <w:r>
                    <w:rPr>
                      <w:szCs w:val="21"/>
                    </w:rPr>
                    <w:t>相符</w:t>
                  </w:r>
                </w:p>
              </w:tc>
            </w:tr>
            <w:tr w14:paraId="24891B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6F79022D">
                  <w:pPr>
                    <w:autoSpaceDE w:val="0"/>
                    <w:autoSpaceDN w:val="0"/>
                    <w:adjustRightInd w:val="0"/>
                    <w:snapToGrid w:val="0"/>
                    <w:jc w:val="center"/>
                    <w:rPr>
                      <w:bCs/>
                      <w:szCs w:val="21"/>
                    </w:rPr>
                  </w:pPr>
                  <w:r>
                    <w:rPr>
                      <w:rFonts w:hint="eastAsia"/>
                      <w:bCs/>
                      <w:szCs w:val="21"/>
                    </w:rPr>
                    <w:t>2</w:t>
                  </w:r>
                </w:p>
              </w:tc>
              <w:tc>
                <w:tcPr>
                  <w:tcW w:w="2591" w:type="pct"/>
                  <w:shd w:val="clear" w:color="auto" w:fill="auto"/>
                  <w:vAlign w:val="center"/>
                </w:tcPr>
                <w:p w14:paraId="5FCF66E1">
                  <w:pPr>
                    <w:autoSpaceDE w:val="0"/>
                    <w:autoSpaceDN w:val="0"/>
                    <w:adjustRightInd w:val="0"/>
                    <w:snapToGrid w:val="0"/>
                    <w:jc w:val="center"/>
                    <w:rPr>
                      <w:bCs/>
                      <w:szCs w:val="21"/>
                    </w:rPr>
                  </w:pPr>
                  <w:r>
                    <w:rPr>
                      <w:rFonts w:hint="eastAsia"/>
                      <w:bCs/>
                      <w:szCs w:val="21"/>
                    </w:rPr>
                    <w:t>严格执行经开区入园企业准入制度，入园项目选址必须符和经开区总体发展规划、用地规划、环保规划及主导产业定位要求，不得引进国家明令淘汰和禁止发展的能耗物耗高、环境污染严重、不符合产业政策的建设项目，禁止气型污染严重企业、涉重金属企业入驻，严格控制三类工业。管委会和地方环保行政主管部门必须按照报告书提出的经开区准入限制行业类型一览表做好项目的招商把关，在入园项目前期和建设期，必须严格执行建设项目环境影响评价和“三同时”管理制度，推行清洁生产工艺，确保排污浓度、总量满足达标排放和总量控制要求；加强对规划区内企业的环境监管，完善企业环保手续、确保污防设施正常运营、达标排放，总体满足产业定位和地方环保管理要求。</w:t>
                  </w:r>
                </w:p>
              </w:tc>
              <w:tc>
                <w:tcPr>
                  <w:tcW w:w="1603" w:type="pct"/>
                  <w:shd w:val="clear" w:color="auto" w:fill="auto"/>
                  <w:vAlign w:val="center"/>
                </w:tcPr>
                <w:p w14:paraId="541AFF41">
                  <w:pPr>
                    <w:autoSpaceDE w:val="0"/>
                    <w:autoSpaceDN w:val="0"/>
                    <w:adjustRightInd w:val="0"/>
                    <w:snapToGrid w:val="0"/>
                    <w:jc w:val="center"/>
                    <w:rPr>
                      <w:bCs/>
                      <w:szCs w:val="21"/>
                    </w:rPr>
                  </w:pPr>
                  <w:r>
                    <w:rPr>
                      <w:rFonts w:hint="eastAsia"/>
                      <w:bCs/>
                      <w:szCs w:val="21"/>
                    </w:rPr>
                    <w:t>项目属于其他非金属矿物制品制造项目，符合园区产业定位，符合</w:t>
                  </w:r>
                  <w:r>
                    <w:rPr>
                      <w:bCs/>
                      <w:szCs w:val="21"/>
                    </w:rPr>
                    <w:t>国家、省产业政策，不属于</w:t>
                  </w:r>
                  <w:r>
                    <w:rPr>
                      <w:rFonts w:hint="eastAsia"/>
                      <w:bCs/>
                      <w:szCs w:val="21"/>
                    </w:rPr>
                    <w:t>国家明令淘汰和禁止发展的能耗物耗高、环境污染严重、不符合产业政策的建设项目，不属于气型污染严重项目、涉重金属项目</w:t>
                  </w:r>
                </w:p>
              </w:tc>
              <w:tc>
                <w:tcPr>
                  <w:tcW w:w="491" w:type="pct"/>
                  <w:vAlign w:val="center"/>
                </w:tcPr>
                <w:p w14:paraId="4D1C1CA0">
                  <w:pPr>
                    <w:autoSpaceDE w:val="0"/>
                    <w:autoSpaceDN w:val="0"/>
                    <w:adjustRightInd w:val="0"/>
                    <w:snapToGrid w:val="0"/>
                    <w:jc w:val="center"/>
                    <w:rPr>
                      <w:bCs/>
                      <w:szCs w:val="21"/>
                    </w:rPr>
                  </w:pPr>
                  <w:r>
                    <w:rPr>
                      <w:szCs w:val="21"/>
                    </w:rPr>
                    <w:t>相符</w:t>
                  </w:r>
                </w:p>
              </w:tc>
            </w:tr>
            <w:tr w14:paraId="332C8B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5323724B">
                  <w:pPr>
                    <w:autoSpaceDE w:val="0"/>
                    <w:autoSpaceDN w:val="0"/>
                    <w:adjustRightInd w:val="0"/>
                    <w:snapToGrid w:val="0"/>
                    <w:jc w:val="center"/>
                    <w:rPr>
                      <w:bCs/>
                      <w:szCs w:val="21"/>
                    </w:rPr>
                  </w:pPr>
                  <w:r>
                    <w:rPr>
                      <w:rFonts w:hint="eastAsia"/>
                      <w:bCs/>
                      <w:szCs w:val="21"/>
                    </w:rPr>
                    <w:t>3</w:t>
                  </w:r>
                </w:p>
              </w:tc>
              <w:tc>
                <w:tcPr>
                  <w:tcW w:w="2591" w:type="pct"/>
                  <w:shd w:val="clear" w:color="auto" w:fill="auto"/>
                  <w:vAlign w:val="center"/>
                </w:tcPr>
                <w:p w14:paraId="61956BCA">
                  <w:pPr>
                    <w:autoSpaceDE w:val="0"/>
                    <w:autoSpaceDN w:val="0"/>
                    <w:adjustRightInd w:val="0"/>
                    <w:snapToGrid w:val="0"/>
                    <w:jc w:val="center"/>
                    <w:rPr>
                      <w:bCs/>
                      <w:szCs w:val="21"/>
                    </w:rPr>
                  </w:pPr>
                  <w:r>
                    <w:rPr>
                      <w:rFonts w:hint="eastAsia"/>
                      <w:bCs/>
                      <w:szCs w:val="21"/>
                    </w:rPr>
                    <w:t>（三）落实经开区水污染控制措施。经开区排水实施雨污分流，近期排水经收集后排入衡阳县污水处理厂深度处理，远期经开区自建污水处理厂，其选址、规模、处理工艺等另行环评论证，污水处理厂尾水排放执行《城镇污水处理厂污染物排放标准》</w:t>
                  </w:r>
                  <w:r>
                    <w:rPr>
                      <w:kern w:val="0"/>
                      <w:szCs w:val="21"/>
                      <w:lang w:val="zh-CN"/>
                    </w:rPr>
                    <w:t>（GB18918-2002）中的一级B标准，经专管排入蒸水。加快实施衡阳县城污水处理厂扩建、园区污水处理厂建设、配套排水管网建设等基础设施建设，截污、排污管网必须与道路建设、区域开发、项目引进同步进行，保障经开区废水实现集中深度处理。在经开区与集中污水处理厂接管运营完成前，应限制引进水型污染企业，已建成企业废水应经自行处理满足《污水综合排放标准》（GB8978-1996）一级标准后方可外排</w:t>
                  </w:r>
                </w:p>
              </w:tc>
              <w:tc>
                <w:tcPr>
                  <w:tcW w:w="1603" w:type="pct"/>
                  <w:shd w:val="clear" w:color="auto" w:fill="auto"/>
                  <w:vAlign w:val="center"/>
                </w:tcPr>
                <w:p w14:paraId="3072E0CB">
                  <w:pPr>
                    <w:autoSpaceDE w:val="0"/>
                    <w:autoSpaceDN w:val="0"/>
                    <w:adjustRightInd w:val="0"/>
                    <w:snapToGrid w:val="0"/>
                    <w:jc w:val="center"/>
                    <w:rPr>
                      <w:bCs/>
                      <w:szCs w:val="21"/>
                    </w:rPr>
                  </w:pPr>
                  <w:r>
                    <w:rPr>
                      <w:bCs/>
                      <w:szCs w:val="21"/>
                    </w:rPr>
                    <w:t>项目无生产废水产生与排放，生活污水</w:t>
                  </w:r>
                  <w:r>
                    <w:rPr>
                      <w:rFonts w:hint="eastAsia"/>
                      <w:bCs/>
                      <w:szCs w:val="21"/>
                    </w:rPr>
                    <w:t>经</w:t>
                  </w:r>
                  <w:r>
                    <w:rPr>
                      <w:bCs/>
                      <w:szCs w:val="21"/>
                    </w:rPr>
                    <w:t>化粪池处理</w:t>
                  </w:r>
                  <w:r>
                    <w:rPr>
                      <w:rFonts w:hint="eastAsia" w:ascii="Calibri" w:hAnsi="Calibri"/>
                      <w:szCs w:val="21"/>
                    </w:rPr>
                    <w:t>后排入市政污水管网，经衡阳西渡高新区污水处理厂深度处理后排至蒸水</w:t>
                  </w:r>
                </w:p>
              </w:tc>
              <w:tc>
                <w:tcPr>
                  <w:tcW w:w="491" w:type="pct"/>
                  <w:vAlign w:val="center"/>
                </w:tcPr>
                <w:p w14:paraId="24AB79BA">
                  <w:pPr>
                    <w:autoSpaceDE w:val="0"/>
                    <w:autoSpaceDN w:val="0"/>
                    <w:adjustRightInd w:val="0"/>
                    <w:snapToGrid w:val="0"/>
                    <w:jc w:val="center"/>
                    <w:rPr>
                      <w:bCs/>
                      <w:szCs w:val="21"/>
                    </w:rPr>
                  </w:pPr>
                  <w:r>
                    <w:rPr>
                      <w:szCs w:val="21"/>
                    </w:rPr>
                    <w:t>相符</w:t>
                  </w:r>
                </w:p>
              </w:tc>
            </w:tr>
            <w:tr w14:paraId="041619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31720745">
                  <w:pPr>
                    <w:autoSpaceDE w:val="0"/>
                    <w:autoSpaceDN w:val="0"/>
                    <w:adjustRightInd w:val="0"/>
                    <w:snapToGrid w:val="0"/>
                    <w:jc w:val="center"/>
                    <w:rPr>
                      <w:bCs/>
                      <w:szCs w:val="21"/>
                    </w:rPr>
                  </w:pPr>
                  <w:r>
                    <w:rPr>
                      <w:rFonts w:hint="eastAsia"/>
                      <w:bCs/>
                      <w:szCs w:val="21"/>
                    </w:rPr>
                    <w:t>4</w:t>
                  </w:r>
                </w:p>
              </w:tc>
              <w:tc>
                <w:tcPr>
                  <w:tcW w:w="2591" w:type="pct"/>
                  <w:shd w:val="clear" w:color="auto" w:fill="auto"/>
                  <w:vAlign w:val="center"/>
                </w:tcPr>
                <w:p w14:paraId="2BA95772">
                  <w:pPr>
                    <w:autoSpaceDE w:val="0"/>
                    <w:autoSpaceDN w:val="0"/>
                    <w:adjustRightInd w:val="0"/>
                    <w:snapToGrid w:val="0"/>
                    <w:jc w:val="center"/>
                    <w:rPr>
                      <w:bCs/>
                      <w:szCs w:val="21"/>
                    </w:rPr>
                  </w:pPr>
                  <w:r>
                    <w:rPr>
                      <w:kern w:val="0"/>
                      <w:szCs w:val="21"/>
                      <w:lang w:val="zh-CN"/>
                    </w:rPr>
                    <w:t>按报告书要求做好经开区大气污染控制措施。管委会应积极推广清洁能源，严格控制新建10t/h以下燃煤锅炉，凡10t/h以下锅炉必须采用燃气等清洁燃料，园区燃煤含硫率应确保控制在1%以内。建立经开区清洁生产管理考核机制，对各企业工艺废气产出的生产节点，应配置废气收集与净化处理装置，确保达标排放；加强生产工艺研究与技术改进，采取有效措施，减少入园企业工艺废气的无组织排放；入园企业各生产装置排放的废气须经处理达到相应的行业排放标准及《大气污染物综合排放标准》中二级标准要求。合理优化工业布局，在不同性质的工业企业间设置合理的间隔距离，防止相互干扰</w:t>
                  </w:r>
                </w:p>
              </w:tc>
              <w:tc>
                <w:tcPr>
                  <w:tcW w:w="1603" w:type="pct"/>
                  <w:shd w:val="clear" w:color="auto" w:fill="auto"/>
                  <w:vAlign w:val="center"/>
                </w:tcPr>
                <w:p w14:paraId="65D413AB">
                  <w:pPr>
                    <w:autoSpaceDE w:val="0"/>
                    <w:autoSpaceDN w:val="0"/>
                    <w:adjustRightInd w:val="0"/>
                    <w:snapToGrid w:val="0"/>
                    <w:jc w:val="center"/>
                    <w:rPr>
                      <w:bCs/>
                      <w:szCs w:val="21"/>
                    </w:rPr>
                  </w:pPr>
                  <w:r>
                    <w:rPr>
                      <w:rFonts w:hint="eastAsia"/>
                      <w:bCs/>
                      <w:szCs w:val="21"/>
                    </w:rPr>
                    <w:t>项目产生的粉尘收集后经布袋除尘器处理后达标排放</w:t>
                  </w:r>
                </w:p>
              </w:tc>
              <w:tc>
                <w:tcPr>
                  <w:tcW w:w="491" w:type="pct"/>
                  <w:vAlign w:val="center"/>
                </w:tcPr>
                <w:p w14:paraId="48F14CDC">
                  <w:pPr>
                    <w:autoSpaceDE w:val="0"/>
                    <w:autoSpaceDN w:val="0"/>
                    <w:adjustRightInd w:val="0"/>
                    <w:snapToGrid w:val="0"/>
                    <w:jc w:val="center"/>
                    <w:rPr>
                      <w:bCs/>
                      <w:szCs w:val="21"/>
                    </w:rPr>
                  </w:pPr>
                  <w:r>
                    <w:rPr>
                      <w:rFonts w:hint="eastAsia"/>
                      <w:bCs/>
                      <w:szCs w:val="21"/>
                    </w:rPr>
                    <w:t>相符</w:t>
                  </w:r>
                </w:p>
              </w:tc>
            </w:tr>
            <w:tr w14:paraId="0A3753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468A9348">
                  <w:pPr>
                    <w:autoSpaceDE w:val="0"/>
                    <w:autoSpaceDN w:val="0"/>
                    <w:adjustRightInd w:val="0"/>
                    <w:snapToGrid w:val="0"/>
                    <w:jc w:val="center"/>
                    <w:rPr>
                      <w:bCs/>
                      <w:szCs w:val="21"/>
                    </w:rPr>
                  </w:pPr>
                  <w:r>
                    <w:rPr>
                      <w:rFonts w:hint="eastAsia"/>
                      <w:bCs/>
                      <w:szCs w:val="21"/>
                    </w:rPr>
                    <w:t>5</w:t>
                  </w:r>
                </w:p>
              </w:tc>
              <w:tc>
                <w:tcPr>
                  <w:tcW w:w="2591" w:type="pct"/>
                  <w:shd w:val="clear" w:color="auto" w:fill="auto"/>
                  <w:vAlign w:val="center"/>
                </w:tcPr>
                <w:p w14:paraId="431C2AEE">
                  <w:pPr>
                    <w:autoSpaceDE w:val="0"/>
                    <w:autoSpaceDN w:val="0"/>
                    <w:adjustRightInd w:val="0"/>
                    <w:snapToGrid w:val="0"/>
                    <w:jc w:val="center"/>
                    <w:rPr>
                      <w:bCs/>
                      <w:szCs w:val="21"/>
                    </w:rPr>
                  </w:pPr>
                  <w:r>
                    <w:rPr>
                      <w:kern w:val="0"/>
                      <w:szCs w:val="21"/>
                      <w:lang w:val="zh-CN"/>
                    </w:rPr>
                    <w:t>做好经开区工业固体废物和生活垃圾的分类收集、转运、综合利用和无害化处理，建立统一的固废收集、贮存、运输、综合利用和安全处置的运营管理体系。推行清洁生产，减少固体废物产生量；加强固体废物的资源化进程，提高综合利用率；规范固体废物处理措施，严防二次污染</w:t>
                  </w:r>
                </w:p>
              </w:tc>
              <w:tc>
                <w:tcPr>
                  <w:tcW w:w="1603" w:type="pct"/>
                  <w:shd w:val="clear" w:color="auto" w:fill="auto"/>
                  <w:vAlign w:val="center"/>
                </w:tcPr>
                <w:p w14:paraId="3DCDE68F">
                  <w:pPr>
                    <w:autoSpaceDE w:val="0"/>
                    <w:autoSpaceDN w:val="0"/>
                    <w:adjustRightInd w:val="0"/>
                    <w:snapToGrid w:val="0"/>
                    <w:jc w:val="center"/>
                    <w:rPr>
                      <w:bCs/>
                      <w:szCs w:val="21"/>
                    </w:rPr>
                  </w:pPr>
                  <w:r>
                    <w:rPr>
                      <w:szCs w:val="21"/>
                    </w:rPr>
                    <w:t>项目一般固体废物委托专业回收公司处理，危险废物委托有危险废物处理资质的单位处置，生活垃圾委托环卫部门清运处理</w:t>
                  </w:r>
                </w:p>
              </w:tc>
              <w:tc>
                <w:tcPr>
                  <w:tcW w:w="491" w:type="pct"/>
                  <w:vAlign w:val="center"/>
                </w:tcPr>
                <w:p w14:paraId="0A77CEFD">
                  <w:pPr>
                    <w:autoSpaceDE w:val="0"/>
                    <w:autoSpaceDN w:val="0"/>
                    <w:adjustRightInd w:val="0"/>
                    <w:snapToGrid w:val="0"/>
                    <w:jc w:val="center"/>
                    <w:rPr>
                      <w:szCs w:val="21"/>
                    </w:rPr>
                  </w:pPr>
                  <w:r>
                    <w:rPr>
                      <w:rFonts w:hint="eastAsia"/>
                      <w:bCs/>
                      <w:szCs w:val="21"/>
                    </w:rPr>
                    <w:t>相符</w:t>
                  </w:r>
                </w:p>
              </w:tc>
            </w:tr>
            <w:tr w14:paraId="75C9F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2BE21886">
                  <w:pPr>
                    <w:autoSpaceDE w:val="0"/>
                    <w:autoSpaceDN w:val="0"/>
                    <w:adjustRightInd w:val="0"/>
                    <w:snapToGrid w:val="0"/>
                    <w:jc w:val="center"/>
                    <w:rPr>
                      <w:bCs/>
                      <w:szCs w:val="21"/>
                    </w:rPr>
                  </w:pPr>
                  <w:r>
                    <w:rPr>
                      <w:rFonts w:hint="eastAsia"/>
                      <w:bCs/>
                      <w:szCs w:val="21"/>
                    </w:rPr>
                    <w:t>6</w:t>
                  </w:r>
                </w:p>
              </w:tc>
              <w:tc>
                <w:tcPr>
                  <w:tcW w:w="2591" w:type="pct"/>
                  <w:shd w:val="clear" w:color="auto" w:fill="auto"/>
                  <w:vAlign w:val="center"/>
                </w:tcPr>
                <w:p w14:paraId="5B08D1BB">
                  <w:pPr>
                    <w:autoSpaceDE w:val="0"/>
                    <w:autoSpaceDN w:val="0"/>
                    <w:adjustRightInd w:val="0"/>
                    <w:snapToGrid w:val="0"/>
                    <w:jc w:val="center"/>
                    <w:rPr>
                      <w:bCs/>
                      <w:szCs w:val="21"/>
                    </w:rPr>
                  </w:pPr>
                  <w:r>
                    <w:rPr>
                      <w:kern w:val="0"/>
                      <w:szCs w:val="21"/>
                      <w:lang w:val="zh-CN"/>
                    </w:rPr>
                    <w:t>经开区要建立专职环境监督管理机构，建立健全环境风险事故防范措施和应急预案，严防环境风险事故发生</w:t>
                  </w:r>
                </w:p>
              </w:tc>
              <w:tc>
                <w:tcPr>
                  <w:tcW w:w="1603" w:type="pct"/>
                  <w:shd w:val="clear" w:color="auto" w:fill="auto"/>
                  <w:vAlign w:val="center"/>
                </w:tcPr>
                <w:p w14:paraId="5C745724">
                  <w:pPr>
                    <w:autoSpaceDE w:val="0"/>
                    <w:autoSpaceDN w:val="0"/>
                    <w:adjustRightInd w:val="0"/>
                    <w:snapToGrid w:val="0"/>
                    <w:jc w:val="center"/>
                    <w:rPr>
                      <w:bCs/>
                      <w:szCs w:val="21"/>
                    </w:rPr>
                  </w:pPr>
                  <w:r>
                    <w:rPr>
                      <w:bCs/>
                      <w:szCs w:val="21"/>
                    </w:rPr>
                    <w:t>项目将制定企业应急预案，并与园区联动，落实有效的事故风险防范和应急措施</w:t>
                  </w:r>
                </w:p>
              </w:tc>
              <w:tc>
                <w:tcPr>
                  <w:tcW w:w="491" w:type="pct"/>
                  <w:vAlign w:val="center"/>
                </w:tcPr>
                <w:p w14:paraId="334FE622">
                  <w:pPr>
                    <w:autoSpaceDE w:val="0"/>
                    <w:autoSpaceDN w:val="0"/>
                    <w:adjustRightInd w:val="0"/>
                    <w:snapToGrid w:val="0"/>
                    <w:jc w:val="center"/>
                    <w:rPr>
                      <w:bCs/>
                      <w:szCs w:val="21"/>
                    </w:rPr>
                  </w:pPr>
                  <w:r>
                    <w:rPr>
                      <w:rFonts w:hint="eastAsia"/>
                      <w:bCs/>
                      <w:szCs w:val="21"/>
                    </w:rPr>
                    <w:t>相符</w:t>
                  </w:r>
                </w:p>
              </w:tc>
            </w:tr>
            <w:tr w14:paraId="47E7C5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6EF47CFA">
                  <w:pPr>
                    <w:autoSpaceDE w:val="0"/>
                    <w:autoSpaceDN w:val="0"/>
                    <w:adjustRightInd w:val="0"/>
                    <w:snapToGrid w:val="0"/>
                    <w:jc w:val="center"/>
                    <w:rPr>
                      <w:bCs/>
                      <w:szCs w:val="21"/>
                    </w:rPr>
                  </w:pPr>
                  <w:r>
                    <w:rPr>
                      <w:rFonts w:hint="eastAsia"/>
                      <w:bCs/>
                      <w:szCs w:val="21"/>
                    </w:rPr>
                    <w:t>7</w:t>
                  </w:r>
                </w:p>
              </w:tc>
              <w:tc>
                <w:tcPr>
                  <w:tcW w:w="2591" w:type="pct"/>
                  <w:shd w:val="clear" w:color="auto" w:fill="auto"/>
                  <w:vAlign w:val="center"/>
                </w:tcPr>
                <w:p w14:paraId="2C079AA5">
                  <w:pPr>
                    <w:autoSpaceDE w:val="0"/>
                    <w:autoSpaceDN w:val="0"/>
                    <w:adjustRightInd w:val="0"/>
                    <w:snapToGrid w:val="0"/>
                    <w:jc w:val="center"/>
                    <w:rPr>
                      <w:kern w:val="0"/>
                      <w:szCs w:val="21"/>
                      <w:lang w:val="zh-CN"/>
                    </w:rPr>
                  </w:pPr>
                  <w:r>
                    <w:rPr>
                      <w:kern w:val="0"/>
                      <w:szCs w:val="21"/>
                      <w:lang w:val="zh-CN"/>
                    </w:rPr>
                    <w:t>按经开区开发规划统筹制定拆迁安置方案，妥善落实移民生产生活安置措施，防止移民再次安置和次生环境问题</w:t>
                  </w:r>
                </w:p>
              </w:tc>
              <w:tc>
                <w:tcPr>
                  <w:tcW w:w="1603" w:type="pct"/>
                  <w:shd w:val="clear" w:color="auto" w:fill="auto"/>
                  <w:vAlign w:val="center"/>
                </w:tcPr>
                <w:p w14:paraId="24BDA535">
                  <w:pPr>
                    <w:autoSpaceDE w:val="0"/>
                    <w:autoSpaceDN w:val="0"/>
                    <w:adjustRightInd w:val="0"/>
                    <w:snapToGrid w:val="0"/>
                    <w:jc w:val="center"/>
                    <w:rPr>
                      <w:bCs/>
                      <w:szCs w:val="21"/>
                    </w:rPr>
                  </w:pPr>
                  <w:r>
                    <w:rPr>
                      <w:rFonts w:hint="eastAsia"/>
                      <w:bCs/>
                      <w:szCs w:val="21"/>
                    </w:rPr>
                    <w:t>项目不涉及移民、拆迁</w:t>
                  </w:r>
                </w:p>
              </w:tc>
              <w:tc>
                <w:tcPr>
                  <w:tcW w:w="491" w:type="pct"/>
                  <w:vAlign w:val="center"/>
                </w:tcPr>
                <w:p w14:paraId="5025B2DA">
                  <w:pPr>
                    <w:autoSpaceDE w:val="0"/>
                    <w:autoSpaceDN w:val="0"/>
                    <w:adjustRightInd w:val="0"/>
                    <w:snapToGrid w:val="0"/>
                    <w:jc w:val="center"/>
                    <w:rPr>
                      <w:bCs/>
                      <w:szCs w:val="21"/>
                    </w:rPr>
                  </w:pPr>
                  <w:r>
                    <w:rPr>
                      <w:rFonts w:hint="eastAsia"/>
                      <w:bCs/>
                      <w:szCs w:val="21"/>
                    </w:rPr>
                    <w:t>相符</w:t>
                  </w:r>
                </w:p>
              </w:tc>
            </w:tr>
            <w:tr w14:paraId="36FC2D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49D0D764">
                  <w:pPr>
                    <w:autoSpaceDE w:val="0"/>
                    <w:autoSpaceDN w:val="0"/>
                    <w:adjustRightInd w:val="0"/>
                    <w:snapToGrid w:val="0"/>
                    <w:jc w:val="center"/>
                    <w:rPr>
                      <w:bCs/>
                      <w:szCs w:val="21"/>
                    </w:rPr>
                  </w:pPr>
                  <w:r>
                    <w:rPr>
                      <w:rFonts w:hint="eastAsia"/>
                      <w:bCs/>
                      <w:szCs w:val="21"/>
                    </w:rPr>
                    <w:t>8</w:t>
                  </w:r>
                </w:p>
              </w:tc>
              <w:tc>
                <w:tcPr>
                  <w:tcW w:w="2591" w:type="pct"/>
                  <w:shd w:val="clear" w:color="auto" w:fill="auto"/>
                  <w:vAlign w:val="center"/>
                </w:tcPr>
                <w:p w14:paraId="5E0DBBB7">
                  <w:pPr>
                    <w:autoSpaceDE w:val="0"/>
                    <w:autoSpaceDN w:val="0"/>
                    <w:adjustRightInd w:val="0"/>
                    <w:snapToGrid w:val="0"/>
                    <w:jc w:val="center"/>
                    <w:rPr>
                      <w:kern w:val="0"/>
                      <w:szCs w:val="21"/>
                      <w:lang w:val="zh-CN"/>
                    </w:rPr>
                  </w:pPr>
                  <w:r>
                    <w:rPr>
                      <w:kern w:val="0"/>
                      <w:szCs w:val="21"/>
                      <w:lang w:val="zh-CN"/>
                    </w:rPr>
                    <w:t>做好建设期的生态保护和水土保持工作。经开区建设过程中，应按照景观设计和功能分隔要求保留一定的自然山体绿地，切实做好生态环境的保护、恢复和补偿工作，落实水土保持措施，以减少经开区开发建设过程中对区域生态环境的影响</w:t>
                  </w:r>
                </w:p>
              </w:tc>
              <w:tc>
                <w:tcPr>
                  <w:tcW w:w="1603" w:type="pct"/>
                  <w:shd w:val="clear" w:color="auto" w:fill="auto"/>
                  <w:vAlign w:val="center"/>
                </w:tcPr>
                <w:p w14:paraId="0DD589DA">
                  <w:pPr>
                    <w:autoSpaceDE w:val="0"/>
                    <w:autoSpaceDN w:val="0"/>
                    <w:adjustRightInd w:val="0"/>
                    <w:snapToGrid w:val="0"/>
                    <w:jc w:val="center"/>
                    <w:rPr>
                      <w:bCs/>
                      <w:szCs w:val="21"/>
                    </w:rPr>
                  </w:pPr>
                  <w:r>
                    <w:rPr>
                      <w:rFonts w:hint="eastAsia"/>
                      <w:bCs/>
                      <w:szCs w:val="21"/>
                    </w:rPr>
                    <w:t>项目租用现有厂房，不涉及土建工程</w:t>
                  </w:r>
                </w:p>
              </w:tc>
              <w:tc>
                <w:tcPr>
                  <w:tcW w:w="491" w:type="pct"/>
                  <w:vAlign w:val="center"/>
                </w:tcPr>
                <w:p w14:paraId="5FEAD4B4">
                  <w:pPr>
                    <w:autoSpaceDE w:val="0"/>
                    <w:autoSpaceDN w:val="0"/>
                    <w:adjustRightInd w:val="0"/>
                    <w:snapToGrid w:val="0"/>
                    <w:jc w:val="center"/>
                    <w:rPr>
                      <w:bCs/>
                      <w:szCs w:val="21"/>
                    </w:rPr>
                  </w:pPr>
                  <w:r>
                    <w:rPr>
                      <w:rFonts w:hint="eastAsia"/>
                      <w:bCs/>
                      <w:szCs w:val="21"/>
                    </w:rPr>
                    <w:t>相符</w:t>
                  </w:r>
                </w:p>
              </w:tc>
            </w:tr>
            <w:tr w14:paraId="5D6366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27507DB4">
                  <w:pPr>
                    <w:autoSpaceDE w:val="0"/>
                    <w:autoSpaceDN w:val="0"/>
                    <w:adjustRightInd w:val="0"/>
                    <w:snapToGrid w:val="0"/>
                    <w:jc w:val="center"/>
                    <w:rPr>
                      <w:bCs/>
                      <w:szCs w:val="21"/>
                    </w:rPr>
                  </w:pPr>
                  <w:r>
                    <w:rPr>
                      <w:rFonts w:hint="eastAsia"/>
                      <w:bCs/>
                      <w:szCs w:val="21"/>
                    </w:rPr>
                    <w:t>9</w:t>
                  </w:r>
                </w:p>
              </w:tc>
              <w:tc>
                <w:tcPr>
                  <w:tcW w:w="2591" w:type="pct"/>
                  <w:shd w:val="clear" w:color="auto" w:fill="auto"/>
                  <w:vAlign w:val="center"/>
                </w:tcPr>
                <w:p w14:paraId="53270525">
                  <w:pPr>
                    <w:autoSpaceDE w:val="0"/>
                    <w:autoSpaceDN w:val="0"/>
                    <w:adjustRightInd w:val="0"/>
                    <w:snapToGrid w:val="0"/>
                    <w:jc w:val="center"/>
                    <w:rPr>
                      <w:kern w:val="0"/>
                      <w:szCs w:val="21"/>
                      <w:lang w:val="zh-CN"/>
                    </w:rPr>
                  </w:pPr>
                  <w:r>
                    <w:rPr>
                      <w:kern w:val="0"/>
                      <w:szCs w:val="21"/>
                      <w:lang w:val="zh-CN"/>
                    </w:rPr>
                    <w:t>污染物总量控制：C0D&lt;560t/a、氨氮≤80t/a、S0</w:t>
                  </w:r>
                  <w:r>
                    <w:rPr>
                      <w:kern w:val="0"/>
                      <w:szCs w:val="21"/>
                      <w:vertAlign w:val="subscript"/>
                      <w:lang w:val="zh-CN"/>
                    </w:rPr>
                    <w:t>2</w:t>
                  </w:r>
                  <w:r>
                    <w:rPr>
                      <w:kern w:val="0"/>
                      <w:szCs w:val="21"/>
                      <w:lang w:val="zh-CN"/>
                    </w:rPr>
                    <w:t>&lt;660t/a、NOx≤750t/a，总量指标纳入当地环保部门污染物总量控制管理</w:t>
                  </w:r>
                </w:p>
              </w:tc>
              <w:tc>
                <w:tcPr>
                  <w:tcW w:w="1603" w:type="pct"/>
                  <w:shd w:val="clear" w:color="auto" w:fill="auto"/>
                  <w:vAlign w:val="center"/>
                </w:tcPr>
                <w:p w14:paraId="5B71F757">
                  <w:pPr>
                    <w:autoSpaceDE w:val="0"/>
                    <w:autoSpaceDN w:val="0"/>
                    <w:adjustRightInd w:val="0"/>
                    <w:snapToGrid w:val="0"/>
                    <w:jc w:val="center"/>
                    <w:rPr>
                      <w:bCs/>
                      <w:szCs w:val="21"/>
                    </w:rPr>
                  </w:pPr>
                  <w:r>
                    <w:rPr>
                      <w:rFonts w:hint="eastAsia"/>
                      <w:bCs/>
                      <w:szCs w:val="21"/>
                    </w:rPr>
                    <w:t>项目涉及的总量</w:t>
                  </w:r>
                  <w:r>
                    <w:rPr>
                      <w:kern w:val="0"/>
                      <w:szCs w:val="21"/>
                      <w:lang w:val="zh-CN"/>
                    </w:rPr>
                    <w:t>指标纳入当地环保部门污染物总量控制管理</w:t>
                  </w:r>
                </w:p>
              </w:tc>
              <w:tc>
                <w:tcPr>
                  <w:tcW w:w="491" w:type="pct"/>
                  <w:vAlign w:val="center"/>
                </w:tcPr>
                <w:p w14:paraId="268E541A">
                  <w:pPr>
                    <w:autoSpaceDE w:val="0"/>
                    <w:autoSpaceDN w:val="0"/>
                    <w:adjustRightInd w:val="0"/>
                    <w:snapToGrid w:val="0"/>
                    <w:jc w:val="center"/>
                    <w:rPr>
                      <w:bCs/>
                      <w:szCs w:val="21"/>
                    </w:rPr>
                  </w:pPr>
                  <w:r>
                    <w:rPr>
                      <w:rFonts w:hint="eastAsia"/>
                      <w:bCs/>
                      <w:szCs w:val="21"/>
                    </w:rPr>
                    <w:t>相符</w:t>
                  </w:r>
                </w:p>
              </w:tc>
            </w:tr>
            <w:tr w14:paraId="6155DD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4"/>
                  <w:shd w:val="clear" w:color="auto" w:fill="auto"/>
                  <w:vAlign w:val="center"/>
                </w:tcPr>
                <w:p w14:paraId="0216D629">
                  <w:pPr>
                    <w:autoSpaceDE w:val="0"/>
                    <w:autoSpaceDN w:val="0"/>
                    <w:adjustRightInd w:val="0"/>
                    <w:snapToGrid w:val="0"/>
                    <w:jc w:val="center"/>
                    <w:rPr>
                      <w:b/>
                      <w:bCs/>
                      <w:szCs w:val="21"/>
                    </w:rPr>
                  </w:pPr>
                  <w:r>
                    <w:rPr>
                      <w:rFonts w:hint="eastAsia"/>
                      <w:b/>
                      <w:bCs/>
                      <w:szCs w:val="21"/>
                    </w:rPr>
                    <w:t>湘环评函[2022]85号要求</w:t>
                  </w:r>
                </w:p>
              </w:tc>
            </w:tr>
            <w:tr w14:paraId="4BD8C9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0FF8ACCC">
                  <w:pPr>
                    <w:autoSpaceDE w:val="0"/>
                    <w:autoSpaceDN w:val="0"/>
                    <w:adjustRightInd w:val="0"/>
                    <w:snapToGrid w:val="0"/>
                    <w:jc w:val="center"/>
                    <w:rPr>
                      <w:bCs/>
                      <w:szCs w:val="21"/>
                    </w:rPr>
                  </w:pPr>
                  <w:r>
                    <w:rPr>
                      <w:rFonts w:hint="eastAsia"/>
                      <w:bCs/>
                      <w:szCs w:val="21"/>
                    </w:rPr>
                    <w:t>1</w:t>
                  </w:r>
                </w:p>
              </w:tc>
              <w:tc>
                <w:tcPr>
                  <w:tcW w:w="2591" w:type="pct"/>
                  <w:shd w:val="clear" w:color="auto" w:fill="auto"/>
                  <w:vAlign w:val="center"/>
                </w:tcPr>
                <w:p w14:paraId="7AD66DD7">
                  <w:pPr>
                    <w:autoSpaceDE w:val="0"/>
                    <w:autoSpaceDN w:val="0"/>
                    <w:adjustRightInd w:val="0"/>
                    <w:snapToGrid w:val="0"/>
                    <w:jc w:val="center"/>
                    <w:rPr>
                      <w:kern w:val="0"/>
                      <w:szCs w:val="21"/>
                      <w:lang w:val="zh-CN"/>
                    </w:rPr>
                  </w:pPr>
                  <w:r>
                    <w:rPr>
                      <w:rFonts w:hint="eastAsia"/>
                      <w:color w:val="000000"/>
                      <w:szCs w:val="21"/>
                    </w:rPr>
                    <w:t>按程序做好高新区规划调整。规划实施以来，高新区未严格按照规划功能分区进行布置，存在不同性质的工业企业交错布设，未进行分区管控；存在区域实际开发用地现状、产业定位与原规划及城市总体规划不符等情形；区域整体开发强度偏低高新区应结合衡阳市国土空间规划和环境可行性结论，尽快按规定程序开展规划调整工作，通过优化空间布局、用地性质调整、引导产业集中、严格控规等措施因地制宜地调整产业区功能布局和产业布局，并按规划修编相关要求完善国土、规划、环保等相关手续，做到规范、有序和可持续发展。基于高新区常年主导风向生态环境敏感点较多，周边的工业企业应强化污染防治设施的治理效果，按要求设置一定的绿化隔离带，最大程度地避免对邻近生态环境敏感区的不良环境影响。后续引进企业，应合理引导企业布局，确保各行业企业在其相应的规划产业片区内发展，严禁跨红线布局</w:t>
                  </w:r>
                </w:p>
              </w:tc>
              <w:tc>
                <w:tcPr>
                  <w:tcW w:w="1603" w:type="pct"/>
                  <w:shd w:val="clear" w:color="auto" w:fill="auto"/>
                  <w:vAlign w:val="center"/>
                </w:tcPr>
                <w:p w14:paraId="39DAA69E">
                  <w:pPr>
                    <w:autoSpaceDE w:val="0"/>
                    <w:autoSpaceDN w:val="0"/>
                    <w:adjustRightInd w:val="0"/>
                    <w:snapToGrid w:val="0"/>
                    <w:jc w:val="center"/>
                    <w:rPr>
                      <w:bCs/>
                      <w:szCs w:val="21"/>
                    </w:rPr>
                  </w:pPr>
                  <w:r>
                    <w:rPr>
                      <w:rFonts w:hint="eastAsia"/>
                      <w:bCs/>
                      <w:szCs w:val="21"/>
                    </w:rPr>
                    <w:t>项目属于其他非金属矿物制品制造项目，符合园区产业定位</w:t>
                  </w:r>
                </w:p>
              </w:tc>
              <w:tc>
                <w:tcPr>
                  <w:tcW w:w="491" w:type="pct"/>
                  <w:vAlign w:val="center"/>
                </w:tcPr>
                <w:p w14:paraId="0603FBA2">
                  <w:pPr>
                    <w:autoSpaceDE w:val="0"/>
                    <w:autoSpaceDN w:val="0"/>
                    <w:adjustRightInd w:val="0"/>
                    <w:snapToGrid w:val="0"/>
                    <w:jc w:val="center"/>
                    <w:rPr>
                      <w:bCs/>
                      <w:szCs w:val="21"/>
                    </w:rPr>
                  </w:pPr>
                  <w:r>
                    <w:rPr>
                      <w:rFonts w:hint="eastAsia"/>
                      <w:bCs/>
                      <w:szCs w:val="21"/>
                    </w:rPr>
                    <w:t>相符</w:t>
                  </w:r>
                </w:p>
              </w:tc>
            </w:tr>
            <w:tr w14:paraId="315691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2A302B6D">
                  <w:pPr>
                    <w:autoSpaceDE w:val="0"/>
                    <w:autoSpaceDN w:val="0"/>
                    <w:adjustRightInd w:val="0"/>
                    <w:snapToGrid w:val="0"/>
                    <w:jc w:val="center"/>
                    <w:rPr>
                      <w:bCs/>
                      <w:szCs w:val="21"/>
                    </w:rPr>
                  </w:pPr>
                  <w:r>
                    <w:rPr>
                      <w:rFonts w:hint="eastAsia"/>
                      <w:bCs/>
                      <w:szCs w:val="21"/>
                    </w:rPr>
                    <w:t>2</w:t>
                  </w:r>
                </w:p>
              </w:tc>
              <w:tc>
                <w:tcPr>
                  <w:tcW w:w="2591" w:type="pct"/>
                  <w:shd w:val="clear" w:color="auto" w:fill="auto"/>
                  <w:vAlign w:val="center"/>
                </w:tcPr>
                <w:p w14:paraId="3D8DBC96">
                  <w:pPr>
                    <w:autoSpaceDE w:val="0"/>
                    <w:autoSpaceDN w:val="0"/>
                    <w:adjustRightInd w:val="0"/>
                    <w:snapToGrid w:val="0"/>
                    <w:jc w:val="center"/>
                    <w:rPr>
                      <w:kern w:val="0"/>
                      <w:szCs w:val="21"/>
                      <w:lang w:val="zh-CN"/>
                    </w:rPr>
                  </w:pPr>
                  <w:r>
                    <w:rPr>
                      <w:rFonts w:hint="eastAsia"/>
                      <w:color w:val="000000"/>
                      <w:szCs w:val="21"/>
                    </w:rPr>
                    <w:t>严格产业环境准入。衡阳西渡高新区后续发展与规划调整须符合高新区“三线一单”环境准入要求、长江经济带发展负面清单指南(试行)、湖南省湘江保护条例及《报告书》提出的环境准入条件和负面清单要求。应对不符合产业定位、环境准入和用地规划要求的企业，在严格确保污染物不增加的前提下予以保留。入驻企业应按照《关于加强重点行业建设项目区域削减措施监督管理的通知》等有关文件要求，依据区域环境质量改善目标，制定配套区域污染物削减方案，采取有效的污染物区域削减措施，腾出足够的环境容量。鉴于较为密集的生态环境敏感点位于高新区常年主导风向下风向，高新区必须禁止气型污染严重的企业、涉重排放企业入驻，严格控制三类工业。入驻企业应优先考虑使用清洁能源、能耗低、技术工艺先进、清洁生产和环境管理水平高污染防治技术成熟的企业，须严格执行环境保护“三同时”制度，确保外排污染物满足排污许可证管控要求</w:t>
                  </w:r>
                </w:p>
              </w:tc>
              <w:tc>
                <w:tcPr>
                  <w:tcW w:w="1603" w:type="pct"/>
                  <w:shd w:val="clear" w:color="auto" w:fill="auto"/>
                  <w:vAlign w:val="center"/>
                </w:tcPr>
                <w:p w14:paraId="34C8E642">
                  <w:pPr>
                    <w:autoSpaceDE w:val="0"/>
                    <w:autoSpaceDN w:val="0"/>
                    <w:adjustRightInd w:val="0"/>
                    <w:snapToGrid w:val="0"/>
                    <w:jc w:val="center"/>
                    <w:rPr>
                      <w:bCs/>
                      <w:szCs w:val="21"/>
                    </w:rPr>
                  </w:pPr>
                  <w:r>
                    <w:rPr>
                      <w:rFonts w:hint="eastAsia"/>
                      <w:bCs/>
                      <w:szCs w:val="21"/>
                    </w:rPr>
                    <w:t>本项目符合“三线一单”环境准入要求，且不在《长江经济带发展负面清单指南（试行）》、《湖南省湘江保护条例》提出的相关禁止性、限制性的范围内</w:t>
                  </w:r>
                </w:p>
              </w:tc>
              <w:tc>
                <w:tcPr>
                  <w:tcW w:w="491" w:type="pct"/>
                  <w:vAlign w:val="center"/>
                </w:tcPr>
                <w:p w14:paraId="43607F47">
                  <w:pPr>
                    <w:autoSpaceDE w:val="0"/>
                    <w:autoSpaceDN w:val="0"/>
                    <w:adjustRightInd w:val="0"/>
                    <w:snapToGrid w:val="0"/>
                    <w:jc w:val="center"/>
                    <w:rPr>
                      <w:bCs/>
                      <w:szCs w:val="21"/>
                    </w:rPr>
                  </w:pPr>
                  <w:r>
                    <w:rPr>
                      <w:rFonts w:hint="eastAsia"/>
                      <w:bCs/>
                      <w:szCs w:val="21"/>
                    </w:rPr>
                    <w:t>相符</w:t>
                  </w:r>
                </w:p>
              </w:tc>
            </w:tr>
            <w:tr w14:paraId="44D775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4D980329">
                  <w:pPr>
                    <w:autoSpaceDE w:val="0"/>
                    <w:autoSpaceDN w:val="0"/>
                    <w:adjustRightInd w:val="0"/>
                    <w:snapToGrid w:val="0"/>
                    <w:jc w:val="center"/>
                    <w:rPr>
                      <w:bCs/>
                      <w:szCs w:val="21"/>
                    </w:rPr>
                  </w:pPr>
                  <w:r>
                    <w:rPr>
                      <w:rFonts w:hint="eastAsia"/>
                      <w:bCs/>
                      <w:szCs w:val="21"/>
                    </w:rPr>
                    <w:t>3</w:t>
                  </w:r>
                </w:p>
              </w:tc>
              <w:tc>
                <w:tcPr>
                  <w:tcW w:w="2591" w:type="pct"/>
                  <w:shd w:val="clear" w:color="auto" w:fill="auto"/>
                  <w:vAlign w:val="center"/>
                </w:tcPr>
                <w:p w14:paraId="7D415798">
                  <w:pPr>
                    <w:autoSpaceDE w:val="0"/>
                    <w:autoSpaceDN w:val="0"/>
                    <w:adjustRightInd w:val="0"/>
                    <w:snapToGrid w:val="0"/>
                    <w:jc w:val="center"/>
                    <w:rPr>
                      <w:kern w:val="0"/>
                      <w:szCs w:val="21"/>
                      <w:lang w:val="zh-CN"/>
                    </w:rPr>
                  </w:pPr>
                  <w:r>
                    <w:rPr>
                      <w:rFonts w:hint="eastAsia"/>
                      <w:color w:val="000000"/>
                      <w:szCs w:val="21"/>
                    </w:rPr>
                    <w:t>进一步落实高新区污染管控措施。进一步完善区域雨污分流和污污分流系统、污水收集管建设，确保高新区废水应收尽收；鉴于高新区基础设施尚不完善，区域内的污水未全部纳入污水处理厂集中深度处理，且受纳水体蒸水目前环境容量有限，污水处理厂配套接管未完成的区域，应禁止引进水型污染企业，并加快办理污水处理厂入河排污口论证手续。优化能源结构，推广清洁能源。加强高新区大气污染防治，加大对区内山泰化工、恒生制药、得阳鞋业等重点排污企业废气治理措施运行情况及废气无组织排放的监管，确保大气污染物达标排放，对治理设施不能有效运行的企业，采取停产措施。做好工业固体废物和生活垃圾的分类收集、转运、综合利用和无害化处理，建立完善的固废管理体系。对危险废物应严格按照国家有关规定综合利用或妥善处置，对危险废物产生企业和经营单位，应强化日常环境监管，高新区范围内仍有企业存在环保手续履行不到位的情形，须严格落实排污许可制度和污染物排放总量控制，重点抓好企业环保手续的完善工作</w:t>
                  </w:r>
                </w:p>
              </w:tc>
              <w:tc>
                <w:tcPr>
                  <w:tcW w:w="1603" w:type="pct"/>
                  <w:shd w:val="clear" w:color="auto" w:fill="auto"/>
                  <w:vAlign w:val="center"/>
                </w:tcPr>
                <w:p w14:paraId="25C83A48">
                  <w:pPr>
                    <w:autoSpaceDE w:val="0"/>
                    <w:autoSpaceDN w:val="0"/>
                    <w:adjustRightInd w:val="0"/>
                    <w:snapToGrid w:val="0"/>
                    <w:jc w:val="center"/>
                    <w:rPr>
                      <w:bCs/>
                      <w:szCs w:val="21"/>
                    </w:rPr>
                  </w:pPr>
                  <w:r>
                    <w:rPr>
                      <w:rFonts w:hint="eastAsia"/>
                      <w:szCs w:val="21"/>
                    </w:rPr>
                    <w:t>（1）项目运营期</w:t>
                  </w:r>
                  <w:r>
                    <w:rPr>
                      <w:bCs/>
                      <w:szCs w:val="21"/>
                    </w:rPr>
                    <w:t>无生产废水产生与排放，生活污水</w:t>
                  </w:r>
                  <w:r>
                    <w:rPr>
                      <w:rFonts w:hint="eastAsia"/>
                      <w:bCs/>
                      <w:szCs w:val="21"/>
                    </w:rPr>
                    <w:t>经</w:t>
                  </w:r>
                  <w:r>
                    <w:rPr>
                      <w:bCs/>
                      <w:szCs w:val="21"/>
                    </w:rPr>
                    <w:t>化粪池处理</w:t>
                  </w:r>
                  <w:r>
                    <w:rPr>
                      <w:rFonts w:hint="eastAsia" w:ascii="Calibri" w:hAnsi="Calibri"/>
                      <w:szCs w:val="21"/>
                    </w:rPr>
                    <w:t>后排入市政污水管网，经衡阳西渡高新区污水处理厂深度处理后排至蒸水</w:t>
                  </w:r>
                  <w:r>
                    <w:rPr>
                      <w:rFonts w:hint="eastAsia"/>
                      <w:szCs w:val="21"/>
                    </w:rPr>
                    <w:t>。（2）项目产生的粉尘收集后经布袋除尘器处理后达标排放。（3）项目固废均合理处置，不会产生二次污染</w:t>
                  </w:r>
                </w:p>
              </w:tc>
              <w:tc>
                <w:tcPr>
                  <w:tcW w:w="491" w:type="pct"/>
                  <w:vAlign w:val="center"/>
                </w:tcPr>
                <w:p w14:paraId="47E51B2C">
                  <w:pPr>
                    <w:autoSpaceDE w:val="0"/>
                    <w:autoSpaceDN w:val="0"/>
                    <w:adjustRightInd w:val="0"/>
                    <w:snapToGrid w:val="0"/>
                    <w:jc w:val="center"/>
                    <w:rPr>
                      <w:bCs/>
                      <w:szCs w:val="21"/>
                    </w:rPr>
                  </w:pPr>
                  <w:r>
                    <w:rPr>
                      <w:rFonts w:hint="eastAsia"/>
                      <w:bCs/>
                      <w:szCs w:val="21"/>
                    </w:rPr>
                    <w:t>相符</w:t>
                  </w:r>
                </w:p>
              </w:tc>
            </w:tr>
            <w:tr w14:paraId="744E64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34F48138">
                  <w:pPr>
                    <w:autoSpaceDE w:val="0"/>
                    <w:autoSpaceDN w:val="0"/>
                    <w:adjustRightInd w:val="0"/>
                    <w:snapToGrid w:val="0"/>
                    <w:jc w:val="center"/>
                    <w:rPr>
                      <w:bCs/>
                      <w:szCs w:val="21"/>
                    </w:rPr>
                  </w:pPr>
                  <w:r>
                    <w:rPr>
                      <w:rFonts w:hint="eastAsia"/>
                      <w:bCs/>
                      <w:szCs w:val="21"/>
                    </w:rPr>
                    <w:t>4</w:t>
                  </w:r>
                </w:p>
              </w:tc>
              <w:tc>
                <w:tcPr>
                  <w:tcW w:w="2591" w:type="pct"/>
                  <w:shd w:val="clear" w:color="auto" w:fill="auto"/>
                  <w:vAlign w:val="center"/>
                </w:tcPr>
                <w:p w14:paraId="7E7CF244">
                  <w:pPr>
                    <w:autoSpaceDE w:val="0"/>
                    <w:autoSpaceDN w:val="0"/>
                    <w:adjustRightInd w:val="0"/>
                    <w:snapToGrid w:val="0"/>
                    <w:jc w:val="center"/>
                    <w:rPr>
                      <w:color w:val="000000"/>
                      <w:szCs w:val="21"/>
                    </w:rPr>
                  </w:pPr>
                  <w:r>
                    <w:rPr>
                      <w:rFonts w:hint="eastAsia"/>
                      <w:color w:val="000000"/>
                      <w:szCs w:val="21"/>
                    </w:rPr>
                    <w:t>完善高新区环境监测体系。严格落实跟踪评价提出的监测方案，应结合高新区规划的功能分区、产业布局、重点企业分布、特征污染物的排放种类和状况、环境敏感目标分布等,建立健全环境空气、地表水地下水、土壤等环境要素的监控体系，并按《报告书》提出的要求，对相应点位（断面）开展跟踪监测加强对高新区重点排放单位、环保投诉较多企业的监督性监测</w:t>
                  </w:r>
                </w:p>
              </w:tc>
              <w:tc>
                <w:tcPr>
                  <w:tcW w:w="1603" w:type="pct"/>
                  <w:shd w:val="clear" w:color="auto" w:fill="auto"/>
                  <w:vAlign w:val="center"/>
                </w:tcPr>
                <w:p w14:paraId="63B72C45">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c>
                <w:tcPr>
                  <w:tcW w:w="491" w:type="pct"/>
                  <w:vAlign w:val="center"/>
                </w:tcPr>
                <w:p w14:paraId="40FAC365">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r>
            <w:tr w14:paraId="2FDCB3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50AE13F6">
                  <w:pPr>
                    <w:autoSpaceDE w:val="0"/>
                    <w:autoSpaceDN w:val="0"/>
                    <w:adjustRightInd w:val="0"/>
                    <w:snapToGrid w:val="0"/>
                    <w:jc w:val="center"/>
                    <w:rPr>
                      <w:bCs/>
                      <w:szCs w:val="21"/>
                    </w:rPr>
                  </w:pPr>
                  <w:r>
                    <w:rPr>
                      <w:rFonts w:hint="eastAsia"/>
                      <w:bCs/>
                      <w:szCs w:val="21"/>
                    </w:rPr>
                    <w:t>5</w:t>
                  </w:r>
                </w:p>
              </w:tc>
              <w:tc>
                <w:tcPr>
                  <w:tcW w:w="2591" w:type="pct"/>
                  <w:shd w:val="clear" w:color="auto" w:fill="auto"/>
                  <w:vAlign w:val="center"/>
                </w:tcPr>
                <w:p w14:paraId="6502114D">
                  <w:pPr>
                    <w:autoSpaceDE w:val="0"/>
                    <w:autoSpaceDN w:val="0"/>
                    <w:adjustRightInd w:val="0"/>
                    <w:snapToGrid w:val="0"/>
                    <w:jc w:val="center"/>
                    <w:rPr>
                      <w:color w:val="000000"/>
                      <w:szCs w:val="21"/>
                    </w:rPr>
                  </w:pPr>
                  <w:r>
                    <w:rPr>
                      <w:rFonts w:hint="eastAsia"/>
                      <w:color w:val="000000"/>
                      <w:szCs w:val="21"/>
                    </w:rPr>
                    <w:t>健全高新区环境风险防控体系。加强高新区重要环境风险源管控，加强高新区危险化学品储运的环境风险管理，严格落实应急响应联动机制，确保区域环境安全</w:t>
                  </w:r>
                </w:p>
              </w:tc>
              <w:tc>
                <w:tcPr>
                  <w:tcW w:w="1603" w:type="pct"/>
                  <w:shd w:val="clear" w:color="auto" w:fill="auto"/>
                  <w:vAlign w:val="center"/>
                </w:tcPr>
                <w:p w14:paraId="3D3942C6">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c>
                <w:tcPr>
                  <w:tcW w:w="491" w:type="pct"/>
                  <w:vAlign w:val="center"/>
                </w:tcPr>
                <w:p w14:paraId="2AB275BB">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r>
            <w:tr w14:paraId="390B26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07A2C81B">
                  <w:pPr>
                    <w:autoSpaceDE w:val="0"/>
                    <w:autoSpaceDN w:val="0"/>
                    <w:adjustRightInd w:val="0"/>
                    <w:snapToGrid w:val="0"/>
                    <w:jc w:val="center"/>
                    <w:rPr>
                      <w:bCs/>
                      <w:szCs w:val="21"/>
                    </w:rPr>
                  </w:pPr>
                  <w:r>
                    <w:rPr>
                      <w:rFonts w:hint="eastAsia"/>
                      <w:bCs/>
                      <w:szCs w:val="21"/>
                    </w:rPr>
                    <w:t>6</w:t>
                  </w:r>
                </w:p>
              </w:tc>
              <w:tc>
                <w:tcPr>
                  <w:tcW w:w="2591" w:type="pct"/>
                  <w:shd w:val="clear" w:color="auto" w:fill="auto"/>
                  <w:vAlign w:val="center"/>
                </w:tcPr>
                <w:p w14:paraId="09C971CA">
                  <w:pPr>
                    <w:autoSpaceDE w:val="0"/>
                    <w:autoSpaceDN w:val="0"/>
                    <w:adjustRightInd w:val="0"/>
                    <w:snapToGrid w:val="0"/>
                    <w:jc w:val="center"/>
                    <w:rPr>
                      <w:color w:val="000000"/>
                      <w:szCs w:val="21"/>
                    </w:rPr>
                  </w:pPr>
                  <w:r>
                    <w:rPr>
                      <w:rFonts w:hint="eastAsia"/>
                      <w:color w:val="000000"/>
                      <w:szCs w:val="21"/>
                    </w:rPr>
                    <w:t>加强对环境敏感点的保护。严格做好控规，杜绝在规划的工业用地上新增环境敏感目标、建设居民区。做好商业用地居住用地周边的规划控制,在下-轮规划调整中应从提升指导性、可操作性的角度出发推动产业集中布局、降低环境影响，强化产城融合度较高区域产业准入，严格控制气型污染企业入驻，加强对现有企业的污染防治措施。按要求做好功能区及具体项目用地周边规划控制，衡阳西渡高新区应根据开发规划统筹制定拆迁安置方案，落实移民生产生活安置措施，防治移民再次安置和次生环境问题</w:t>
                  </w:r>
                </w:p>
              </w:tc>
              <w:tc>
                <w:tcPr>
                  <w:tcW w:w="1603" w:type="pct"/>
                  <w:shd w:val="clear" w:color="auto" w:fill="auto"/>
                  <w:vAlign w:val="center"/>
                </w:tcPr>
                <w:p w14:paraId="36351A75">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c>
                <w:tcPr>
                  <w:tcW w:w="491" w:type="pct"/>
                  <w:vAlign w:val="center"/>
                </w:tcPr>
                <w:p w14:paraId="78FC16C7">
                  <w:pPr>
                    <w:pStyle w:val="105"/>
                    <w:rPr>
                      <w:rFonts w:ascii="Times New Roman" w:hAnsi="Times New Roman" w:cs="Times New Roman"/>
                      <w:sz w:val="21"/>
                      <w:szCs w:val="21"/>
                      <w:u w:val="wave"/>
                    </w:rPr>
                  </w:pPr>
                  <w:r>
                    <w:rPr>
                      <w:rFonts w:hint="eastAsia" w:ascii="Times New Roman" w:hAnsi="Times New Roman" w:cs="Times New Roman"/>
                      <w:sz w:val="21"/>
                      <w:szCs w:val="21"/>
                      <w:u w:val="wave"/>
                    </w:rPr>
                    <w:t>/</w:t>
                  </w:r>
                </w:p>
              </w:tc>
            </w:tr>
            <w:tr w14:paraId="2E58A8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5" w:type="pct"/>
                  <w:shd w:val="clear" w:color="auto" w:fill="auto"/>
                  <w:vAlign w:val="center"/>
                </w:tcPr>
                <w:p w14:paraId="647CA1E4">
                  <w:pPr>
                    <w:autoSpaceDE w:val="0"/>
                    <w:autoSpaceDN w:val="0"/>
                    <w:adjustRightInd w:val="0"/>
                    <w:snapToGrid w:val="0"/>
                    <w:jc w:val="center"/>
                    <w:rPr>
                      <w:bCs/>
                      <w:szCs w:val="21"/>
                    </w:rPr>
                  </w:pPr>
                  <w:r>
                    <w:rPr>
                      <w:rFonts w:hint="eastAsia"/>
                      <w:bCs/>
                      <w:szCs w:val="21"/>
                    </w:rPr>
                    <w:t>7</w:t>
                  </w:r>
                </w:p>
              </w:tc>
              <w:tc>
                <w:tcPr>
                  <w:tcW w:w="2591" w:type="pct"/>
                  <w:shd w:val="clear" w:color="auto" w:fill="auto"/>
                  <w:vAlign w:val="center"/>
                </w:tcPr>
                <w:p w14:paraId="0C62B948">
                  <w:pPr>
                    <w:autoSpaceDE w:val="0"/>
                    <w:autoSpaceDN w:val="0"/>
                    <w:adjustRightInd w:val="0"/>
                    <w:snapToGrid w:val="0"/>
                    <w:jc w:val="center"/>
                    <w:rPr>
                      <w:color w:val="000000"/>
                      <w:szCs w:val="21"/>
                    </w:rPr>
                  </w:pPr>
                  <w:r>
                    <w:rPr>
                      <w:rFonts w:hint="eastAsia"/>
                      <w:color w:val="000000"/>
                      <w:szCs w:val="21"/>
                    </w:rPr>
                    <w:t>做好高新区后续开发过程中生态环境保护和水土保持。尽可能保留自然水体，施工期对土石方开挖、堆存及回填要实施围挡、护坡等措施，裸露地及时恢复植被，防止后续开发建设中的扬尘污染和水土流失</w:t>
                  </w:r>
                </w:p>
              </w:tc>
              <w:tc>
                <w:tcPr>
                  <w:tcW w:w="1603" w:type="pct"/>
                  <w:shd w:val="clear" w:color="auto" w:fill="auto"/>
                  <w:vAlign w:val="center"/>
                </w:tcPr>
                <w:p w14:paraId="004C4372">
                  <w:pPr>
                    <w:autoSpaceDE w:val="0"/>
                    <w:autoSpaceDN w:val="0"/>
                    <w:adjustRightInd w:val="0"/>
                    <w:snapToGrid w:val="0"/>
                    <w:jc w:val="center"/>
                    <w:rPr>
                      <w:bCs/>
                      <w:szCs w:val="21"/>
                    </w:rPr>
                  </w:pPr>
                  <w:r>
                    <w:rPr>
                      <w:rFonts w:hint="eastAsia"/>
                      <w:bCs/>
                      <w:szCs w:val="21"/>
                    </w:rPr>
                    <w:t>项目租赁湖南衡利丰陶瓷有限公司闲置厂房的部分区域进行生产，不涉及土建工程</w:t>
                  </w:r>
                </w:p>
              </w:tc>
              <w:tc>
                <w:tcPr>
                  <w:tcW w:w="491" w:type="pct"/>
                  <w:vAlign w:val="center"/>
                </w:tcPr>
                <w:p w14:paraId="5C2EAD20">
                  <w:pPr>
                    <w:autoSpaceDE w:val="0"/>
                    <w:autoSpaceDN w:val="0"/>
                    <w:adjustRightInd w:val="0"/>
                    <w:snapToGrid w:val="0"/>
                    <w:jc w:val="center"/>
                    <w:rPr>
                      <w:bCs/>
                      <w:szCs w:val="21"/>
                    </w:rPr>
                  </w:pPr>
                  <w:r>
                    <w:rPr>
                      <w:rFonts w:hint="eastAsia"/>
                      <w:bCs/>
                      <w:szCs w:val="21"/>
                    </w:rPr>
                    <w:t>相符</w:t>
                  </w:r>
                </w:p>
              </w:tc>
            </w:tr>
          </w:tbl>
          <w:p w14:paraId="338C3DD8">
            <w:pPr>
              <w:autoSpaceDE w:val="0"/>
              <w:autoSpaceDN w:val="0"/>
              <w:adjustRightInd w:val="0"/>
              <w:snapToGrid w:val="0"/>
              <w:spacing w:line="360" w:lineRule="auto"/>
              <w:ind w:firstLine="480" w:firstLineChars="200"/>
              <w:rPr>
                <w:bCs/>
                <w:kern w:val="0"/>
                <w:sz w:val="24"/>
              </w:rPr>
            </w:pPr>
            <w:r>
              <w:rPr>
                <w:rFonts w:hint="eastAsia"/>
                <w:bCs/>
                <w:kern w:val="0"/>
                <w:sz w:val="24"/>
              </w:rPr>
              <w:t>由上表可知，本项目符合《衡阳西渡经济开发区环境影响报告书》审查意见（湘环评[2013]285号）和</w:t>
            </w:r>
            <w:r>
              <w:rPr>
                <w:rFonts w:hint="eastAsia"/>
                <w:spacing w:val="9"/>
                <w:sz w:val="24"/>
              </w:rPr>
              <w:t>《湖南省生态环境厅关于湖南衡阳西渡高新技术产业园区环境影响跟踪评价工作意见的函》（湘环评函[2022]85号）</w:t>
            </w:r>
            <w:r>
              <w:rPr>
                <w:rFonts w:hint="eastAsia"/>
                <w:bCs/>
                <w:kern w:val="0"/>
                <w:sz w:val="24"/>
              </w:rPr>
              <w:t>中所提出的要求。</w:t>
            </w:r>
          </w:p>
        </w:tc>
      </w:tr>
      <w:tr w14:paraId="3DF184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23" w:type="dxa"/>
            <w:vAlign w:val="center"/>
          </w:tcPr>
          <w:p w14:paraId="7C75883D">
            <w:pPr>
              <w:autoSpaceDE w:val="0"/>
              <w:autoSpaceDN w:val="0"/>
              <w:adjustRightInd w:val="0"/>
              <w:snapToGrid w:val="0"/>
              <w:jc w:val="center"/>
              <w:rPr>
                <w:b/>
                <w:kern w:val="0"/>
                <w:sz w:val="24"/>
              </w:rPr>
            </w:pPr>
            <w:r>
              <w:rPr>
                <w:b/>
                <w:kern w:val="0"/>
                <w:sz w:val="24"/>
              </w:rPr>
              <w:t>其他符合性分析</w:t>
            </w:r>
          </w:p>
        </w:tc>
        <w:tc>
          <w:tcPr>
            <w:tcW w:w="9383" w:type="dxa"/>
            <w:gridSpan w:val="4"/>
            <w:vAlign w:val="center"/>
          </w:tcPr>
          <w:p w14:paraId="384E6BDF">
            <w:pPr>
              <w:autoSpaceDE w:val="0"/>
              <w:autoSpaceDN w:val="0"/>
              <w:adjustRightInd w:val="0"/>
              <w:snapToGrid w:val="0"/>
              <w:spacing w:line="360" w:lineRule="auto"/>
              <w:ind w:firstLine="482" w:firstLineChars="200"/>
              <w:rPr>
                <w:rFonts w:hAnsiTheme="minorEastAsia" w:eastAsiaTheme="minorEastAsia"/>
                <w:b/>
                <w:sz w:val="24"/>
                <w:szCs w:val="22"/>
              </w:rPr>
            </w:pPr>
            <w:r>
              <w:rPr>
                <w:rFonts w:hint="eastAsia" w:hAnsiTheme="minorEastAsia" w:eastAsiaTheme="minorEastAsia"/>
                <w:b/>
                <w:sz w:val="24"/>
                <w:szCs w:val="22"/>
              </w:rPr>
              <w:t>1、</w:t>
            </w:r>
            <w:r>
              <w:rPr>
                <w:rFonts w:hAnsiTheme="minorEastAsia" w:eastAsiaTheme="minorEastAsia"/>
                <w:b/>
                <w:sz w:val="24"/>
                <w:szCs w:val="22"/>
              </w:rPr>
              <w:t>产业政策合理性分析</w:t>
            </w:r>
          </w:p>
          <w:p w14:paraId="4A804A69">
            <w:pPr>
              <w:pStyle w:val="59"/>
              <w:spacing w:line="360" w:lineRule="auto"/>
              <w:ind w:firstLine="516" w:firstLineChars="200"/>
              <w:rPr>
                <w:rFonts w:eastAsia="宋体"/>
                <w:color w:val="auto"/>
                <w:spacing w:val="9"/>
                <w:szCs w:val="24"/>
              </w:rPr>
            </w:pPr>
            <w:r>
              <w:rPr>
                <w:rFonts w:hint="eastAsia" w:eastAsia="宋体"/>
                <w:color w:val="auto"/>
                <w:spacing w:val="9"/>
                <w:szCs w:val="24"/>
              </w:rPr>
              <w:t>（1）本项目属于其他非金属矿物制品制造项目，经对比《产业结构调整指导目录（2024年本）》，本项目不在目录所列的鼓励类中，也不在限制类和淘汰类中，为允许类项目。</w:t>
            </w:r>
            <w:r>
              <w:rPr>
                <w:rFonts w:eastAsia="宋体"/>
                <w:color w:val="auto"/>
                <w:spacing w:val="9"/>
                <w:szCs w:val="24"/>
              </w:rPr>
              <w:t xml:space="preserve"> </w:t>
            </w:r>
          </w:p>
          <w:p w14:paraId="70E426E1">
            <w:pPr>
              <w:pStyle w:val="59"/>
              <w:spacing w:line="360" w:lineRule="auto"/>
              <w:ind w:firstLine="480" w:firstLineChars="200"/>
              <w:rPr>
                <w:rFonts w:hAnsiTheme="minorEastAsia" w:eastAsiaTheme="minorEastAsia"/>
                <w:color w:val="auto"/>
              </w:rPr>
            </w:pPr>
            <w:r>
              <w:rPr>
                <w:rFonts w:hint="eastAsia" w:hAnsiTheme="minorEastAsia" w:eastAsiaTheme="minorEastAsia"/>
                <w:color w:val="auto"/>
              </w:rPr>
              <w:t>（2）根据《市场准入负面清单（2022年版）》，本项目不属于其规定的“禁止准入类”和“许可准入类”项目，本项目属于允许建设类，符合要求。</w:t>
            </w:r>
          </w:p>
          <w:p w14:paraId="665201F1">
            <w:pPr>
              <w:adjustRightInd w:val="0"/>
              <w:snapToGrid w:val="0"/>
              <w:spacing w:line="360" w:lineRule="auto"/>
              <w:ind w:firstLine="480" w:firstLineChars="200"/>
              <w:rPr>
                <w:sz w:val="24"/>
              </w:rPr>
            </w:pPr>
            <w:r>
              <w:rPr>
                <w:rFonts w:hint="eastAsia"/>
                <w:sz w:val="24"/>
              </w:rPr>
              <w:t>（3）项目已取得湖南衡阳西渡高新技术产业园区管理委员会出具的备案证明（项目代码：</w:t>
            </w:r>
            <w:r>
              <w:rPr>
                <w:sz w:val="24"/>
              </w:rPr>
              <w:t>2501-430400-04-01-174950</w:t>
            </w:r>
            <w:r>
              <w:rPr>
                <w:rFonts w:hint="eastAsia"/>
                <w:sz w:val="24"/>
              </w:rPr>
              <w:t>）。</w:t>
            </w:r>
          </w:p>
          <w:p w14:paraId="05ECB131">
            <w:pPr>
              <w:adjustRightInd w:val="0"/>
              <w:snapToGrid w:val="0"/>
              <w:spacing w:line="360" w:lineRule="auto"/>
              <w:ind w:firstLine="480" w:firstLineChars="200"/>
              <w:rPr>
                <w:sz w:val="24"/>
              </w:rPr>
            </w:pPr>
            <w:r>
              <w:rPr>
                <w:rFonts w:hint="eastAsia"/>
                <w:sz w:val="24"/>
              </w:rPr>
              <w:t>（4）</w:t>
            </w:r>
            <w:r>
              <w:rPr>
                <w:sz w:val="24"/>
              </w:rPr>
              <w:t>项目所选用机械设备未列入《部分工业行业淘汰落后生产工艺装备和产品指导目录（2010年本）》（工产业（2010）第122号）中，无淘汰、落后设备。</w:t>
            </w:r>
          </w:p>
          <w:p w14:paraId="460B52AE">
            <w:pPr>
              <w:adjustRightInd w:val="0"/>
              <w:snapToGrid w:val="0"/>
              <w:spacing w:line="360" w:lineRule="auto"/>
              <w:ind w:firstLine="480" w:firstLineChars="200"/>
              <w:rPr>
                <w:sz w:val="24"/>
              </w:rPr>
            </w:pPr>
            <w:r>
              <w:rPr>
                <w:rFonts w:hint="eastAsia"/>
                <w:sz w:val="24"/>
              </w:rPr>
              <w:t>综合所述，本项目符合国家和地方产业政策</w:t>
            </w:r>
            <w:r>
              <w:rPr>
                <w:sz w:val="24"/>
              </w:rPr>
              <w:t>。</w:t>
            </w:r>
          </w:p>
          <w:p w14:paraId="192839C4">
            <w:pPr>
              <w:autoSpaceDE w:val="0"/>
              <w:autoSpaceDN w:val="0"/>
              <w:adjustRightInd w:val="0"/>
              <w:snapToGrid w:val="0"/>
              <w:spacing w:line="360" w:lineRule="auto"/>
              <w:ind w:firstLine="482" w:firstLineChars="200"/>
              <w:jc w:val="left"/>
              <w:rPr>
                <w:b/>
                <w:sz w:val="24"/>
              </w:rPr>
            </w:pPr>
            <w:r>
              <w:rPr>
                <w:rFonts w:hint="eastAsia"/>
                <w:b/>
                <w:sz w:val="24"/>
              </w:rPr>
              <w:t>2、项目选址合理</w:t>
            </w:r>
            <w:r>
              <w:rPr>
                <w:b/>
                <w:sz w:val="24"/>
              </w:rPr>
              <w:t>性分析</w:t>
            </w:r>
          </w:p>
          <w:p w14:paraId="19D96639">
            <w:pPr>
              <w:autoSpaceDE w:val="0"/>
              <w:autoSpaceDN w:val="0"/>
              <w:adjustRightInd w:val="0"/>
              <w:snapToGrid w:val="0"/>
              <w:spacing w:line="360" w:lineRule="auto"/>
              <w:ind w:firstLine="480" w:firstLineChars="200"/>
              <w:jc w:val="left"/>
              <w:rPr>
                <w:sz w:val="24"/>
              </w:rPr>
            </w:pPr>
            <w:r>
              <w:rPr>
                <w:rFonts w:hint="eastAsia"/>
                <w:sz w:val="24"/>
              </w:rPr>
              <w:t>项目位于</w:t>
            </w:r>
            <w:r>
              <w:rPr>
                <w:rFonts w:hint="eastAsia"/>
                <w:sz w:val="24"/>
                <w:szCs w:val="28"/>
              </w:rPr>
              <w:t>湖南省衡阳市衡阳县西渡镇大勇村</w:t>
            </w:r>
            <w:r>
              <w:rPr>
                <w:rFonts w:hint="eastAsia" w:hAnsiTheme="minorEastAsia" w:eastAsiaTheme="minorEastAsia"/>
                <w:sz w:val="24"/>
                <w:szCs w:val="22"/>
              </w:rPr>
              <w:t>，租赁湖南衡利丰陶瓷有限公司闲置厂房的部分区域进行生产，租赁</w:t>
            </w:r>
            <w:r>
              <w:rPr>
                <w:rFonts w:hint="eastAsia"/>
                <w:kern w:val="0"/>
                <w:sz w:val="24"/>
              </w:rPr>
              <w:t>面积2793</w:t>
            </w:r>
            <w:r>
              <w:rPr>
                <w:sz w:val="24"/>
              </w:rPr>
              <w:t>m</w:t>
            </w:r>
            <w:r>
              <w:rPr>
                <w:sz w:val="24"/>
                <w:vertAlign w:val="superscript"/>
              </w:rPr>
              <w:t>2</w:t>
            </w:r>
            <w:r>
              <w:rPr>
                <w:rFonts w:hint="eastAsia" w:hAnsiTheme="minorEastAsia" w:eastAsiaTheme="minorEastAsia"/>
                <w:sz w:val="24"/>
                <w:szCs w:val="22"/>
              </w:rPr>
              <w:t>，已签订有租赁协议；项目所在地块位于衡阳西渡高新技术产业园区块三用地范围内，所在用地属于工业用地。</w:t>
            </w:r>
          </w:p>
          <w:p w14:paraId="345CC19B">
            <w:pPr>
              <w:autoSpaceDE w:val="0"/>
              <w:autoSpaceDN w:val="0"/>
              <w:adjustRightInd w:val="0"/>
              <w:snapToGrid w:val="0"/>
              <w:spacing w:line="360" w:lineRule="auto"/>
              <w:ind w:firstLine="480" w:firstLineChars="200"/>
              <w:jc w:val="left"/>
              <w:rPr>
                <w:sz w:val="24"/>
              </w:rPr>
            </w:pPr>
            <w:r>
              <w:rPr>
                <w:rFonts w:hint="eastAsia"/>
                <w:sz w:val="24"/>
              </w:rPr>
              <w:t>项目周边无自然保护区、风景名胜区、森林公园、饮用水水源保护区、重要湖泊周边、文物古迹所在地、地质遗迹保护区、基本农田保护区等环境敏感区域；</w:t>
            </w:r>
            <w:r>
              <w:rPr>
                <w:rFonts w:hint="eastAsia" w:hAnsiTheme="minorEastAsia" w:eastAsiaTheme="minorEastAsia"/>
                <w:sz w:val="24"/>
                <w:szCs w:val="22"/>
              </w:rPr>
              <w:t>无医药、食品等环境敏感型企业，项目外环境关系较简单，无明显环境制约因素</w:t>
            </w:r>
            <w:r>
              <w:rPr>
                <w:rFonts w:hint="eastAsia"/>
                <w:sz w:val="24"/>
              </w:rPr>
              <w:t>。</w:t>
            </w:r>
          </w:p>
          <w:p w14:paraId="5A9011F3">
            <w:pPr>
              <w:autoSpaceDE w:val="0"/>
              <w:autoSpaceDN w:val="0"/>
              <w:adjustRightInd w:val="0"/>
              <w:snapToGrid w:val="0"/>
              <w:spacing w:line="360" w:lineRule="auto"/>
              <w:ind w:firstLine="480" w:firstLineChars="200"/>
              <w:jc w:val="left"/>
              <w:rPr>
                <w:sz w:val="24"/>
              </w:rPr>
            </w:pPr>
            <w:r>
              <w:rPr>
                <w:rFonts w:hint="eastAsia"/>
                <w:sz w:val="24"/>
              </w:rPr>
              <w:t>项目地项目产生的噪声主要是最大限度地利用厂房隔声，同时突出优化总图布置，设备安装减震装置，尽量避免噪声影响。项目废水和废气均采取了合理有效的治理措施，不会对周边环境带来不良影响。</w:t>
            </w:r>
          </w:p>
          <w:p w14:paraId="0CB881CD">
            <w:pPr>
              <w:autoSpaceDE w:val="0"/>
              <w:autoSpaceDN w:val="0"/>
              <w:adjustRightInd w:val="0"/>
              <w:snapToGrid w:val="0"/>
              <w:spacing w:line="360" w:lineRule="auto"/>
              <w:ind w:firstLine="480" w:firstLineChars="200"/>
              <w:jc w:val="left"/>
              <w:rPr>
                <w:sz w:val="24"/>
              </w:rPr>
            </w:pPr>
            <w:r>
              <w:rPr>
                <w:rFonts w:hint="eastAsia"/>
                <w:sz w:val="24"/>
              </w:rPr>
              <w:t>综上所述，项目对区域环境影响较小，从环保角度分析，项目选址合理可行，对外环境无较大影响</w:t>
            </w:r>
            <w:r>
              <w:rPr>
                <w:sz w:val="24"/>
              </w:rPr>
              <w:t>。</w:t>
            </w:r>
          </w:p>
          <w:p w14:paraId="1F2B879A">
            <w:pPr>
              <w:autoSpaceDE w:val="0"/>
              <w:autoSpaceDN w:val="0"/>
              <w:adjustRightInd w:val="0"/>
              <w:snapToGrid w:val="0"/>
              <w:spacing w:line="360" w:lineRule="auto"/>
              <w:ind w:firstLine="482" w:firstLineChars="200"/>
              <w:jc w:val="left"/>
              <w:rPr>
                <w:b/>
                <w:sz w:val="24"/>
              </w:rPr>
            </w:pPr>
            <w:r>
              <w:rPr>
                <w:rFonts w:hint="eastAsia"/>
                <w:b/>
                <w:sz w:val="24"/>
              </w:rPr>
              <w:t>3、“</w:t>
            </w:r>
            <w:r>
              <w:rPr>
                <w:b/>
                <w:sz w:val="24"/>
              </w:rPr>
              <w:t>三线一单</w:t>
            </w:r>
            <w:r>
              <w:rPr>
                <w:rFonts w:asciiTheme="minorEastAsia" w:hAnsiTheme="minorEastAsia" w:eastAsiaTheme="minorEastAsia"/>
                <w:b/>
                <w:sz w:val="24"/>
              </w:rPr>
              <w:t>”</w:t>
            </w:r>
            <w:r>
              <w:rPr>
                <w:b/>
                <w:sz w:val="24"/>
              </w:rPr>
              <w:t>控制要求的符合性分析</w:t>
            </w:r>
          </w:p>
          <w:p w14:paraId="00C8EA99">
            <w:pPr>
              <w:adjustRightInd w:val="0"/>
              <w:spacing w:line="360" w:lineRule="auto"/>
              <w:ind w:firstLine="480" w:firstLineChars="200"/>
              <w:rPr>
                <w:sz w:val="24"/>
              </w:rPr>
            </w:pPr>
            <w:r>
              <w:rPr>
                <w:rFonts w:hint="eastAsia"/>
                <w:sz w:val="24"/>
              </w:rPr>
              <w:t>（1）生态保护红线</w:t>
            </w:r>
          </w:p>
          <w:p w14:paraId="7CEA8888">
            <w:pPr>
              <w:adjustRightInd w:val="0"/>
              <w:snapToGrid w:val="0"/>
              <w:spacing w:line="360" w:lineRule="auto"/>
              <w:ind w:firstLine="480" w:firstLineChars="200"/>
              <w:rPr>
                <w:sz w:val="24"/>
              </w:rPr>
            </w:pPr>
            <w:r>
              <w:rPr>
                <w:rFonts w:hint="eastAsia"/>
                <w:sz w:val="24"/>
              </w:rPr>
              <w:t>“生态保护红线”是生态空间范围内具有特殊重要生态功能必须实行强制性严格保护的区域。</w:t>
            </w:r>
          </w:p>
          <w:p w14:paraId="44181E2A">
            <w:pPr>
              <w:adjustRightInd w:val="0"/>
              <w:spacing w:line="360" w:lineRule="auto"/>
              <w:ind w:firstLine="480" w:firstLineChars="200"/>
              <w:rPr>
                <w:sz w:val="24"/>
              </w:rPr>
            </w:pPr>
            <w:r>
              <w:rPr>
                <w:rFonts w:hint="eastAsia"/>
                <w:sz w:val="24"/>
              </w:rPr>
              <w:t>本项目位于</w:t>
            </w:r>
            <w:r>
              <w:rPr>
                <w:rFonts w:hint="eastAsia"/>
                <w:sz w:val="24"/>
                <w:szCs w:val="28"/>
              </w:rPr>
              <w:t>湖南省衡阳市衡阳县西渡镇大勇村</w:t>
            </w:r>
            <w:r>
              <w:rPr>
                <w:rFonts w:hint="eastAsia"/>
                <w:sz w:val="24"/>
              </w:rPr>
              <w:t>，根据衡阳市生态保护红线区划图，项目不在生态保护红线划定范围内，与衡阳市生态保护红线相符。</w:t>
            </w:r>
          </w:p>
          <w:p w14:paraId="1748B0C1">
            <w:pPr>
              <w:adjustRightInd w:val="0"/>
              <w:spacing w:line="360" w:lineRule="auto"/>
              <w:ind w:firstLine="480" w:firstLineChars="200"/>
              <w:rPr>
                <w:sz w:val="24"/>
              </w:rPr>
            </w:pPr>
            <w:r>
              <w:rPr>
                <w:rFonts w:hint="eastAsia"/>
                <w:sz w:val="24"/>
              </w:rPr>
              <w:t>（2）环境质量底线</w:t>
            </w:r>
          </w:p>
          <w:p w14:paraId="6F5D0740">
            <w:pPr>
              <w:adjustRightInd w:val="0"/>
              <w:spacing w:line="360" w:lineRule="auto"/>
              <w:ind w:firstLine="480" w:firstLineChars="200"/>
              <w:rPr>
                <w:sz w:val="24"/>
              </w:rPr>
            </w:pPr>
            <w:r>
              <w:rPr>
                <w:rFonts w:asciiTheme="minorEastAsia" w:hAnsiTheme="minorEastAsia" w:eastAsiaTheme="minorEastAsia"/>
                <w:sz w:val="24"/>
              </w:rPr>
              <w:t>“环境质量底线”是</w:t>
            </w:r>
            <w:r>
              <w:rPr>
                <w:sz w:val="24"/>
              </w:rPr>
              <w:t>国家和地方设置的大气、水和土壤环境质量目标，也是改善环境质量的基准线。</w:t>
            </w:r>
          </w:p>
          <w:p w14:paraId="1B02C2DD">
            <w:pPr>
              <w:adjustRightInd w:val="0"/>
              <w:spacing w:line="360" w:lineRule="auto"/>
              <w:ind w:firstLine="480" w:firstLineChars="200"/>
              <w:rPr>
                <w:sz w:val="24"/>
              </w:rPr>
            </w:pPr>
            <w:r>
              <w:rPr>
                <w:rFonts w:hint="eastAsia"/>
                <w:sz w:val="24"/>
              </w:rPr>
              <w:t>衡阳县2024</w:t>
            </w:r>
            <w:r>
              <w:rPr>
                <w:sz w:val="24"/>
              </w:rPr>
              <w:t>年大气环境各常规因子达标，区域地表水体满足相应功能要求，项目周边土壤现状质量达标。项目产生的污染物经采取相应的防护措施后可做到达标排放，不会降低区域环境质量等级，对区域环境影响较小</w:t>
            </w:r>
            <w:r>
              <w:rPr>
                <w:rFonts w:hint="eastAsia"/>
                <w:sz w:val="24"/>
              </w:rPr>
              <w:t>。</w:t>
            </w:r>
          </w:p>
          <w:p w14:paraId="0EB3EA0A">
            <w:pPr>
              <w:adjustRightInd w:val="0"/>
              <w:spacing w:line="360" w:lineRule="auto"/>
              <w:ind w:firstLine="480" w:firstLineChars="200"/>
              <w:rPr>
                <w:sz w:val="24"/>
              </w:rPr>
            </w:pPr>
            <w:r>
              <w:rPr>
                <w:rFonts w:hint="eastAsia"/>
                <w:sz w:val="24"/>
              </w:rPr>
              <w:t>（3）资源利用上线</w:t>
            </w:r>
          </w:p>
          <w:p w14:paraId="17066BA6">
            <w:pPr>
              <w:adjustRightInd w:val="0"/>
              <w:snapToGrid w:val="0"/>
              <w:spacing w:line="360" w:lineRule="auto"/>
              <w:ind w:firstLine="480" w:firstLineChars="200"/>
              <w:rPr>
                <w:sz w:val="24"/>
              </w:rPr>
            </w:pPr>
            <w:r>
              <w:rPr>
                <w:rFonts w:hint="eastAsia"/>
                <w:sz w:val="24"/>
              </w:rPr>
              <w:t>资源是环境的载体，“资源利用上线”地区能源、水、土地等资源消耗不得突破的“天花板”。</w:t>
            </w:r>
          </w:p>
          <w:p w14:paraId="3B799E31">
            <w:pPr>
              <w:adjustRightInd w:val="0"/>
              <w:snapToGrid w:val="0"/>
              <w:spacing w:line="360" w:lineRule="auto"/>
              <w:ind w:firstLine="480" w:firstLineChars="200"/>
              <w:rPr>
                <w:sz w:val="24"/>
              </w:rPr>
            </w:pPr>
            <w:r>
              <w:rPr>
                <w:rFonts w:hint="eastAsia"/>
                <w:sz w:val="24"/>
              </w:rPr>
              <w:t>本项目不属于高耗能、高污染型企业，项目建成运行后通过内部管理、设备选择、原辅材料的选用和管理、污染治理等多方面采取合理可行的防治措施，以“节能、降耗、减污”为目标，有效地控制污染，符合能源、水、土地等资源利用上线要求</w:t>
            </w:r>
            <w:r>
              <w:rPr>
                <w:sz w:val="24"/>
              </w:rPr>
              <w:t>。</w:t>
            </w:r>
          </w:p>
          <w:p w14:paraId="52971415">
            <w:pPr>
              <w:adjustRightInd w:val="0"/>
              <w:spacing w:line="360" w:lineRule="auto"/>
              <w:ind w:firstLine="480" w:firstLineChars="200"/>
              <w:rPr>
                <w:sz w:val="24"/>
              </w:rPr>
            </w:pPr>
            <w:r>
              <w:rPr>
                <w:rFonts w:hint="eastAsia"/>
                <w:sz w:val="24"/>
              </w:rPr>
              <w:t>（</w:t>
            </w:r>
            <w:r>
              <w:rPr>
                <w:sz w:val="24"/>
              </w:rPr>
              <w:t>4</w:t>
            </w:r>
            <w:r>
              <w:rPr>
                <w:rFonts w:hint="eastAsia"/>
                <w:sz w:val="24"/>
              </w:rPr>
              <w:t>）生态环境准入清单</w:t>
            </w:r>
          </w:p>
          <w:p w14:paraId="6F32CCCA">
            <w:pPr>
              <w:adjustRightInd w:val="0"/>
              <w:spacing w:line="360" w:lineRule="auto"/>
              <w:ind w:firstLine="480" w:firstLineChars="200"/>
              <w:rPr>
                <w:sz w:val="24"/>
              </w:rPr>
            </w:pPr>
            <w:r>
              <w:rPr>
                <w:rFonts w:hint="eastAsia"/>
                <w:sz w:val="24"/>
              </w:rPr>
              <w:t>生态环境准入清单是基于生态保护红线、环境质量底线和资源利用上线，以清单方式列出的禁止、限制等差别化环境准入条件和要求。</w:t>
            </w:r>
          </w:p>
          <w:p w14:paraId="619AA7C9">
            <w:pPr>
              <w:adjustRightInd w:val="0"/>
              <w:spacing w:line="360" w:lineRule="auto"/>
              <w:ind w:firstLine="480" w:firstLineChars="200"/>
              <w:rPr>
                <w:sz w:val="24"/>
                <w:u w:val="wave"/>
              </w:rPr>
            </w:pPr>
            <w:r>
              <w:rPr>
                <w:rFonts w:hint="eastAsia"/>
                <w:sz w:val="24"/>
                <w:u w:val="wave"/>
              </w:rPr>
              <w:t>①</w:t>
            </w:r>
            <w:r>
              <w:rPr>
                <w:sz w:val="24"/>
                <w:u w:val="wave"/>
              </w:rPr>
              <w:t>与湘政发〔202</w:t>
            </w:r>
            <w:r>
              <w:rPr>
                <w:rFonts w:hint="eastAsia"/>
                <w:sz w:val="24"/>
                <w:u w:val="wave"/>
              </w:rPr>
              <w:t>4</w:t>
            </w:r>
            <w:r>
              <w:rPr>
                <w:sz w:val="24"/>
                <w:u w:val="wave"/>
              </w:rPr>
              <w:t>〕</w:t>
            </w:r>
            <w:r>
              <w:rPr>
                <w:rFonts w:hint="eastAsia"/>
                <w:sz w:val="24"/>
                <w:u w:val="wave"/>
              </w:rPr>
              <w:t>26</w:t>
            </w:r>
            <w:r>
              <w:rPr>
                <w:sz w:val="24"/>
                <w:u w:val="wave"/>
              </w:rPr>
              <w:t>号符合性分析</w:t>
            </w:r>
          </w:p>
          <w:p w14:paraId="69C0E861">
            <w:pPr>
              <w:adjustRightInd w:val="0"/>
              <w:snapToGrid w:val="0"/>
              <w:spacing w:line="360" w:lineRule="auto"/>
              <w:ind w:firstLine="480" w:firstLineChars="200"/>
              <w:rPr>
                <w:sz w:val="24"/>
                <w:u w:val="wave"/>
              </w:rPr>
            </w:pPr>
            <w:r>
              <w:rPr>
                <w:rFonts w:hint="eastAsia"/>
                <w:sz w:val="24"/>
                <w:u w:val="wave"/>
              </w:rPr>
              <w:t>根据《湖南省生态环境分区管控总体管控要求暨省级以上产业园区生态环境准入清单》中湖南省“三线一单”生态环境总体管控要求，本项目区环境管控单元归属于衡阳</w:t>
            </w:r>
            <w:r>
              <w:rPr>
                <w:sz w:val="24"/>
                <w:u w:val="wave"/>
              </w:rPr>
              <w:t>西渡高新技术产业</w:t>
            </w:r>
            <w:r>
              <w:rPr>
                <w:rFonts w:hint="eastAsia"/>
                <w:sz w:val="24"/>
                <w:u w:val="wave"/>
              </w:rPr>
              <w:t>园</w:t>
            </w:r>
            <w:r>
              <w:rPr>
                <w:sz w:val="24"/>
                <w:u w:val="wave"/>
              </w:rPr>
              <w:t>区</w:t>
            </w:r>
            <w:r>
              <w:rPr>
                <w:rFonts w:hint="eastAsia"/>
                <w:sz w:val="24"/>
                <w:u w:val="wave"/>
              </w:rPr>
              <w:t>，本次“三线一单”的相符性分析依据《湖南省生态环境分区管控总体管控要求暨省级以上产业园区生态环境准入清单》（2024年6月11日）中衡阳西渡高新技术产业园区（环境管控单元编码ZH43042120002的要求进行分析，具体符合性分析见表1-3。</w:t>
            </w:r>
          </w:p>
          <w:p w14:paraId="2CD77D62">
            <w:pPr>
              <w:spacing w:line="480" w:lineRule="exact"/>
              <w:jc w:val="center"/>
              <w:rPr>
                <w:b/>
                <w:u w:val="wave"/>
              </w:rPr>
            </w:pPr>
            <w:r>
              <w:rPr>
                <w:b/>
                <w:u w:val="wave"/>
              </w:rPr>
              <w:t>表1</w:t>
            </w:r>
            <w:r>
              <w:rPr>
                <w:rFonts w:hint="eastAsia"/>
                <w:b/>
                <w:u w:val="wave"/>
              </w:rPr>
              <w:t>-3</w:t>
            </w:r>
            <w:r>
              <w:rPr>
                <w:b/>
                <w:u w:val="wave"/>
              </w:rPr>
              <w:t xml:space="preserve">  </w:t>
            </w:r>
            <w:r>
              <w:rPr>
                <w:rFonts w:hint="eastAsia"/>
                <w:b/>
                <w:u w:val="wave"/>
              </w:rPr>
              <w:t>项目与产业园区生态环境准入清单相符性分析表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7"/>
              <w:gridCol w:w="1418"/>
              <w:gridCol w:w="3827"/>
              <w:gridCol w:w="2410"/>
              <w:gridCol w:w="755"/>
            </w:tblGrid>
            <w:tr w14:paraId="3155FA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6B00C318">
                  <w:pPr>
                    <w:jc w:val="center"/>
                    <w:rPr>
                      <w:b/>
                      <w:u w:val="wave"/>
                    </w:rPr>
                  </w:pPr>
                  <w:r>
                    <w:rPr>
                      <w:b/>
                      <w:u w:val="wave"/>
                    </w:rPr>
                    <w:t>管控维度</w:t>
                  </w:r>
                </w:p>
              </w:tc>
              <w:tc>
                <w:tcPr>
                  <w:tcW w:w="2870" w:type="pct"/>
                  <w:gridSpan w:val="2"/>
                  <w:vAlign w:val="center"/>
                </w:tcPr>
                <w:p w14:paraId="053B0A80">
                  <w:pPr>
                    <w:jc w:val="center"/>
                    <w:rPr>
                      <w:b/>
                      <w:u w:val="wave"/>
                    </w:rPr>
                  </w:pPr>
                  <w:r>
                    <w:rPr>
                      <w:b/>
                      <w:u w:val="wave"/>
                    </w:rPr>
                    <w:t>管控要求</w:t>
                  </w:r>
                </w:p>
              </w:tc>
              <w:tc>
                <w:tcPr>
                  <w:tcW w:w="1319" w:type="pct"/>
                  <w:vAlign w:val="center"/>
                </w:tcPr>
                <w:p w14:paraId="0FF39996">
                  <w:pPr>
                    <w:jc w:val="center"/>
                    <w:rPr>
                      <w:b/>
                      <w:u w:val="wave"/>
                    </w:rPr>
                  </w:pPr>
                  <w:r>
                    <w:rPr>
                      <w:b/>
                      <w:u w:val="wave"/>
                    </w:rPr>
                    <w:t>本项目情况</w:t>
                  </w:r>
                </w:p>
              </w:tc>
              <w:tc>
                <w:tcPr>
                  <w:tcW w:w="413" w:type="pct"/>
                  <w:vAlign w:val="center"/>
                </w:tcPr>
                <w:p w14:paraId="543C53BF">
                  <w:pPr>
                    <w:jc w:val="center"/>
                    <w:rPr>
                      <w:b/>
                      <w:u w:val="wave"/>
                    </w:rPr>
                  </w:pPr>
                  <w:r>
                    <w:rPr>
                      <w:b/>
                      <w:u w:val="wave"/>
                    </w:rPr>
                    <w:t>相符性</w:t>
                  </w:r>
                </w:p>
              </w:tc>
            </w:tr>
            <w:tr w14:paraId="11857F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22C72357">
                  <w:pPr>
                    <w:jc w:val="center"/>
                    <w:rPr>
                      <w:u w:val="wave"/>
                    </w:rPr>
                  </w:pPr>
                  <w:r>
                    <w:rPr>
                      <w:u w:val="wave"/>
                    </w:rPr>
                    <w:t>主导产业</w:t>
                  </w:r>
                </w:p>
              </w:tc>
              <w:tc>
                <w:tcPr>
                  <w:tcW w:w="2870" w:type="pct"/>
                  <w:gridSpan w:val="2"/>
                  <w:vAlign w:val="center"/>
                </w:tcPr>
                <w:p w14:paraId="5E984174">
                  <w:pPr>
                    <w:pStyle w:val="2"/>
                    <w:rPr>
                      <w:rFonts w:ascii="Times New Roman"/>
                      <w:color w:val="auto"/>
                      <w:sz w:val="21"/>
                      <w:u w:val="wave"/>
                    </w:rPr>
                  </w:pPr>
                  <w:r>
                    <w:rPr>
                      <w:rFonts w:hint="eastAsia" w:ascii="Times New Roman"/>
                      <w:b/>
                      <w:color w:val="auto"/>
                      <w:sz w:val="21"/>
                      <w:u w:val="wave"/>
                    </w:rPr>
                    <w:t>湘环评函[2013]285号：</w:t>
                  </w:r>
                  <w:r>
                    <w:rPr>
                      <w:rFonts w:hint="eastAsia" w:ascii="Times New Roman"/>
                      <w:color w:val="auto"/>
                      <w:sz w:val="21"/>
                      <w:u w:val="wave"/>
                    </w:rPr>
                    <w:t>以生物医药外贸加工（服装缝纫加工、鞋帽加工、箱包加工等为重点的来料加工型生活用品制造)）和机械电子制造产业（不含电镀加工及线路板生产）为主导，辅以发展农产品加工业。</w:t>
                  </w:r>
                </w:p>
                <w:p w14:paraId="07E52639">
                  <w:pPr>
                    <w:pStyle w:val="2"/>
                    <w:rPr>
                      <w:rFonts w:ascii="Times New Roman"/>
                      <w:color w:val="auto"/>
                      <w:sz w:val="21"/>
                      <w:u w:val="wave"/>
                    </w:rPr>
                  </w:pPr>
                  <w:r>
                    <w:rPr>
                      <w:rFonts w:hint="eastAsia" w:ascii="Times New Roman"/>
                      <w:b/>
                      <w:color w:val="auto"/>
                      <w:sz w:val="21"/>
                      <w:u w:val="wave"/>
                    </w:rPr>
                    <w:t>六部委公告2018年第4号：</w:t>
                  </w:r>
                  <w:r>
                    <w:rPr>
                      <w:rFonts w:hint="eastAsia" w:ascii="Times New Roman"/>
                      <w:color w:val="auto"/>
                      <w:sz w:val="21"/>
                      <w:u w:val="wave"/>
                    </w:rPr>
                    <w:t>医药、智能机器、非金属矿物制品。</w:t>
                  </w:r>
                </w:p>
                <w:p w14:paraId="0C25C730">
                  <w:pPr>
                    <w:jc w:val="left"/>
                    <w:rPr>
                      <w:u w:val="wave"/>
                    </w:rPr>
                  </w:pPr>
                  <w:r>
                    <w:rPr>
                      <w:rFonts w:hint="eastAsia"/>
                      <w:b/>
                      <w:u w:val="wave"/>
                    </w:rPr>
                    <w:t>湘发改地区[2021]394号：</w:t>
                  </w:r>
                  <w:r>
                    <w:rPr>
                      <w:rFonts w:hint="eastAsia"/>
                      <w:u w:val="wave"/>
                    </w:rPr>
                    <w:t>主导产业：医药；特色产业；智能机器、非金属矿物制品。</w:t>
                  </w:r>
                </w:p>
              </w:tc>
              <w:tc>
                <w:tcPr>
                  <w:tcW w:w="1319" w:type="pct"/>
                  <w:vAlign w:val="center"/>
                </w:tcPr>
                <w:p w14:paraId="0CE4F76F">
                  <w:pPr>
                    <w:jc w:val="center"/>
                    <w:rPr>
                      <w:u w:val="wave"/>
                    </w:rPr>
                  </w:pPr>
                  <w:r>
                    <w:rPr>
                      <w:rFonts w:hint="eastAsia"/>
                      <w:bCs/>
                      <w:szCs w:val="21"/>
                      <w:u w:val="wave"/>
                    </w:rPr>
                    <w:t>项目属于其他非金属矿物制品制造项目，符合园区产业定位</w:t>
                  </w:r>
                </w:p>
              </w:tc>
              <w:tc>
                <w:tcPr>
                  <w:tcW w:w="413" w:type="pct"/>
                  <w:vAlign w:val="center"/>
                </w:tcPr>
                <w:p w14:paraId="7E46055A">
                  <w:pPr>
                    <w:jc w:val="center"/>
                    <w:rPr>
                      <w:u w:val="wave"/>
                    </w:rPr>
                  </w:pPr>
                  <w:r>
                    <w:rPr>
                      <w:u w:val="wave"/>
                    </w:rPr>
                    <w:t>相符</w:t>
                  </w:r>
                </w:p>
              </w:tc>
            </w:tr>
            <w:tr w14:paraId="1A2155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09596982">
                  <w:pPr>
                    <w:widowControl/>
                    <w:adjustRightInd w:val="0"/>
                    <w:snapToGrid w:val="0"/>
                    <w:jc w:val="center"/>
                    <w:rPr>
                      <w:u w:val="wave"/>
                    </w:rPr>
                  </w:pPr>
                  <w:r>
                    <w:rPr>
                      <w:u w:val="wave"/>
                    </w:rPr>
                    <w:t>空间布局约束</w:t>
                  </w:r>
                </w:p>
              </w:tc>
              <w:tc>
                <w:tcPr>
                  <w:tcW w:w="2870" w:type="pct"/>
                  <w:gridSpan w:val="2"/>
                  <w:vAlign w:val="center"/>
                </w:tcPr>
                <w:p w14:paraId="612225F4">
                  <w:pPr>
                    <w:adjustRightInd w:val="0"/>
                    <w:rPr>
                      <w:u w:val="wave"/>
                    </w:rPr>
                  </w:pPr>
                  <w:r>
                    <w:rPr>
                      <w:rFonts w:hint="eastAsia"/>
                      <w:u w:val="wave"/>
                    </w:rPr>
                    <w:t>（1.1）</w:t>
                  </w:r>
                  <w:r>
                    <w:rPr>
                      <w:u w:val="wave"/>
                    </w:rPr>
                    <w:t>优化区域产业布局。遏制高耗能高排放项目，进一步优化产业结构和能源结构，积极引导低投入、低消耗、低排放和高效率的现代产业发展</w:t>
                  </w:r>
                  <w:r>
                    <w:rPr>
                      <w:rFonts w:hint="eastAsia"/>
                      <w:u w:val="wave"/>
                    </w:rPr>
                    <w:t>。</w:t>
                  </w:r>
                </w:p>
                <w:p w14:paraId="07DC2681">
                  <w:pPr>
                    <w:adjustRightInd w:val="0"/>
                    <w:rPr>
                      <w:u w:val="wave"/>
                    </w:rPr>
                  </w:pPr>
                  <w:r>
                    <w:rPr>
                      <w:u w:val="wave"/>
                    </w:rPr>
                    <w:t>区块一：</w:t>
                  </w:r>
                </w:p>
                <w:p w14:paraId="47CFAC52">
                  <w:pPr>
                    <w:adjustRightInd w:val="0"/>
                    <w:rPr>
                      <w:u w:val="wave"/>
                    </w:rPr>
                  </w:pPr>
                  <w:r>
                    <w:rPr>
                      <w:rFonts w:hint="eastAsia"/>
                      <w:u w:val="wave"/>
                    </w:rPr>
                    <w:t>（1.2）</w:t>
                  </w:r>
                  <w:r>
                    <w:rPr>
                      <w:u w:val="wave"/>
                    </w:rPr>
                    <w:t>禁止气型污染严重企业入驻</w:t>
                  </w:r>
                  <w:r>
                    <w:rPr>
                      <w:rFonts w:hint="eastAsia"/>
                      <w:u w:val="wave"/>
                    </w:rPr>
                    <w:t>。</w:t>
                  </w:r>
                </w:p>
              </w:tc>
              <w:tc>
                <w:tcPr>
                  <w:tcW w:w="1319" w:type="pct"/>
                  <w:vAlign w:val="center"/>
                </w:tcPr>
                <w:p w14:paraId="6AAB9311">
                  <w:pPr>
                    <w:jc w:val="center"/>
                    <w:rPr>
                      <w:u w:val="wave"/>
                    </w:rPr>
                  </w:pPr>
                  <w:r>
                    <w:rPr>
                      <w:rFonts w:hint="eastAsia"/>
                      <w:u w:val="wave"/>
                    </w:rPr>
                    <w:t>项目</w:t>
                  </w:r>
                  <w:r>
                    <w:rPr>
                      <w:u w:val="wave"/>
                    </w:rPr>
                    <w:t>非</w:t>
                  </w:r>
                  <w:r>
                    <w:rPr>
                      <w:rFonts w:hint="eastAsia"/>
                      <w:u w:val="wave"/>
                    </w:rPr>
                    <w:t>气</w:t>
                  </w:r>
                  <w:r>
                    <w:rPr>
                      <w:u w:val="wave"/>
                    </w:rPr>
                    <w:t>型</w:t>
                  </w:r>
                  <w:r>
                    <w:rPr>
                      <w:rFonts w:hint="eastAsia"/>
                      <w:u w:val="wave"/>
                    </w:rPr>
                    <w:t>污染</w:t>
                  </w:r>
                  <w:r>
                    <w:rPr>
                      <w:u w:val="wave"/>
                    </w:rPr>
                    <w:t>严重</w:t>
                  </w:r>
                  <w:r>
                    <w:rPr>
                      <w:rFonts w:hint="eastAsia"/>
                      <w:u w:val="wave"/>
                    </w:rPr>
                    <w:t>项目</w:t>
                  </w:r>
                </w:p>
              </w:tc>
              <w:tc>
                <w:tcPr>
                  <w:tcW w:w="413" w:type="pct"/>
                  <w:vAlign w:val="center"/>
                </w:tcPr>
                <w:p w14:paraId="54553322">
                  <w:pPr>
                    <w:jc w:val="center"/>
                    <w:rPr>
                      <w:u w:val="wave"/>
                    </w:rPr>
                  </w:pPr>
                  <w:r>
                    <w:rPr>
                      <w:u w:val="wave"/>
                    </w:rPr>
                    <w:t>相符</w:t>
                  </w:r>
                </w:p>
              </w:tc>
            </w:tr>
            <w:tr w14:paraId="6A678A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37A5A07C">
                  <w:pPr>
                    <w:widowControl/>
                    <w:adjustRightInd w:val="0"/>
                    <w:snapToGrid w:val="0"/>
                    <w:jc w:val="center"/>
                    <w:rPr>
                      <w:u w:val="wave"/>
                    </w:rPr>
                  </w:pPr>
                  <w:r>
                    <w:rPr>
                      <w:u w:val="wave"/>
                    </w:rPr>
                    <w:t>污染物排放管控</w:t>
                  </w:r>
                </w:p>
              </w:tc>
              <w:tc>
                <w:tcPr>
                  <w:tcW w:w="2870" w:type="pct"/>
                  <w:gridSpan w:val="2"/>
                  <w:vAlign w:val="center"/>
                </w:tcPr>
                <w:p w14:paraId="2694ACE1">
                  <w:pPr>
                    <w:adjustRightInd w:val="0"/>
                    <w:rPr>
                      <w:u w:val="wave"/>
                    </w:rPr>
                  </w:pPr>
                  <w:r>
                    <w:rPr>
                      <w:rFonts w:hint="eastAsia"/>
                      <w:u w:val="wave"/>
                    </w:rPr>
                    <w:t>（2.1）</w:t>
                  </w:r>
                  <w:r>
                    <w:rPr>
                      <w:u w:val="wave"/>
                    </w:rPr>
                    <w:t>废水：高新区废水排水实行雨污分流。推进污水处理设施分类管理、分期升级改造，污水管网全覆盖、污水全收集、污 水集中处理设施稳定达标运行，进一步完善西渡高新区污水处理厂及配套管网建设和提质改造。</w:t>
                  </w:r>
                </w:p>
                <w:p w14:paraId="51D1C290">
                  <w:pPr>
                    <w:adjustRightInd w:val="0"/>
                    <w:rPr>
                      <w:u w:val="wave"/>
                    </w:rPr>
                  </w:pPr>
                  <w:r>
                    <w:rPr>
                      <w:u w:val="wave"/>
                    </w:rPr>
                    <w:t>区块一、区块二、区块三、区块四、区块五：污水经收集后排入西渡高新技术产业园区工业污水处理厂，处理达标后外排至蒸水。</w:t>
                  </w:r>
                </w:p>
                <w:p w14:paraId="4CA49461">
                  <w:pPr>
                    <w:adjustRightInd w:val="0"/>
                    <w:rPr>
                      <w:u w:val="wave"/>
                    </w:rPr>
                  </w:pPr>
                  <w:r>
                    <w:rPr>
                      <w:u w:val="wave"/>
                    </w:rPr>
                    <w:t>区块六：近期污水经处理后回用，不外排。远期待污水处理厂和管网建成后纳入污水处理厂处理后达标排放</w:t>
                  </w:r>
                  <w:r>
                    <w:rPr>
                      <w:rFonts w:hint="eastAsia"/>
                      <w:u w:val="wave"/>
                    </w:rPr>
                    <w:t>。</w:t>
                  </w:r>
                </w:p>
                <w:p w14:paraId="01C51274">
                  <w:pPr>
                    <w:adjustRightInd w:val="0"/>
                    <w:rPr>
                      <w:u w:val="wave"/>
                    </w:rPr>
                  </w:pPr>
                  <w:r>
                    <w:rPr>
                      <w:rFonts w:hint="eastAsia"/>
                      <w:u w:val="wave"/>
                    </w:rPr>
                    <w:t>（2.2）</w:t>
                  </w:r>
                  <w:r>
                    <w:rPr>
                      <w:u w:val="wave"/>
                    </w:rPr>
                    <w:t>废气：对各企业工艺废气产出的生产节点，应配置废气收集与净化处理装置，确保达标排放；采取有效措施，减少入园企业工艺废气的无组织排放。加大低VOCs含量原辅材料的推广使用力度，从源头减少VOCs产生。推进使用先进生产工艺设备， 减少无组织排放</w:t>
                  </w:r>
                  <w:r>
                    <w:rPr>
                      <w:rFonts w:hint="eastAsia"/>
                      <w:u w:val="wave"/>
                    </w:rPr>
                    <w:t>。</w:t>
                  </w:r>
                </w:p>
                <w:p w14:paraId="3024AD78">
                  <w:pPr>
                    <w:adjustRightInd w:val="0"/>
                    <w:rPr>
                      <w:u w:val="wave"/>
                    </w:rPr>
                  </w:pPr>
                  <w:r>
                    <w:rPr>
                      <w:rFonts w:hint="eastAsia"/>
                      <w:u w:val="wave"/>
                    </w:rPr>
                    <w:t>（2.3）固废：</w:t>
                  </w:r>
                  <w:r>
                    <w:rPr>
                      <w:u w:val="wave"/>
                    </w:rPr>
                    <w:t>固废：做好工业固体废物和生活垃圾的分类收集、转运、综合利用和无害化处置，建立统一的固废收集、贮存、运输、 综合利用和安全处置的运营管理体系；推进清洁生产，减少固体废物产生量；加强固体废物的资源化进程，提高综合利用率；规范 固体废物处置措施，严防二次污染</w:t>
                  </w:r>
                  <w:r>
                    <w:rPr>
                      <w:rFonts w:hint="eastAsia"/>
                      <w:u w:val="wave"/>
                    </w:rPr>
                    <w:t>。</w:t>
                  </w:r>
                </w:p>
              </w:tc>
              <w:tc>
                <w:tcPr>
                  <w:tcW w:w="1319" w:type="pct"/>
                  <w:vAlign w:val="center"/>
                </w:tcPr>
                <w:p w14:paraId="708221EF">
                  <w:pPr>
                    <w:jc w:val="center"/>
                    <w:rPr>
                      <w:u w:val="wave"/>
                    </w:rPr>
                  </w:pPr>
                  <w:r>
                    <w:rPr>
                      <w:rFonts w:hint="eastAsia"/>
                      <w:szCs w:val="21"/>
                      <w:u w:val="wave"/>
                    </w:rPr>
                    <w:t>（1</w:t>
                  </w:r>
                  <w:r>
                    <w:rPr>
                      <w:rFonts w:hint="eastAsia" w:ascii="Calibri" w:hAnsi="Calibri"/>
                      <w:szCs w:val="21"/>
                      <w:u w:val="wave"/>
                    </w:rPr>
                    <w:t>）项目运营期</w:t>
                  </w:r>
                  <w:r>
                    <w:rPr>
                      <w:rFonts w:ascii="Calibri" w:hAnsi="Calibri"/>
                      <w:szCs w:val="21"/>
                      <w:u w:val="wave"/>
                    </w:rPr>
                    <w:t>无生产废水产生与排放，生活污水</w:t>
                  </w:r>
                  <w:r>
                    <w:rPr>
                      <w:rFonts w:hint="eastAsia" w:ascii="Calibri" w:hAnsi="Calibri"/>
                      <w:szCs w:val="21"/>
                      <w:u w:val="wave"/>
                    </w:rPr>
                    <w:t>经</w:t>
                  </w:r>
                  <w:r>
                    <w:rPr>
                      <w:rFonts w:ascii="Calibri" w:hAnsi="Calibri"/>
                      <w:szCs w:val="21"/>
                      <w:u w:val="wave"/>
                    </w:rPr>
                    <w:t>化粪池处理</w:t>
                  </w:r>
                  <w:r>
                    <w:rPr>
                      <w:rFonts w:hint="eastAsia" w:ascii="Calibri" w:hAnsi="Calibri"/>
                      <w:szCs w:val="21"/>
                      <w:u w:val="wave"/>
                    </w:rPr>
                    <w:t>后排入市政污水管网，经衡阳西渡高新区污水处理厂深度处理后排至蒸水。（2）项目产生</w:t>
                  </w:r>
                  <w:r>
                    <w:rPr>
                      <w:rFonts w:hint="eastAsia"/>
                      <w:szCs w:val="21"/>
                      <w:u w:val="wave"/>
                    </w:rPr>
                    <w:t>的粉尘收集后经布袋除尘器处理达标排放。（3）项目固废均合理处置，不会产生二次污染</w:t>
                  </w:r>
                </w:p>
              </w:tc>
              <w:tc>
                <w:tcPr>
                  <w:tcW w:w="413" w:type="pct"/>
                  <w:vAlign w:val="center"/>
                </w:tcPr>
                <w:p w14:paraId="64004AFB">
                  <w:pPr>
                    <w:jc w:val="center"/>
                    <w:rPr>
                      <w:u w:val="wave"/>
                    </w:rPr>
                  </w:pPr>
                  <w:r>
                    <w:rPr>
                      <w:rFonts w:hint="eastAsia"/>
                      <w:u w:val="wave"/>
                    </w:rPr>
                    <w:t>相符</w:t>
                  </w:r>
                </w:p>
              </w:tc>
            </w:tr>
            <w:tr w14:paraId="3AE507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6BAD6148">
                  <w:pPr>
                    <w:widowControl/>
                    <w:adjustRightInd w:val="0"/>
                    <w:snapToGrid w:val="0"/>
                    <w:jc w:val="center"/>
                    <w:rPr>
                      <w:u w:val="wave"/>
                    </w:rPr>
                  </w:pPr>
                  <w:r>
                    <w:rPr>
                      <w:u w:val="wave"/>
                    </w:rPr>
                    <w:t>环境风险防控</w:t>
                  </w:r>
                </w:p>
              </w:tc>
              <w:tc>
                <w:tcPr>
                  <w:tcW w:w="2870" w:type="pct"/>
                  <w:gridSpan w:val="2"/>
                  <w:vAlign w:val="center"/>
                </w:tcPr>
                <w:p w14:paraId="147246C1">
                  <w:pPr>
                    <w:adjustRightInd w:val="0"/>
                    <w:rPr>
                      <w:u w:val="wave"/>
                    </w:rPr>
                  </w:pPr>
                  <w:r>
                    <w:rPr>
                      <w:rFonts w:hint="eastAsia"/>
                      <w:u w:val="wave"/>
                    </w:rPr>
                    <w:t>（3.1）</w:t>
                  </w:r>
                  <w:r>
                    <w:rPr>
                      <w:u w:val="wave"/>
                    </w:rPr>
                    <w:t>高新区应建立健全环境风险防控体系，严格落实《湖南衡阳西渡经济开发区突发环境事件应急预案》中提出的各项环境 风险事故防范措施，严防环境风险事故发生，提高应急处置能力</w:t>
                  </w:r>
                  <w:r>
                    <w:rPr>
                      <w:rFonts w:hint="eastAsia"/>
                      <w:u w:val="wave"/>
                    </w:rPr>
                    <w:t>。</w:t>
                  </w:r>
                </w:p>
                <w:p w14:paraId="2E5F10E4">
                  <w:pPr>
                    <w:adjustRightInd w:val="0"/>
                    <w:rPr>
                      <w:u w:val="wave"/>
                    </w:rPr>
                  </w:pPr>
                  <w:r>
                    <w:rPr>
                      <w:rFonts w:hint="eastAsia"/>
                      <w:u w:val="wave"/>
                    </w:rPr>
                    <w:t>（3.2）</w:t>
                  </w:r>
                  <w:r>
                    <w:rPr>
                      <w:u w:val="wave"/>
                    </w:rPr>
                    <w:t>高新区可能发生突发环境事件的污染物排放企业，生产、储存、运输、使用危险化学品的企业，产生、收集、贮存、运 输、利用、处置危险废物的企业等应当编制和实施环境应急预案；鼓励其他企业制定单独的环境应急预案，或在突发事件应急预案中制定环境应急预案专章，并备案</w:t>
                  </w:r>
                  <w:r>
                    <w:rPr>
                      <w:rFonts w:hint="eastAsia"/>
                      <w:u w:val="wave"/>
                    </w:rPr>
                    <w:t>。</w:t>
                  </w:r>
                </w:p>
                <w:p w14:paraId="1AC3050A">
                  <w:pPr>
                    <w:adjustRightInd w:val="0"/>
                    <w:rPr>
                      <w:u w:val="wave"/>
                    </w:rPr>
                  </w:pPr>
                  <w:r>
                    <w:rPr>
                      <w:rFonts w:hint="eastAsia"/>
                      <w:u w:val="wave"/>
                    </w:rPr>
                    <w:t>（3.3）</w:t>
                  </w:r>
                  <w:r>
                    <w:rPr>
                      <w:u w:val="wave"/>
                    </w:rPr>
                    <w:t>建设用地土壤风险防控：严格污染地块准入管理。加强对建设用地土壤环境状况调查、风险评估和污染地块治理与修复的监管</w:t>
                  </w:r>
                  <w:r>
                    <w:rPr>
                      <w:rFonts w:hint="eastAsia"/>
                      <w:u w:val="wave"/>
                    </w:rPr>
                    <w:t>。</w:t>
                  </w:r>
                </w:p>
              </w:tc>
              <w:tc>
                <w:tcPr>
                  <w:tcW w:w="1319" w:type="pct"/>
                  <w:vAlign w:val="center"/>
                </w:tcPr>
                <w:p w14:paraId="0A4FCBDE">
                  <w:pPr>
                    <w:jc w:val="center"/>
                    <w:rPr>
                      <w:u w:val="wave"/>
                    </w:rPr>
                  </w:pPr>
                  <w:r>
                    <w:rPr>
                      <w:u w:val="wave"/>
                    </w:rPr>
                    <w:t>项目建成后将编制应急预案并备案及实施管理</w:t>
                  </w:r>
                  <w:r>
                    <w:rPr>
                      <w:rFonts w:hint="eastAsia"/>
                      <w:u w:val="wave"/>
                    </w:rPr>
                    <w:t>，本项目用地为建设用地，不涉及污染地块和农用地安全利用风险。</w:t>
                  </w:r>
                </w:p>
              </w:tc>
              <w:tc>
                <w:tcPr>
                  <w:tcW w:w="413" w:type="pct"/>
                  <w:vAlign w:val="center"/>
                </w:tcPr>
                <w:p w14:paraId="6E21FB65">
                  <w:pPr>
                    <w:jc w:val="center"/>
                    <w:rPr>
                      <w:u w:val="wave"/>
                    </w:rPr>
                  </w:pPr>
                  <w:r>
                    <w:rPr>
                      <w:u w:val="wave"/>
                    </w:rPr>
                    <w:t>相符</w:t>
                  </w:r>
                </w:p>
              </w:tc>
            </w:tr>
            <w:tr w14:paraId="2E237E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98" w:type="pct"/>
                  <w:vAlign w:val="center"/>
                </w:tcPr>
                <w:p w14:paraId="7208650F">
                  <w:pPr>
                    <w:widowControl/>
                    <w:adjustRightInd w:val="0"/>
                    <w:snapToGrid w:val="0"/>
                    <w:jc w:val="center"/>
                    <w:rPr>
                      <w:u w:val="wave"/>
                    </w:rPr>
                  </w:pPr>
                  <w:r>
                    <w:rPr>
                      <w:u w:val="wave"/>
                    </w:rPr>
                    <w:t>资源开发效率要求</w:t>
                  </w:r>
                </w:p>
              </w:tc>
              <w:tc>
                <w:tcPr>
                  <w:tcW w:w="2870" w:type="pct"/>
                  <w:gridSpan w:val="2"/>
                  <w:vAlign w:val="center"/>
                </w:tcPr>
                <w:p w14:paraId="70209FB7">
                  <w:pPr>
                    <w:adjustRightInd w:val="0"/>
                    <w:rPr>
                      <w:u w:val="wave"/>
                    </w:rPr>
                  </w:pPr>
                  <w:r>
                    <w:rPr>
                      <w:rFonts w:hint="eastAsia"/>
                      <w:u w:val="wave"/>
                    </w:rPr>
                    <w:t>（4.1）能源：</w:t>
                  </w:r>
                  <w:r>
                    <w:rPr>
                      <w:u w:val="wave"/>
                    </w:rPr>
                    <w:t>能源：高新区应积极推广清洁能源，高新区燃煤含硫率应确保控制在1%以内</w:t>
                  </w:r>
                  <w:r>
                    <w:rPr>
                      <w:rFonts w:hint="eastAsia"/>
                      <w:u w:val="wave"/>
                    </w:rPr>
                    <w:t>。</w:t>
                  </w:r>
                </w:p>
                <w:p w14:paraId="6B504124">
                  <w:pPr>
                    <w:adjustRightInd w:val="0"/>
                    <w:rPr>
                      <w:u w:val="wave"/>
                    </w:rPr>
                  </w:pPr>
                  <w:r>
                    <w:rPr>
                      <w:rFonts w:hint="eastAsia"/>
                      <w:u w:val="wave"/>
                    </w:rPr>
                    <w:t>（4.2）水资源：</w:t>
                  </w:r>
                  <w:r>
                    <w:rPr>
                      <w:u w:val="wave"/>
                    </w:rPr>
                    <w:t>水资源：落实水资源消耗总量和强度双控行动，2025年，衡阳县用水总量4.9206亿立方米，万元工业增加值用水量比 2020年下降（%）12.0</w:t>
                  </w:r>
                  <w:r>
                    <w:rPr>
                      <w:rFonts w:hint="eastAsia"/>
                      <w:u w:val="wave"/>
                    </w:rPr>
                    <w:t>。</w:t>
                  </w:r>
                </w:p>
                <w:p w14:paraId="11929592">
                  <w:pPr>
                    <w:adjustRightInd w:val="0"/>
                    <w:rPr>
                      <w:u w:val="wave"/>
                    </w:rPr>
                  </w:pPr>
                  <w:r>
                    <w:rPr>
                      <w:rFonts w:hint="eastAsia"/>
                      <w:u w:val="wave"/>
                    </w:rPr>
                    <w:t>（4.3）土地资源：提高土地使用效率和节约集约程度，工业用地固定资产投入强度250万元/亩，工业用地地均税收15万元/亩</w:t>
                  </w:r>
                  <w:r>
                    <w:rPr>
                      <w:u w:val="wave"/>
                    </w:rPr>
                    <w:t>。</w:t>
                  </w:r>
                </w:p>
              </w:tc>
              <w:tc>
                <w:tcPr>
                  <w:tcW w:w="1319" w:type="pct"/>
                  <w:vAlign w:val="center"/>
                </w:tcPr>
                <w:p w14:paraId="443D684D">
                  <w:pPr>
                    <w:jc w:val="center"/>
                    <w:rPr>
                      <w:u w:val="wave"/>
                    </w:rPr>
                  </w:pPr>
                  <w:r>
                    <w:rPr>
                      <w:rFonts w:hint="eastAsia"/>
                      <w:u w:val="wave"/>
                    </w:rPr>
                    <w:t>（</w:t>
                  </w:r>
                  <w:r>
                    <w:rPr>
                      <w:u w:val="wave"/>
                    </w:rPr>
                    <w:t>1</w:t>
                  </w:r>
                  <w:r>
                    <w:rPr>
                      <w:rFonts w:hint="eastAsia"/>
                      <w:u w:val="wave"/>
                    </w:rPr>
                    <w:t>）本项目以电能为主要能源，不使用煤炭等高污染燃料</w:t>
                  </w:r>
                  <w:r>
                    <w:rPr>
                      <w:u w:val="wave"/>
                    </w:rPr>
                    <w:t>。</w:t>
                  </w:r>
                </w:p>
                <w:p w14:paraId="50743649">
                  <w:pPr>
                    <w:jc w:val="center"/>
                    <w:rPr>
                      <w:u w:val="wave"/>
                    </w:rPr>
                  </w:pPr>
                  <w:r>
                    <w:rPr>
                      <w:rFonts w:hint="eastAsia"/>
                      <w:u w:val="wave"/>
                    </w:rPr>
                    <w:t>（</w:t>
                  </w:r>
                  <w:r>
                    <w:rPr>
                      <w:u w:val="wave"/>
                    </w:rPr>
                    <w:t>2</w:t>
                  </w:r>
                  <w:r>
                    <w:rPr>
                      <w:rFonts w:hint="eastAsia"/>
                      <w:u w:val="wave"/>
                    </w:rPr>
                    <w:t>）项目不属于高耗水行业。项目源消耗量相对区域资源利用总量较少，符合资源利用上线要求。</w:t>
                  </w:r>
                </w:p>
              </w:tc>
              <w:tc>
                <w:tcPr>
                  <w:tcW w:w="413" w:type="pct"/>
                  <w:vAlign w:val="center"/>
                </w:tcPr>
                <w:p w14:paraId="6809C675">
                  <w:pPr>
                    <w:jc w:val="center"/>
                    <w:rPr>
                      <w:u w:val="wave"/>
                    </w:rPr>
                  </w:pPr>
                  <w:r>
                    <w:rPr>
                      <w:rFonts w:hint="eastAsia"/>
                      <w:u w:val="wave"/>
                    </w:rPr>
                    <w:t>相符</w:t>
                  </w:r>
                </w:p>
              </w:tc>
            </w:tr>
            <w:tr w14:paraId="73D024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174" w:type="pct"/>
                  <w:gridSpan w:val="2"/>
                  <w:vAlign w:val="center"/>
                </w:tcPr>
                <w:p w14:paraId="608A65AB">
                  <w:pPr>
                    <w:jc w:val="center"/>
                    <w:rPr>
                      <w:u w:val="wave"/>
                    </w:rPr>
                  </w:pPr>
                  <w:r>
                    <w:rPr>
                      <w:rFonts w:hint="eastAsia"/>
                      <w:u w:val="wave"/>
                    </w:rPr>
                    <w:t>备注*</w:t>
                  </w:r>
                </w:p>
                <w:p w14:paraId="1F32621B">
                  <w:pPr>
                    <w:jc w:val="center"/>
                    <w:rPr>
                      <w:u w:val="wave"/>
                    </w:rPr>
                  </w:pPr>
                  <w:r>
                    <w:rPr>
                      <w:rFonts w:hint="eastAsia"/>
                      <w:u w:val="wave"/>
                    </w:rPr>
                    <w:t>（</w:t>
                  </w:r>
                  <w:r>
                    <w:rPr>
                      <w:u w:val="wave"/>
                    </w:rPr>
                    <w:t>湘发改园区〔2022〕 601号</w:t>
                  </w:r>
                  <w:r>
                    <w:rPr>
                      <w:rFonts w:hint="eastAsia"/>
                      <w:u w:val="wave"/>
                    </w:rPr>
                    <w:t>）</w:t>
                  </w:r>
                </w:p>
              </w:tc>
              <w:tc>
                <w:tcPr>
                  <w:tcW w:w="3826" w:type="pct"/>
                  <w:gridSpan w:val="3"/>
                  <w:vAlign w:val="center"/>
                </w:tcPr>
                <w:p w14:paraId="0341B41B">
                  <w:pPr>
                    <w:adjustRightInd w:val="0"/>
                    <w:rPr>
                      <w:u w:val="wave"/>
                    </w:rPr>
                  </w:pPr>
                  <w:r>
                    <w:rPr>
                      <w:u w:val="wave"/>
                    </w:rPr>
                    <w:t>区块一面积7.6688km</w:t>
                  </w:r>
                  <w:r>
                    <w:rPr>
                      <w:u w:val="wave"/>
                      <w:vertAlign w:val="superscript"/>
                    </w:rPr>
                    <w:t>2</w:t>
                  </w:r>
                  <w:r>
                    <w:rPr>
                      <w:u w:val="wave"/>
                    </w:rPr>
                    <w:t>，四至范围：东至恒生路，南至联胜路及S315省道，西至清江北路，北至顺济路；</w:t>
                  </w:r>
                </w:p>
                <w:p w14:paraId="6D58D316">
                  <w:pPr>
                    <w:adjustRightInd w:val="0"/>
                    <w:rPr>
                      <w:u w:val="wave"/>
                    </w:rPr>
                  </w:pPr>
                  <w:r>
                    <w:rPr>
                      <w:u w:val="wave"/>
                    </w:rPr>
                    <w:t>区块二面积0.1146km</w:t>
                  </w:r>
                  <w:r>
                    <w:rPr>
                      <w:u w:val="wave"/>
                      <w:vertAlign w:val="superscript"/>
                    </w:rPr>
                    <w:t>2</w:t>
                  </w:r>
                  <w:r>
                    <w:rPr>
                      <w:u w:val="wave"/>
                    </w:rPr>
                    <w:t>，四至范围：东至开福路，南至船山西路，西至洪山路，北至工业路； 区块三面积1.3576km</w:t>
                  </w:r>
                  <w:r>
                    <w:rPr>
                      <w:u w:val="wave"/>
                      <w:vertAlign w:val="superscript"/>
                    </w:rPr>
                    <w:t>2</w:t>
                  </w:r>
                  <w:r>
                    <w:rPr>
                      <w:u w:val="wave"/>
                    </w:rPr>
                    <w:t>，四至范围：东至石冲水库，南至S336省道，西至肖家冲，北至彩堂垮；</w:t>
                  </w:r>
                </w:p>
                <w:p w14:paraId="426DE248">
                  <w:pPr>
                    <w:adjustRightInd w:val="0"/>
                    <w:rPr>
                      <w:u w:val="wave"/>
                    </w:rPr>
                  </w:pPr>
                  <w:r>
                    <w:rPr>
                      <w:u w:val="wave"/>
                    </w:rPr>
                    <w:t>区块四面积0.333km</w:t>
                  </w:r>
                  <w:r>
                    <w:rPr>
                      <w:u w:val="wave"/>
                      <w:vertAlign w:val="superscript"/>
                    </w:rPr>
                    <w:t>2</w:t>
                  </w:r>
                  <w:r>
                    <w:rPr>
                      <w:u w:val="wave"/>
                    </w:rPr>
                    <w:t>，四至范围：东至大鹰村，南至老鸦冲，西至新塘皂，北至S315省道；</w:t>
                  </w:r>
                </w:p>
                <w:p w14:paraId="7B300F74">
                  <w:pPr>
                    <w:adjustRightInd w:val="0"/>
                    <w:rPr>
                      <w:u w:val="wave"/>
                    </w:rPr>
                  </w:pPr>
                  <w:r>
                    <w:rPr>
                      <w:u w:val="wave"/>
                    </w:rPr>
                    <w:t>区块五面积0.186km</w:t>
                  </w:r>
                  <w:r>
                    <w:rPr>
                      <w:u w:val="wave"/>
                      <w:vertAlign w:val="superscript"/>
                    </w:rPr>
                    <w:t>2</w:t>
                  </w:r>
                  <w:r>
                    <w:rPr>
                      <w:u w:val="wave"/>
                    </w:rPr>
                    <w:t>，四至范围：东至樟板路，南至樟南路，西至光伏路，北至人和路；</w:t>
                  </w:r>
                </w:p>
                <w:p w14:paraId="53C2A24A">
                  <w:pPr>
                    <w:jc w:val="center"/>
                    <w:rPr>
                      <w:u w:val="wave"/>
                    </w:rPr>
                  </w:pPr>
                  <w:r>
                    <w:rPr>
                      <w:u w:val="wave"/>
                    </w:rPr>
                    <w:t>区块六面积0.4111km</w:t>
                  </w:r>
                  <w:r>
                    <w:rPr>
                      <w:u w:val="wave"/>
                      <w:vertAlign w:val="superscript"/>
                    </w:rPr>
                    <w:t>2</w:t>
                  </w:r>
                  <w:r>
                    <w:rPr>
                      <w:u w:val="wave"/>
                    </w:rPr>
                    <w:t>，四至范围：东至X034县道，南至赖老屋，西至斜坡堰水库，北至牛角冲</w:t>
                  </w:r>
                  <w:r>
                    <w:rPr>
                      <w:rFonts w:hint="eastAsia"/>
                      <w:u w:val="wave"/>
                    </w:rPr>
                    <w:t>。</w:t>
                  </w:r>
                </w:p>
              </w:tc>
            </w:tr>
          </w:tbl>
          <w:p w14:paraId="70EDE886">
            <w:pPr>
              <w:adjustRightInd w:val="0"/>
              <w:spacing w:line="360" w:lineRule="auto"/>
              <w:ind w:firstLine="480" w:firstLineChars="200"/>
              <w:rPr>
                <w:sz w:val="24"/>
              </w:rPr>
            </w:pPr>
            <w:r>
              <w:rPr>
                <w:sz w:val="24"/>
                <w:u w:val="wave"/>
              </w:rPr>
              <w:t>由上表可知，项目</w:t>
            </w:r>
            <w:r>
              <w:rPr>
                <w:rFonts w:hint="eastAsia"/>
                <w:sz w:val="24"/>
                <w:u w:val="wave"/>
              </w:rPr>
              <w:t>符合《湖南省生态环境分区管控总体管控要求暨省级以上产业园区生态环境准入清单》</w:t>
            </w:r>
            <w:r>
              <w:rPr>
                <w:sz w:val="24"/>
                <w:u w:val="wave"/>
              </w:rPr>
              <w:t>的要求。</w:t>
            </w:r>
          </w:p>
          <w:p w14:paraId="419335B7">
            <w:pPr>
              <w:adjustRightInd w:val="0"/>
              <w:snapToGrid w:val="0"/>
              <w:spacing w:line="360" w:lineRule="auto"/>
              <w:ind w:firstLine="480" w:firstLineChars="200"/>
              <w:rPr>
                <w:sz w:val="24"/>
              </w:rPr>
            </w:pPr>
            <w:r>
              <w:rPr>
                <w:rFonts w:hint="eastAsia"/>
                <w:sz w:val="24"/>
              </w:rPr>
              <w:t>②项目与（衡政发〔2024〕194号）符合性分析</w:t>
            </w:r>
          </w:p>
          <w:p w14:paraId="0CD0ABB1">
            <w:pPr>
              <w:adjustRightInd w:val="0"/>
              <w:snapToGrid w:val="0"/>
              <w:spacing w:line="360" w:lineRule="auto"/>
              <w:ind w:firstLine="480" w:firstLineChars="200"/>
              <w:rPr>
                <w:sz w:val="24"/>
              </w:rPr>
            </w:pPr>
            <w:r>
              <w:rPr>
                <w:rFonts w:hint="eastAsia"/>
                <w:sz w:val="24"/>
              </w:rPr>
              <w:t>根据《衡阳市生态环境分区管控更新成果（2023年版）》（衡政发〔2024〕194号）》中附件1：</w:t>
            </w:r>
            <w:bookmarkStart w:id="13" w:name="OLE_LINK9"/>
            <w:bookmarkStart w:id="14" w:name="OLE_LINK10"/>
            <w:r>
              <w:rPr>
                <w:rFonts w:hint="eastAsia"/>
                <w:sz w:val="24"/>
              </w:rPr>
              <w:t>衡阳市环境管控单元图（2023年版）</w:t>
            </w:r>
            <w:bookmarkEnd w:id="13"/>
            <w:bookmarkEnd w:id="14"/>
            <w:r>
              <w:rPr>
                <w:rFonts w:hint="eastAsia"/>
                <w:sz w:val="24"/>
              </w:rPr>
              <w:t>，可知本项目属于衡阳市重点管控单元，管控单元编码为</w:t>
            </w:r>
            <w:r>
              <w:rPr>
                <w:sz w:val="24"/>
              </w:rPr>
              <w:t>ZH4304</w:t>
            </w:r>
            <w:r>
              <w:rPr>
                <w:rFonts w:hint="eastAsia"/>
                <w:sz w:val="24"/>
              </w:rPr>
              <w:t>2120001。</w:t>
            </w:r>
          </w:p>
          <w:p w14:paraId="51DEAEFF">
            <w:pPr>
              <w:adjustRightInd w:val="0"/>
              <w:snapToGrid w:val="0"/>
              <w:spacing w:line="360" w:lineRule="auto"/>
              <w:ind w:firstLine="210"/>
            </w:pPr>
            <w:r>
              <w:pict>
                <v:shape id="AutoShape 1331" o:spid="_x0000_s1030" o:spt="136" type="#_x0000_t136" style="position:absolute;left:0pt;margin-left:212.35pt;margin-top:114pt;height:12.35pt;width:36.15pt;rotation:-89568f;z-index:251660288;mso-width-relative:page;mso-height-relative:page;" fillcolor="#000000" filled="t" coordsize="21600,21600">
                  <v:path/>
                  <v:fill on="t" focussize="0,0"/>
                  <v:stroke/>
                  <v:imagedata o:title=""/>
                  <o:lock v:ext="edit"/>
                  <v:textpath on="t" fitshape="t" fitpath="t" trim="t" xscale="f" string="项目所在地&#10;" style="font-family:宋体;font-size:10pt;v-text-align:center;"/>
                </v:shape>
              </w:pict>
            </w:r>
            <w:r>
              <mc:AlternateContent>
                <mc:Choice Requires="wps">
                  <w:drawing>
                    <wp:anchor distT="0" distB="0" distL="114300" distR="114300" simplePos="0" relativeHeight="251659264" behindDoc="0" locked="0" layoutInCell="1" allowOverlap="1">
                      <wp:simplePos x="0" y="0"/>
                      <wp:positionH relativeFrom="column">
                        <wp:posOffset>2869565</wp:posOffset>
                      </wp:positionH>
                      <wp:positionV relativeFrom="paragraph">
                        <wp:posOffset>1685290</wp:posOffset>
                      </wp:positionV>
                      <wp:extent cx="46990" cy="46990"/>
                      <wp:effectExtent l="7620" t="7620" r="21590" b="21590"/>
                      <wp:wrapNone/>
                      <wp:docPr id="7" name="AutoShap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6990" cy="46990"/>
                              </a:xfrm>
                              <a:prstGeom prst="flowChartConnector">
                                <a:avLst/>
                              </a:prstGeom>
                              <a:solidFill>
                                <a:srgbClr val="000000"/>
                              </a:solidFill>
                              <a:ln w="15875" cap="flat" cmpd="sng">
                                <a:solidFill>
                                  <a:srgbClr val="000000"/>
                                </a:solidFill>
                                <a:prstDash val="solid"/>
                                <a:headEnd type="none" w="med" len="med"/>
                                <a:tailEnd type="none" w="med" len="med"/>
                              </a:ln>
                            </wps:spPr>
                            <wps:bodyPr upright="1"/>
                          </wps:wsp>
                        </a:graphicData>
                      </a:graphic>
                    </wp:anchor>
                  </w:drawing>
                </mc:Choice>
                <mc:Fallback>
                  <w:pict>
                    <v:shape id="AutoShape 9" o:spid="_x0000_s1026" o:spt="120" type="#_x0000_t120" style="position:absolute;left:0pt;margin-left:225.95pt;margin-top:132.7pt;height:3.7pt;width:3.7pt;z-index:251659264;mso-width-relative:page;mso-height-relative:page;" fillcolor="#000000" filled="t" stroked="t" coordsize="21600,21600" o:gfxdata="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AfCNdcAAAALAQAADwAAAAAAAAABACAAAAAiAAAAZHJzL2Rvd25y&#10;ZXYueG1sUEsBAhQAFAAAAAgAh07iQFQzBHH/AQAATwQAAA4AAAAAAAAAAQAgAAAAJgEAAGRycy9l&#10;Mm9Eb2MueG1sUEsFBgAAAAAGAAYAWQEAAJcFAAAAAA==&#10;">
                      <v:fill on="t" focussize="0,0"/>
                      <v:stroke weight="1.25pt" color="#000000" joinstyle="round"/>
                      <v:imagedata o:title=""/>
                      <o:lock v:ext="edit" aspectratio="t"/>
                    </v:shape>
                  </w:pict>
                </mc:Fallback>
              </mc:AlternateContent>
            </w:r>
            <w:r>
              <w:rPr>
                <w:rFonts w:eastAsia="Times New Roman"/>
                <w:snapToGrid w:val="0"/>
                <w:color w:val="000000"/>
                <w:w w:val="0"/>
                <w:kern w:val="0"/>
                <w:sz w:val="0"/>
                <w:szCs w:val="0"/>
                <w:u w:color="000000"/>
                <w:shd w:val="clear" w:color="000000" w:fill="000000"/>
                <w:lang w:val="zh-CN" w:eastAsia="zh-CN" w:bidi="zh-CN"/>
              </w:rPr>
              <w:t xml:space="preserve"> </w:t>
            </w:r>
            <w:r>
              <w:drawing>
                <wp:inline distT="0" distB="0" distL="0" distR="0">
                  <wp:extent cx="5591175" cy="4150995"/>
                  <wp:effectExtent l="0" t="0" r="0" b="0"/>
                  <wp:docPr id="1" name="图片 1" descr="E:\技术相关资料\7-湖南省地方\三线一单\衡阳市环境管控单元图（2023年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技术相关资料\7-湖南省地方\三线一单\衡阳市环境管控单元图（2023年版）.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603753" cy="4160786"/>
                          </a:xfrm>
                          <a:prstGeom prst="rect">
                            <a:avLst/>
                          </a:prstGeom>
                          <a:noFill/>
                          <a:ln>
                            <a:noFill/>
                          </a:ln>
                        </pic:spPr>
                      </pic:pic>
                    </a:graphicData>
                  </a:graphic>
                </wp:inline>
              </w:drawing>
            </w:r>
          </w:p>
          <w:p w14:paraId="671EA202">
            <w:pPr>
              <w:spacing w:after="120" w:afterLines="50" w:line="360" w:lineRule="auto"/>
              <w:jc w:val="center"/>
              <w:rPr>
                <w:b/>
              </w:rPr>
            </w:pPr>
            <w:r>
              <w:rPr>
                <w:b/>
              </w:rPr>
              <w:t>图</w:t>
            </w:r>
            <w:r>
              <w:rPr>
                <w:rFonts w:hint="eastAsia"/>
                <w:b/>
              </w:rPr>
              <w:t>1-1  衡阳市</w:t>
            </w:r>
            <w:r>
              <w:rPr>
                <w:b/>
              </w:rPr>
              <w:t>环境管控单元图</w:t>
            </w:r>
          </w:p>
          <w:p w14:paraId="6371353C">
            <w:pPr>
              <w:adjustRightInd w:val="0"/>
              <w:spacing w:line="360" w:lineRule="auto"/>
              <w:ind w:firstLine="480" w:firstLineChars="200"/>
              <w:rPr>
                <w:sz w:val="24"/>
              </w:rPr>
            </w:pPr>
            <w:r>
              <w:rPr>
                <w:rFonts w:hint="eastAsia"/>
                <w:sz w:val="24"/>
              </w:rPr>
              <w:t>项目与《衡阳市生态环境分区管控更新成果（2023年版）》（衡政发〔2024〕194号）》中衡阳市衡阳县西渡镇（</w:t>
            </w:r>
            <w:r>
              <w:rPr>
                <w:sz w:val="24"/>
              </w:rPr>
              <w:t>ZH4304</w:t>
            </w:r>
            <w:r>
              <w:rPr>
                <w:rFonts w:hint="eastAsia"/>
                <w:sz w:val="24"/>
              </w:rPr>
              <w:t>2120001）符合性分析见下表，具体内容如下：</w:t>
            </w:r>
          </w:p>
          <w:p w14:paraId="1848E952">
            <w:pPr>
              <w:adjustRightInd w:val="0"/>
              <w:snapToGrid w:val="0"/>
              <w:spacing w:before="120" w:beforeLines="50"/>
              <w:jc w:val="center"/>
              <w:rPr>
                <w:b/>
              </w:rPr>
            </w:pPr>
            <w:r>
              <w:rPr>
                <w:b/>
              </w:rPr>
              <w:t>表</w:t>
            </w:r>
            <w:r>
              <w:rPr>
                <w:rFonts w:hint="eastAsia"/>
                <w:b/>
              </w:rPr>
              <w:t xml:space="preserve">1-4  </w:t>
            </w:r>
            <w:r>
              <w:rPr>
                <w:b/>
              </w:rPr>
              <w:t>项目与衡阳市</w:t>
            </w:r>
            <w:r>
              <w:rPr>
                <w:rFonts w:hint="eastAsia"/>
                <w:b/>
              </w:rPr>
              <w:t>衡阳县西渡镇</w:t>
            </w:r>
            <w:r>
              <w:rPr>
                <w:b/>
              </w:rPr>
              <w:t>生态环境准入清单符合性分析</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5245"/>
              <w:gridCol w:w="2237"/>
              <w:gridCol w:w="928"/>
            </w:tblGrid>
            <w:tr w14:paraId="33F2F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Align w:val="center"/>
                </w:tcPr>
                <w:p w14:paraId="3438010B">
                  <w:pPr>
                    <w:jc w:val="center"/>
                    <w:rPr>
                      <w:b/>
                    </w:rPr>
                  </w:pPr>
                  <w:r>
                    <w:rPr>
                      <w:rFonts w:hint="eastAsia"/>
                      <w:b/>
                    </w:rPr>
                    <w:t>管控类别</w:t>
                  </w:r>
                </w:p>
              </w:tc>
              <w:tc>
                <w:tcPr>
                  <w:tcW w:w="2870" w:type="pct"/>
                  <w:vAlign w:val="center"/>
                </w:tcPr>
                <w:p w14:paraId="00E3597E">
                  <w:pPr>
                    <w:jc w:val="center"/>
                    <w:rPr>
                      <w:b/>
                    </w:rPr>
                  </w:pPr>
                  <w:r>
                    <w:rPr>
                      <w:rFonts w:hint="eastAsia"/>
                      <w:b/>
                    </w:rPr>
                    <w:t>管控要求</w:t>
                  </w:r>
                </w:p>
              </w:tc>
              <w:tc>
                <w:tcPr>
                  <w:tcW w:w="1224" w:type="pct"/>
                  <w:vAlign w:val="center"/>
                </w:tcPr>
                <w:p w14:paraId="27AA5A74">
                  <w:pPr>
                    <w:jc w:val="center"/>
                    <w:rPr>
                      <w:b/>
                    </w:rPr>
                  </w:pPr>
                  <w:r>
                    <w:rPr>
                      <w:rFonts w:hint="eastAsia"/>
                      <w:b/>
                    </w:rPr>
                    <w:t>本项目情况</w:t>
                  </w:r>
                </w:p>
              </w:tc>
              <w:tc>
                <w:tcPr>
                  <w:tcW w:w="508" w:type="pct"/>
                  <w:vAlign w:val="center"/>
                </w:tcPr>
                <w:p w14:paraId="5E03B6E2">
                  <w:pPr>
                    <w:jc w:val="center"/>
                    <w:rPr>
                      <w:b/>
                    </w:rPr>
                  </w:pPr>
                  <w:r>
                    <w:rPr>
                      <w:rFonts w:hint="eastAsia"/>
                      <w:b/>
                    </w:rPr>
                    <w:t>是否</w:t>
                  </w:r>
                </w:p>
                <w:p w14:paraId="21E5C91B">
                  <w:pPr>
                    <w:jc w:val="center"/>
                    <w:rPr>
                      <w:b/>
                    </w:rPr>
                  </w:pPr>
                  <w:r>
                    <w:rPr>
                      <w:rFonts w:hint="eastAsia"/>
                      <w:b/>
                    </w:rPr>
                    <w:t>相符</w:t>
                  </w:r>
                </w:p>
              </w:tc>
            </w:tr>
            <w:tr w14:paraId="4C7DA2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restart"/>
                  <w:vAlign w:val="center"/>
                </w:tcPr>
                <w:p w14:paraId="0814770D">
                  <w:pPr>
                    <w:jc w:val="center"/>
                  </w:pPr>
                  <w:r>
                    <w:t>空间布局约束</w:t>
                  </w:r>
                </w:p>
              </w:tc>
              <w:tc>
                <w:tcPr>
                  <w:tcW w:w="2870" w:type="pct"/>
                  <w:vAlign w:val="center"/>
                </w:tcPr>
                <w:p w14:paraId="46B071A4">
                  <w:pPr>
                    <w:jc w:val="center"/>
                  </w:pPr>
                  <w:r>
                    <w:t>（1.1）</w:t>
                  </w:r>
                  <w:r>
                    <w:rPr>
                      <w:rFonts w:hint="eastAsia" w:ascii="宋体" w:hAnsi="宋体" w:cs="宋体"/>
                      <w:szCs w:val="21"/>
                    </w:rPr>
                    <w:t>除在安全或者产业布局等方面有特殊要求的以外，新建有污染物排放的工业项目，应当按照规定进入工业园区或者工业集聚区</w:t>
                  </w:r>
                  <w:r>
                    <w:rPr>
                      <w:rFonts w:eastAsiaTheme="minorEastAsia"/>
                      <w:kern w:val="0"/>
                      <w:szCs w:val="21"/>
                    </w:rPr>
                    <w:t>。</w:t>
                  </w:r>
                </w:p>
              </w:tc>
              <w:tc>
                <w:tcPr>
                  <w:tcW w:w="1224" w:type="pct"/>
                  <w:vAlign w:val="center"/>
                </w:tcPr>
                <w:p w14:paraId="53A35F67">
                  <w:pPr>
                    <w:jc w:val="center"/>
                  </w:pPr>
                  <w:r>
                    <w:rPr>
                      <w:szCs w:val="21"/>
                    </w:rPr>
                    <w:t>项目位于</w:t>
                  </w:r>
                  <w:r>
                    <w:rPr>
                      <w:rFonts w:hint="eastAsia"/>
                      <w:szCs w:val="21"/>
                    </w:rPr>
                    <w:t>衡阳西渡高新技术产业园区块三用地范围内</w:t>
                  </w:r>
                </w:p>
              </w:tc>
              <w:tc>
                <w:tcPr>
                  <w:tcW w:w="508" w:type="pct"/>
                  <w:vMerge w:val="restart"/>
                  <w:vAlign w:val="center"/>
                </w:tcPr>
                <w:p w14:paraId="1D67CB5A">
                  <w:pPr>
                    <w:jc w:val="center"/>
                  </w:pPr>
                  <w:r>
                    <w:t>相符</w:t>
                  </w:r>
                </w:p>
              </w:tc>
            </w:tr>
            <w:tr w14:paraId="588EA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2CA68465">
                  <w:pPr>
                    <w:jc w:val="center"/>
                  </w:pPr>
                </w:p>
              </w:tc>
              <w:tc>
                <w:tcPr>
                  <w:tcW w:w="2870" w:type="pct"/>
                  <w:vAlign w:val="center"/>
                </w:tcPr>
                <w:p w14:paraId="2BA22E49">
                  <w:pPr>
                    <w:jc w:val="center"/>
                  </w:pPr>
                  <w:r>
                    <w:rPr>
                      <w:rFonts w:eastAsiaTheme="minorEastAsia"/>
                      <w:kern w:val="0"/>
                      <w:szCs w:val="21"/>
                    </w:rPr>
                    <w:t>（1.2）</w:t>
                  </w:r>
                  <w:r>
                    <w:rPr>
                      <w:rFonts w:hint="eastAsia" w:ascii="宋体" w:hAnsi="宋体" w:cs="宋体"/>
                      <w:kern w:val="0"/>
                      <w:szCs w:val="21"/>
                    </w:rPr>
                    <w:t>饮用水源保护区按《湖南省饮用水水源保护条例》等要求管理</w:t>
                  </w:r>
                  <w:r>
                    <w:t>。</w:t>
                  </w:r>
                </w:p>
              </w:tc>
              <w:tc>
                <w:tcPr>
                  <w:tcW w:w="1224" w:type="pct"/>
                  <w:vAlign w:val="center"/>
                </w:tcPr>
                <w:p w14:paraId="4A535B5A">
                  <w:pPr>
                    <w:jc w:val="center"/>
                  </w:pPr>
                  <w:r>
                    <w:rPr>
                      <w:rFonts w:hint="eastAsia"/>
                    </w:rPr>
                    <w:t>项目不涉及</w:t>
                  </w:r>
                  <w:r>
                    <w:rPr>
                      <w:rFonts w:hint="eastAsia" w:ascii="宋体" w:hAnsi="宋体" w:cs="宋体"/>
                      <w:kern w:val="0"/>
                      <w:szCs w:val="21"/>
                    </w:rPr>
                    <w:t>饮用水源保护区</w:t>
                  </w:r>
                </w:p>
              </w:tc>
              <w:tc>
                <w:tcPr>
                  <w:tcW w:w="508" w:type="pct"/>
                  <w:vMerge w:val="continue"/>
                  <w:vAlign w:val="center"/>
                </w:tcPr>
                <w:p w14:paraId="6C201676">
                  <w:pPr>
                    <w:jc w:val="center"/>
                  </w:pPr>
                </w:p>
              </w:tc>
            </w:tr>
            <w:tr w14:paraId="0DD060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28248AF6">
                  <w:pPr>
                    <w:jc w:val="center"/>
                  </w:pPr>
                </w:p>
              </w:tc>
              <w:tc>
                <w:tcPr>
                  <w:tcW w:w="2870" w:type="pct"/>
                  <w:vAlign w:val="center"/>
                </w:tcPr>
                <w:p w14:paraId="4AD588D9">
                  <w:pPr>
                    <w:jc w:val="center"/>
                  </w:pPr>
                  <w:r>
                    <w:t>（</w:t>
                  </w:r>
                  <w:r>
                    <w:rPr>
                      <w:rFonts w:hint="eastAsia"/>
                    </w:rPr>
                    <w:t>1.3</w:t>
                  </w:r>
                  <w:r>
                    <w:t>）</w:t>
                  </w:r>
                  <w:r>
                    <w:rPr>
                      <w:rFonts w:hint="eastAsia" w:ascii="宋体" w:hAnsi="宋体" w:cs="宋体"/>
                      <w:szCs w:val="21"/>
                    </w:rPr>
                    <w:t>养殖业按划定的禁养区、限养区、适养区实施分类管理</w:t>
                  </w:r>
                </w:p>
              </w:tc>
              <w:tc>
                <w:tcPr>
                  <w:tcW w:w="1224" w:type="pct"/>
                  <w:vAlign w:val="center"/>
                </w:tcPr>
                <w:p w14:paraId="1A698DDD">
                  <w:pPr>
                    <w:jc w:val="center"/>
                  </w:pPr>
                  <w:r>
                    <w:rPr>
                      <w:rFonts w:hint="eastAsia"/>
                    </w:rPr>
                    <w:t>项目非养殖业</w:t>
                  </w:r>
                </w:p>
              </w:tc>
              <w:tc>
                <w:tcPr>
                  <w:tcW w:w="508" w:type="pct"/>
                  <w:vMerge w:val="continue"/>
                  <w:vAlign w:val="center"/>
                </w:tcPr>
                <w:p w14:paraId="5413D63C">
                  <w:pPr>
                    <w:jc w:val="center"/>
                  </w:pPr>
                </w:p>
              </w:tc>
            </w:tr>
            <w:tr w14:paraId="12677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restart"/>
                  <w:vAlign w:val="center"/>
                </w:tcPr>
                <w:p w14:paraId="79BD572E">
                  <w:pPr>
                    <w:jc w:val="center"/>
                  </w:pPr>
                  <w:r>
                    <w:t>污染物排放管控</w:t>
                  </w:r>
                </w:p>
              </w:tc>
              <w:tc>
                <w:tcPr>
                  <w:tcW w:w="2870" w:type="pct"/>
                  <w:vAlign w:val="center"/>
                </w:tcPr>
                <w:p w14:paraId="78765859">
                  <w:pPr>
                    <w:adjustRightInd w:val="0"/>
                    <w:jc w:val="center"/>
                    <w:rPr>
                      <w:rFonts w:eastAsiaTheme="minorEastAsia"/>
                      <w:kern w:val="0"/>
                      <w:szCs w:val="21"/>
                    </w:rPr>
                  </w:pPr>
                  <w:r>
                    <w:t>（2.1）</w:t>
                  </w:r>
                  <w:r>
                    <w:rPr>
                      <w:rFonts w:hint="eastAsia" w:ascii="宋体" w:hAnsi="宋体" w:cs="宋体"/>
                      <w:kern w:val="0"/>
                      <w:szCs w:val="21"/>
                    </w:rPr>
                    <w:t>因地制宜开展农村生活污水处理设施建设，完善“五位一体”的县域农村生活污水治理设施运维管理体系，建立长效的农村生活污水运行管理机制</w:t>
                  </w:r>
                  <w:r>
                    <w:rPr>
                      <w:rFonts w:eastAsiaTheme="minorEastAsia"/>
                      <w:kern w:val="0"/>
                      <w:szCs w:val="21"/>
                    </w:rPr>
                    <w:t>。</w:t>
                  </w:r>
                </w:p>
              </w:tc>
              <w:tc>
                <w:tcPr>
                  <w:tcW w:w="1224" w:type="pct"/>
                  <w:vAlign w:val="center"/>
                </w:tcPr>
                <w:p w14:paraId="11B31278">
                  <w:pPr>
                    <w:jc w:val="center"/>
                  </w:pPr>
                  <w:r>
                    <w:rPr>
                      <w:rFonts w:hint="eastAsia"/>
                    </w:rPr>
                    <w:t>/</w:t>
                  </w:r>
                </w:p>
              </w:tc>
              <w:tc>
                <w:tcPr>
                  <w:tcW w:w="508" w:type="pct"/>
                  <w:vMerge w:val="restart"/>
                  <w:vAlign w:val="center"/>
                </w:tcPr>
                <w:p w14:paraId="62955353">
                  <w:pPr>
                    <w:jc w:val="center"/>
                  </w:pPr>
                  <w:r>
                    <w:t>相符</w:t>
                  </w:r>
                </w:p>
              </w:tc>
            </w:tr>
            <w:tr w14:paraId="12FAB6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3C34B600">
                  <w:pPr>
                    <w:jc w:val="center"/>
                  </w:pPr>
                </w:p>
              </w:tc>
              <w:tc>
                <w:tcPr>
                  <w:tcW w:w="2870" w:type="pct"/>
                  <w:vAlign w:val="center"/>
                </w:tcPr>
                <w:p w14:paraId="7045D4E0">
                  <w:pPr>
                    <w:adjustRightInd w:val="0"/>
                    <w:jc w:val="center"/>
                  </w:pPr>
                  <w:r>
                    <w:rPr>
                      <w:rFonts w:eastAsiaTheme="minorEastAsia"/>
                      <w:kern w:val="0"/>
                      <w:szCs w:val="21"/>
                    </w:rPr>
                    <w:t>（2.2）</w:t>
                  </w:r>
                  <w:r>
                    <w:rPr>
                      <w:rFonts w:hint="eastAsia" w:eastAsiaTheme="minorEastAsia"/>
                      <w:kern w:val="0"/>
                      <w:szCs w:val="21"/>
                    </w:rPr>
                    <w:t>重点行业企业实施强制清洁生产审核，重点工业企业完成无组织排放治理改造；强化重点行业挥发性有机物污染治理，实行区域内VOCs排放等量或倍量削减替代，交通运输设备制造、工程机械制造和家具制造行业全面推行油性漆改水性漆。禁止露天烧烤直排，禁止垃圾露天焚烧。禁止在商住、学校、医疗、养老机构、人口密集区和公共服务设施等周边新建有色金属冶炼、化工等行业企业</w:t>
                  </w:r>
                  <w:r>
                    <w:rPr>
                      <w:rFonts w:eastAsiaTheme="minorEastAsia"/>
                      <w:kern w:val="0"/>
                      <w:szCs w:val="21"/>
                    </w:rPr>
                    <w:t>。</w:t>
                  </w:r>
                </w:p>
              </w:tc>
              <w:tc>
                <w:tcPr>
                  <w:tcW w:w="1224" w:type="pct"/>
                  <w:vAlign w:val="center"/>
                </w:tcPr>
                <w:p w14:paraId="1384612D">
                  <w:pPr>
                    <w:jc w:val="center"/>
                  </w:pPr>
                  <w:r>
                    <w:rPr>
                      <w:rFonts w:hint="eastAsia"/>
                    </w:rPr>
                    <w:t>项目运输、装卸、储存、转移与输送以及生产工艺过程中，采取地面硬化、封闭式厂房、喷雾抑尘、洒水降尘等措施防止颗粒物无组织排放</w:t>
                  </w:r>
                </w:p>
              </w:tc>
              <w:tc>
                <w:tcPr>
                  <w:tcW w:w="508" w:type="pct"/>
                  <w:vMerge w:val="continue"/>
                  <w:vAlign w:val="center"/>
                </w:tcPr>
                <w:p w14:paraId="278AF940">
                  <w:pPr>
                    <w:jc w:val="center"/>
                  </w:pPr>
                </w:p>
              </w:tc>
            </w:tr>
            <w:tr w14:paraId="77AB5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3DF9AE86">
                  <w:pPr>
                    <w:jc w:val="center"/>
                  </w:pPr>
                </w:p>
              </w:tc>
              <w:tc>
                <w:tcPr>
                  <w:tcW w:w="2870" w:type="pct"/>
                  <w:vAlign w:val="center"/>
                </w:tcPr>
                <w:p w14:paraId="0CD7131A">
                  <w:pPr>
                    <w:adjustRightInd w:val="0"/>
                    <w:jc w:val="center"/>
                  </w:pPr>
                  <w:r>
                    <w:rPr>
                      <w:rFonts w:eastAsiaTheme="minorEastAsia"/>
                      <w:kern w:val="0"/>
                      <w:szCs w:val="21"/>
                    </w:rPr>
                    <w:t>（2.3）</w:t>
                  </w:r>
                  <w:r>
                    <w:rPr>
                      <w:rFonts w:hint="eastAsia" w:eastAsiaTheme="minorEastAsia"/>
                      <w:kern w:val="0"/>
                      <w:szCs w:val="21"/>
                    </w:rPr>
                    <w:t>加强畜禽养殖污染防治。完善垃圾收集外运设施，建立外运处理制度，禁止在集镇、居民点及其附近任意焚烧；畜禽规模养殖场（小区）配套建设废弃物处理设施的比例达到85%以上</w:t>
                  </w:r>
                  <w:r>
                    <w:t>。</w:t>
                  </w:r>
                </w:p>
              </w:tc>
              <w:tc>
                <w:tcPr>
                  <w:tcW w:w="1224" w:type="pct"/>
                  <w:vAlign w:val="center"/>
                </w:tcPr>
                <w:p w14:paraId="2573BCCF">
                  <w:pPr>
                    <w:jc w:val="center"/>
                  </w:pPr>
                  <w:r>
                    <w:rPr>
                      <w:rFonts w:hint="eastAsia"/>
                    </w:rPr>
                    <w:t>/</w:t>
                  </w:r>
                </w:p>
              </w:tc>
              <w:tc>
                <w:tcPr>
                  <w:tcW w:w="508" w:type="pct"/>
                  <w:vMerge w:val="continue"/>
                  <w:vAlign w:val="center"/>
                </w:tcPr>
                <w:p w14:paraId="2435FADD">
                  <w:pPr>
                    <w:jc w:val="center"/>
                  </w:pPr>
                </w:p>
              </w:tc>
            </w:tr>
            <w:tr w14:paraId="199087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restart"/>
                  <w:vAlign w:val="center"/>
                </w:tcPr>
                <w:p w14:paraId="11B24E16">
                  <w:pPr>
                    <w:jc w:val="center"/>
                  </w:pPr>
                  <w:r>
                    <w:t>环境风险防控</w:t>
                  </w:r>
                </w:p>
              </w:tc>
              <w:tc>
                <w:tcPr>
                  <w:tcW w:w="2870" w:type="pct"/>
                  <w:vAlign w:val="center"/>
                </w:tcPr>
                <w:p w14:paraId="70A42F7D">
                  <w:pPr>
                    <w:jc w:val="center"/>
                  </w:pPr>
                  <w:r>
                    <w:t>（3.1）</w:t>
                  </w:r>
                  <w:r>
                    <w:rPr>
                      <w:rFonts w:hint="eastAsia" w:ascii="宋体" w:hAnsi="宋体" w:cs="宋体"/>
                      <w:kern w:val="0"/>
                      <w:szCs w:val="21"/>
                    </w:rPr>
                    <w:t>加强生态环境保护日常监管和线下监控，健全环境风险预警防控体系，推进重点流域、重要水源地风险防控；建立生态环境风险隐患排查制度和重大生态环境风险源数据库，实行动态跟踪监控和管理；设立生态环境风险监督员，及时核查核实群众举报、舆情反映等渠道获取的问题，建立问题清单和整改清单，消除环境风险。</w:t>
                  </w:r>
                </w:p>
              </w:tc>
              <w:tc>
                <w:tcPr>
                  <w:tcW w:w="1224" w:type="pct"/>
                  <w:vAlign w:val="center"/>
                </w:tcPr>
                <w:p w14:paraId="2748A907">
                  <w:pPr>
                    <w:jc w:val="center"/>
                  </w:pPr>
                  <w:r>
                    <w:t>项目建成后将</w:t>
                  </w:r>
                  <w:r>
                    <w:rPr>
                      <w:rFonts w:hint="eastAsia"/>
                    </w:rPr>
                    <w:t>编制</w:t>
                  </w:r>
                  <w:r>
                    <w:t>应急预案并备案及实施管理</w:t>
                  </w:r>
                </w:p>
              </w:tc>
              <w:tc>
                <w:tcPr>
                  <w:tcW w:w="508" w:type="pct"/>
                  <w:vMerge w:val="restart"/>
                  <w:vAlign w:val="center"/>
                </w:tcPr>
                <w:p w14:paraId="36C2083A">
                  <w:pPr>
                    <w:jc w:val="center"/>
                  </w:pPr>
                  <w:r>
                    <w:t>相符</w:t>
                  </w:r>
                </w:p>
              </w:tc>
            </w:tr>
            <w:tr w14:paraId="2CC34E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2D9F84A6">
                  <w:pPr>
                    <w:jc w:val="center"/>
                  </w:pPr>
                </w:p>
              </w:tc>
              <w:tc>
                <w:tcPr>
                  <w:tcW w:w="2870" w:type="pct"/>
                  <w:vAlign w:val="center"/>
                </w:tcPr>
                <w:p w14:paraId="6949E21E">
                  <w:pPr>
                    <w:jc w:val="center"/>
                  </w:pPr>
                  <w:r>
                    <w:rPr>
                      <w:rFonts w:eastAsiaTheme="minorEastAsia"/>
                      <w:kern w:val="0"/>
                      <w:szCs w:val="21"/>
                    </w:rPr>
                    <w:t>（3.2）</w:t>
                  </w:r>
                  <w:r>
                    <w:rPr>
                      <w:rFonts w:hint="eastAsia" w:ascii="宋体" w:hAnsi="宋体" w:cs="宋体"/>
                      <w:bCs/>
                      <w:szCs w:val="21"/>
                    </w:rPr>
                    <w:t>加强污染耕地环境风险控制。对已污染的耕地实施分类管理，采取农艺调控、种植业结构调整、土壤污染治理与修复等措施，确保耕地安全利用；污染严重且难以修复的耕地依法划定为农产品禁止生产区域。加强农用土地复垦风险评估管理。严格建设用地土壤污染风险管控。严控污染地块环境社会风险，以城镇人口密集区危险化学品生产企业搬迁改造以及长江经济带化工污染整治过程中的腾退企业用地为重点，结合建设用地治理修复和风险管控名录管理制度，进一步加强腾退土地污染风险管控，严格企业拆除活动的环境监管</w:t>
                  </w:r>
                  <w:r>
                    <w:rPr>
                      <w:rFonts w:hint="eastAsia"/>
                    </w:rPr>
                    <w:t>。</w:t>
                  </w:r>
                </w:p>
              </w:tc>
              <w:tc>
                <w:tcPr>
                  <w:tcW w:w="1224" w:type="pct"/>
                  <w:vAlign w:val="center"/>
                </w:tcPr>
                <w:p w14:paraId="42D19B91">
                  <w:pPr>
                    <w:jc w:val="center"/>
                  </w:pPr>
                  <w:r>
                    <w:rPr>
                      <w:rFonts w:hint="eastAsia"/>
                    </w:rPr>
                    <w:t>本项目用地为建设用地，不涉及污染地块和农用地安全利用风险</w:t>
                  </w:r>
                </w:p>
              </w:tc>
              <w:tc>
                <w:tcPr>
                  <w:tcW w:w="508" w:type="pct"/>
                  <w:vMerge w:val="continue"/>
                  <w:vAlign w:val="center"/>
                </w:tcPr>
                <w:p w14:paraId="72D45814">
                  <w:pPr>
                    <w:jc w:val="center"/>
                  </w:pPr>
                </w:p>
              </w:tc>
            </w:tr>
            <w:tr w14:paraId="15DA22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restart"/>
                  <w:vAlign w:val="center"/>
                </w:tcPr>
                <w:p w14:paraId="3C4CB6F2">
                  <w:pPr>
                    <w:jc w:val="center"/>
                  </w:pPr>
                  <w:r>
                    <w:t>资源开发效率要求</w:t>
                  </w:r>
                </w:p>
              </w:tc>
              <w:tc>
                <w:tcPr>
                  <w:tcW w:w="2870" w:type="pct"/>
                  <w:vAlign w:val="center"/>
                </w:tcPr>
                <w:p w14:paraId="0F5B72AB">
                  <w:pPr>
                    <w:jc w:val="center"/>
                  </w:pPr>
                  <w:r>
                    <w:t>（4.1）能源：</w:t>
                  </w:r>
                  <w:r>
                    <w:rPr>
                      <w:rFonts w:hint="eastAsia" w:eastAsiaTheme="minorEastAsia"/>
                      <w:szCs w:val="21"/>
                    </w:rPr>
                    <w:t>鼓励企业使用清洁能源，营造全社会节能减排和保护环境的良好氛围。激发用户侧可再生能源电力需求，鼓励用户绿色出行</w:t>
                  </w:r>
                  <w:r>
                    <w:rPr>
                      <w:rFonts w:eastAsiaTheme="minorEastAsia"/>
                      <w:kern w:val="0"/>
                      <w:szCs w:val="21"/>
                    </w:rPr>
                    <w:t>。</w:t>
                  </w:r>
                </w:p>
              </w:tc>
              <w:tc>
                <w:tcPr>
                  <w:tcW w:w="1224" w:type="pct"/>
                  <w:vAlign w:val="center"/>
                </w:tcPr>
                <w:p w14:paraId="78006B42">
                  <w:pPr>
                    <w:jc w:val="center"/>
                  </w:pPr>
                  <w:r>
                    <w:rPr>
                      <w:rFonts w:hint="eastAsia"/>
                      <w:color w:val="000000"/>
                    </w:rPr>
                    <w:t>项目使用水、电等清洁能源，不涉及煤炭等化石能源</w:t>
                  </w:r>
                </w:p>
              </w:tc>
              <w:tc>
                <w:tcPr>
                  <w:tcW w:w="508" w:type="pct"/>
                  <w:vMerge w:val="restart"/>
                  <w:vAlign w:val="center"/>
                </w:tcPr>
                <w:p w14:paraId="177D051E">
                  <w:pPr>
                    <w:jc w:val="center"/>
                  </w:pPr>
                  <w:r>
                    <w:t>相符</w:t>
                  </w:r>
                </w:p>
              </w:tc>
            </w:tr>
            <w:tr w14:paraId="3D83B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8" w:type="pct"/>
                  <w:vMerge w:val="continue"/>
                  <w:vAlign w:val="center"/>
                </w:tcPr>
                <w:p w14:paraId="0192C084">
                  <w:pPr>
                    <w:jc w:val="center"/>
                  </w:pPr>
                </w:p>
              </w:tc>
              <w:tc>
                <w:tcPr>
                  <w:tcW w:w="2870" w:type="pct"/>
                  <w:vAlign w:val="center"/>
                </w:tcPr>
                <w:p w14:paraId="0D78DD9A">
                  <w:pPr>
                    <w:jc w:val="center"/>
                  </w:pPr>
                  <w:r>
                    <w:rPr>
                      <w:rFonts w:eastAsiaTheme="minorEastAsia"/>
                      <w:szCs w:val="21"/>
                    </w:rPr>
                    <w:t>（4.2）水资源：</w:t>
                  </w:r>
                  <w:r>
                    <w:rPr>
                      <w:rFonts w:hint="eastAsia" w:ascii="宋体" w:hAnsi="宋体" w:cs="宋体"/>
                      <w:kern w:val="0"/>
                      <w:szCs w:val="21"/>
                    </w:rPr>
                    <w:t>落实水资源消耗总量和强度双控行动，推动经济社会发展布局与水资源承载能力相适应</w:t>
                  </w:r>
                  <w:r>
                    <w:rPr>
                      <w:rFonts w:hint="eastAsia"/>
                    </w:rPr>
                    <w:t>。</w:t>
                  </w:r>
                </w:p>
              </w:tc>
              <w:tc>
                <w:tcPr>
                  <w:tcW w:w="1224" w:type="pct"/>
                  <w:vAlign w:val="center"/>
                </w:tcPr>
                <w:p w14:paraId="5EDB9CF9">
                  <w:pPr>
                    <w:jc w:val="center"/>
                    <w:rPr>
                      <w:color w:val="FF0000"/>
                    </w:rPr>
                  </w:pPr>
                  <w:r>
                    <w:rPr>
                      <w:rFonts w:hint="eastAsia"/>
                    </w:rPr>
                    <w:t>项目不属于高耗水工业行业</w:t>
                  </w:r>
                </w:p>
              </w:tc>
              <w:tc>
                <w:tcPr>
                  <w:tcW w:w="508" w:type="pct"/>
                  <w:vMerge w:val="continue"/>
                  <w:vAlign w:val="center"/>
                </w:tcPr>
                <w:p w14:paraId="077743FA">
                  <w:pPr>
                    <w:jc w:val="center"/>
                  </w:pPr>
                </w:p>
              </w:tc>
            </w:tr>
          </w:tbl>
          <w:p w14:paraId="6BBE0F91">
            <w:pPr>
              <w:adjustRightInd w:val="0"/>
              <w:spacing w:line="360" w:lineRule="auto"/>
              <w:ind w:firstLine="480" w:firstLineChars="200"/>
              <w:rPr>
                <w:sz w:val="24"/>
              </w:rPr>
            </w:pPr>
            <w:r>
              <w:rPr>
                <w:rFonts w:hint="eastAsia"/>
                <w:sz w:val="24"/>
              </w:rPr>
              <w:t>综上，本项目的建设符合《衡阳市生态环境分区管控更新成果（2023年版）》（衡政发〔2024〕194号）》中相关要求。</w:t>
            </w:r>
          </w:p>
          <w:p w14:paraId="62325DFA">
            <w:pPr>
              <w:adjustRightInd w:val="0"/>
              <w:spacing w:line="360" w:lineRule="auto"/>
              <w:ind w:firstLine="482" w:firstLineChars="200"/>
              <w:rPr>
                <w:b/>
                <w:sz w:val="24"/>
              </w:rPr>
            </w:pPr>
            <w:r>
              <w:rPr>
                <w:rFonts w:hint="eastAsia"/>
                <w:b/>
                <w:sz w:val="24"/>
              </w:rPr>
              <w:t>4、与《湖南省大气污染防治“守护蓝天”攻坚行动计划（2023-2025年）》符合性分析</w:t>
            </w:r>
          </w:p>
          <w:p w14:paraId="69E6D364">
            <w:pPr>
              <w:adjustRightInd w:val="0"/>
              <w:spacing w:line="360" w:lineRule="auto"/>
              <w:ind w:firstLine="480" w:firstLineChars="200"/>
              <w:rPr>
                <w:sz w:val="24"/>
              </w:rPr>
            </w:pPr>
            <w:r>
              <w:rPr>
                <w:rFonts w:hint="eastAsia"/>
                <w:sz w:val="24"/>
              </w:rPr>
              <w:t>项目与《湖南省大气污染防治“守护蓝天”攻坚行动计划（2023-2025年）》符合性分析见下表，具体内容如下：</w:t>
            </w:r>
          </w:p>
          <w:p w14:paraId="6AB793CB">
            <w:pPr>
              <w:adjustRightInd w:val="0"/>
              <w:snapToGrid w:val="0"/>
              <w:spacing w:before="120" w:beforeLines="50"/>
              <w:jc w:val="center"/>
              <w:rPr>
                <w:b/>
              </w:rPr>
            </w:pPr>
            <w:r>
              <w:rPr>
                <w:rFonts w:hint="eastAsia"/>
                <w:b/>
              </w:rPr>
              <w:t>表1-5  本项目与《湖南省大气污染防治“守护蓝天”攻坚行动计划（2023-2025年）》</w:t>
            </w:r>
            <w:r>
              <w:rPr>
                <w:b/>
              </w:rPr>
              <w:t>相符性分析</w:t>
            </w:r>
          </w:p>
          <w:tbl>
            <w:tblPr>
              <w:tblStyle w:val="35"/>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588"/>
              <w:gridCol w:w="2652"/>
              <w:gridCol w:w="897"/>
            </w:tblGrid>
            <w:tr w14:paraId="4EC14B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3B535BB5">
                  <w:pPr>
                    <w:pStyle w:val="72"/>
                    <w:rPr>
                      <w:b/>
                      <w:kern w:val="2"/>
                      <w:sz w:val="21"/>
                      <w:szCs w:val="21"/>
                    </w:rPr>
                  </w:pPr>
                  <w:r>
                    <w:rPr>
                      <w:rFonts w:hint="eastAsia"/>
                      <w:b/>
                      <w:kern w:val="2"/>
                      <w:sz w:val="21"/>
                      <w:szCs w:val="21"/>
                    </w:rPr>
                    <w:t>计划</w:t>
                  </w:r>
                  <w:r>
                    <w:rPr>
                      <w:b/>
                      <w:kern w:val="2"/>
                      <w:sz w:val="21"/>
                      <w:szCs w:val="21"/>
                    </w:rPr>
                    <w:t>要求</w:t>
                  </w:r>
                </w:p>
              </w:tc>
              <w:tc>
                <w:tcPr>
                  <w:tcW w:w="1451" w:type="pct"/>
                  <w:vAlign w:val="center"/>
                </w:tcPr>
                <w:p w14:paraId="30D66E38">
                  <w:pPr>
                    <w:pStyle w:val="72"/>
                    <w:rPr>
                      <w:b/>
                      <w:sz w:val="21"/>
                      <w:szCs w:val="21"/>
                    </w:rPr>
                  </w:pPr>
                  <w:r>
                    <w:rPr>
                      <w:b/>
                      <w:sz w:val="21"/>
                      <w:szCs w:val="21"/>
                    </w:rPr>
                    <w:t>本项目情况</w:t>
                  </w:r>
                </w:p>
              </w:tc>
              <w:tc>
                <w:tcPr>
                  <w:tcW w:w="491" w:type="pct"/>
                  <w:vAlign w:val="center"/>
                </w:tcPr>
                <w:p w14:paraId="212066B7">
                  <w:pPr>
                    <w:pStyle w:val="72"/>
                    <w:rPr>
                      <w:b/>
                      <w:sz w:val="21"/>
                      <w:szCs w:val="21"/>
                    </w:rPr>
                  </w:pPr>
                  <w:r>
                    <w:rPr>
                      <w:rFonts w:hint="eastAsia"/>
                      <w:b/>
                      <w:sz w:val="21"/>
                      <w:szCs w:val="21"/>
                    </w:rPr>
                    <w:t>是否</w:t>
                  </w:r>
                </w:p>
                <w:p w14:paraId="78802F40">
                  <w:pPr>
                    <w:pStyle w:val="72"/>
                    <w:rPr>
                      <w:b/>
                      <w:sz w:val="21"/>
                      <w:szCs w:val="21"/>
                    </w:rPr>
                  </w:pPr>
                  <w:r>
                    <w:rPr>
                      <w:rFonts w:hint="eastAsia"/>
                      <w:b/>
                      <w:sz w:val="21"/>
                      <w:szCs w:val="21"/>
                    </w:rPr>
                    <w:t>相符</w:t>
                  </w:r>
                </w:p>
              </w:tc>
            </w:tr>
            <w:tr w14:paraId="30951A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62631F9A">
                  <w:pPr>
                    <w:pStyle w:val="121"/>
                  </w:pPr>
                  <w:r>
                    <w:rPr>
                      <w:rFonts w:hint="eastAsia"/>
                      <w:color w:val="000000"/>
                    </w:rPr>
                    <w:t>推动能源绿色低碳转型。严格落实煤炭等量、减量替代，提高电煤消费占比。多渠道扩展天然气气源，扩大外受电比重，持续推进“煤改气”“煤改电”工程，大力推进使用清洁能源或电厂热力、工业余热等替代锅炉、炉窑燃料用煤，加快推动玻璃、地板砖等建材行业企业以及有色冶炼行业鼓风炉、反射炉等“煤改气”，依法依规推进煤气发生炉有序退出，推动非化石能源发展。</w:t>
                  </w:r>
                </w:p>
              </w:tc>
              <w:tc>
                <w:tcPr>
                  <w:tcW w:w="1451" w:type="pct"/>
                  <w:vAlign w:val="center"/>
                </w:tcPr>
                <w:p w14:paraId="18476203">
                  <w:pPr>
                    <w:pStyle w:val="121"/>
                  </w:pPr>
                  <w:r>
                    <w:rPr>
                      <w:rFonts w:hint="eastAsia"/>
                      <w:color w:val="000000"/>
                    </w:rPr>
                    <w:t>本项目使用水、电等清洁能源，不涉及煤炭等化石能源</w:t>
                  </w:r>
                </w:p>
              </w:tc>
              <w:tc>
                <w:tcPr>
                  <w:tcW w:w="491" w:type="pct"/>
                  <w:vAlign w:val="center"/>
                </w:tcPr>
                <w:p w14:paraId="1E16A804">
                  <w:pPr>
                    <w:pStyle w:val="72"/>
                    <w:rPr>
                      <w:kern w:val="2"/>
                      <w:sz w:val="21"/>
                      <w:szCs w:val="21"/>
                    </w:rPr>
                  </w:pPr>
                  <w:r>
                    <w:rPr>
                      <w:sz w:val="21"/>
                      <w:szCs w:val="21"/>
                    </w:rPr>
                    <w:t>相符</w:t>
                  </w:r>
                </w:p>
              </w:tc>
            </w:tr>
            <w:tr w14:paraId="35F705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2D52C36F">
                  <w:pPr>
                    <w:pStyle w:val="121"/>
                  </w:pPr>
                  <w:r>
                    <w:rPr>
                      <w:rFonts w:hint="eastAsia"/>
                      <w:color w:val="000000"/>
                    </w:rPr>
                    <w:t>优化产业结构和布局。严格项目准入，遏制“两高一低”项目盲目发展。落实产业规划及产业政策，严格执行重点行业产能置换办法，依法依规淘汰落后产能。优化产业链布局，开展传统产业集群排查整治，推进重点涉气企业入区入园</w:t>
                  </w:r>
                </w:p>
              </w:tc>
              <w:tc>
                <w:tcPr>
                  <w:tcW w:w="1451" w:type="pct"/>
                  <w:vAlign w:val="center"/>
                </w:tcPr>
                <w:p w14:paraId="5588B3CD">
                  <w:pPr>
                    <w:pStyle w:val="121"/>
                  </w:pPr>
                  <w:r>
                    <w:rPr>
                      <w:rFonts w:hint="eastAsia"/>
                      <w:bCs/>
                    </w:rPr>
                    <w:t>本项目属于其他非金属矿物制品制造项目，符合园区产业定位</w:t>
                  </w:r>
                </w:p>
              </w:tc>
              <w:tc>
                <w:tcPr>
                  <w:tcW w:w="491" w:type="pct"/>
                  <w:vAlign w:val="center"/>
                </w:tcPr>
                <w:p w14:paraId="6752B6A0">
                  <w:pPr>
                    <w:pStyle w:val="72"/>
                    <w:rPr>
                      <w:kern w:val="2"/>
                      <w:sz w:val="21"/>
                      <w:szCs w:val="21"/>
                    </w:rPr>
                  </w:pPr>
                  <w:r>
                    <w:rPr>
                      <w:sz w:val="21"/>
                      <w:szCs w:val="21"/>
                    </w:rPr>
                    <w:t>相符</w:t>
                  </w:r>
                </w:p>
              </w:tc>
            </w:tr>
            <w:tr w14:paraId="559B6E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593EC5FF">
                  <w:pPr>
                    <w:pStyle w:val="121"/>
                  </w:pPr>
                  <w:r>
                    <w:rPr>
                      <w:rFonts w:hint="eastAsia"/>
                      <w:color w:val="000000"/>
                    </w:rPr>
                    <w:t>加大低VOCs原辅材料替代力度。建立多部门联合执法机制，加大监督检查力度，确保生产、销售、使用符合VOCs含量限值标准的产品。以工业涂装、包装印刷和胶粘剂使用等为重点，在企业清洁生产审核中明确提出低VOCs原辅材料替代要求</w:t>
                  </w:r>
                </w:p>
              </w:tc>
              <w:tc>
                <w:tcPr>
                  <w:tcW w:w="1451" w:type="pct"/>
                  <w:vAlign w:val="center"/>
                </w:tcPr>
                <w:p w14:paraId="5E87A916">
                  <w:pPr>
                    <w:pStyle w:val="121"/>
                  </w:pPr>
                  <w:r>
                    <w:t>本项目不涉及</w:t>
                  </w:r>
                  <w:r>
                    <w:rPr>
                      <w:rFonts w:hint="eastAsia"/>
                    </w:rPr>
                    <w:t>VOCs</w:t>
                  </w:r>
                </w:p>
              </w:tc>
              <w:tc>
                <w:tcPr>
                  <w:tcW w:w="491" w:type="pct"/>
                  <w:vAlign w:val="center"/>
                </w:tcPr>
                <w:p w14:paraId="684ABDA1">
                  <w:pPr>
                    <w:pStyle w:val="72"/>
                    <w:rPr>
                      <w:kern w:val="2"/>
                      <w:sz w:val="21"/>
                      <w:szCs w:val="21"/>
                    </w:rPr>
                  </w:pPr>
                  <w:r>
                    <w:rPr>
                      <w:sz w:val="21"/>
                      <w:szCs w:val="21"/>
                    </w:rPr>
                    <w:t>相符</w:t>
                  </w:r>
                </w:p>
              </w:tc>
            </w:tr>
            <w:tr w14:paraId="785556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510CA864">
                  <w:pPr>
                    <w:pStyle w:val="121"/>
                    <w:rPr>
                      <w:color w:val="000000"/>
                    </w:rPr>
                  </w:pPr>
                  <w:r>
                    <w:rPr>
                      <w:rFonts w:hint="eastAsia"/>
                      <w:color w:val="000000"/>
                    </w:rPr>
                    <w:t>推进锅窑炉超低排放与深度治理。全面开展钢铁、水泥行业超低排放改造，深入开展锅炉窑炉深度治理和简易低效处理设施排查，对高排放重点行业开展专项整治。生物质锅炉使用专用炉具和成型燃料并配套高效治理设施，推动城市建成区生物质锅炉安装烟气在线监测设施。到2025年，全面完成钢铁和重点城市水泥企业超低排放改造</w:t>
                  </w:r>
                </w:p>
              </w:tc>
              <w:tc>
                <w:tcPr>
                  <w:tcW w:w="1451" w:type="pct"/>
                  <w:vAlign w:val="center"/>
                </w:tcPr>
                <w:p w14:paraId="42CA388F">
                  <w:pPr>
                    <w:pStyle w:val="121"/>
                  </w:pPr>
                  <w:r>
                    <w:rPr>
                      <w:rFonts w:hint="eastAsia"/>
                      <w:color w:val="000000"/>
                    </w:rPr>
                    <w:t>本项目不涉及锅窑炉使用</w:t>
                  </w:r>
                </w:p>
              </w:tc>
              <w:tc>
                <w:tcPr>
                  <w:tcW w:w="491" w:type="pct"/>
                  <w:vAlign w:val="center"/>
                </w:tcPr>
                <w:p w14:paraId="5A6486BA">
                  <w:pPr>
                    <w:pStyle w:val="72"/>
                    <w:rPr>
                      <w:sz w:val="21"/>
                      <w:szCs w:val="21"/>
                    </w:rPr>
                  </w:pPr>
                  <w:r>
                    <w:rPr>
                      <w:sz w:val="21"/>
                      <w:szCs w:val="21"/>
                    </w:rPr>
                    <w:t>相符</w:t>
                  </w:r>
                </w:p>
              </w:tc>
            </w:tr>
            <w:tr w14:paraId="1401B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5759CC56">
                  <w:pPr>
                    <w:pStyle w:val="121"/>
                    <w:rPr>
                      <w:color w:val="000000"/>
                    </w:rPr>
                  </w:pPr>
                  <w:r>
                    <w:rPr>
                      <w:rFonts w:hint="eastAsia"/>
                      <w:color w:val="000000"/>
                    </w:rPr>
                    <w:t>开展涉VOCs重点行业全流程整治。持续开展VOCs治理突出问题排查，清理整顿简易低效、不合规定治理设施，强化无组织和非正常工况废气排放管控。规范开展泄漏检测与修复</w:t>
                  </w:r>
                </w:p>
              </w:tc>
              <w:tc>
                <w:tcPr>
                  <w:tcW w:w="1451" w:type="pct"/>
                  <w:vAlign w:val="center"/>
                </w:tcPr>
                <w:p w14:paraId="3522040A">
                  <w:pPr>
                    <w:pStyle w:val="121"/>
                  </w:pPr>
                  <w:r>
                    <w:t>本项目不涉及</w:t>
                  </w:r>
                  <w:r>
                    <w:rPr>
                      <w:rFonts w:hint="eastAsia"/>
                    </w:rPr>
                    <w:t>VOCs</w:t>
                  </w:r>
                </w:p>
              </w:tc>
              <w:tc>
                <w:tcPr>
                  <w:tcW w:w="491" w:type="pct"/>
                  <w:vAlign w:val="center"/>
                </w:tcPr>
                <w:p w14:paraId="5982D8CF">
                  <w:pPr>
                    <w:pStyle w:val="72"/>
                    <w:rPr>
                      <w:sz w:val="21"/>
                      <w:szCs w:val="21"/>
                    </w:rPr>
                  </w:pPr>
                  <w:r>
                    <w:rPr>
                      <w:sz w:val="21"/>
                      <w:szCs w:val="21"/>
                    </w:rPr>
                    <w:t>相符</w:t>
                  </w:r>
                </w:p>
              </w:tc>
            </w:tr>
          </w:tbl>
          <w:p w14:paraId="47330035">
            <w:pPr>
              <w:adjustRightInd w:val="0"/>
              <w:spacing w:line="360" w:lineRule="auto"/>
              <w:ind w:firstLine="480" w:firstLineChars="200"/>
              <w:rPr>
                <w:sz w:val="24"/>
              </w:rPr>
            </w:pPr>
            <w:r>
              <w:rPr>
                <w:rFonts w:hint="eastAsia"/>
                <w:sz w:val="24"/>
              </w:rPr>
              <w:t>综上分析，本项目与《湖南省大气污染防治“守护蓝天”攻坚行动计划（2023-2025年）》相符。</w:t>
            </w:r>
          </w:p>
          <w:p w14:paraId="47134524">
            <w:pPr>
              <w:adjustRightInd w:val="0"/>
              <w:spacing w:line="360" w:lineRule="auto"/>
              <w:ind w:firstLine="482" w:firstLineChars="200"/>
              <w:rPr>
                <w:b/>
                <w:sz w:val="24"/>
              </w:rPr>
            </w:pPr>
            <w:r>
              <w:rPr>
                <w:rFonts w:hint="eastAsia"/>
                <w:b/>
                <w:sz w:val="24"/>
              </w:rPr>
              <w:t>5、与《湖南省“十四五”生态环境保护规划》的符合性分析</w:t>
            </w:r>
          </w:p>
          <w:p w14:paraId="51FCCE0C">
            <w:pPr>
              <w:adjustRightInd w:val="0"/>
              <w:spacing w:line="360" w:lineRule="auto"/>
              <w:ind w:firstLine="480" w:firstLineChars="200"/>
              <w:rPr>
                <w:sz w:val="24"/>
              </w:rPr>
            </w:pPr>
            <w:r>
              <w:rPr>
                <w:rFonts w:hint="eastAsia"/>
                <w:sz w:val="24"/>
              </w:rPr>
              <w:t>本项目与《湖南省“十四五”生态环境保护规划》相符性分析见表1-6。</w:t>
            </w:r>
          </w:p>
          <w:p w14:paraId="73FC9A97">
            <w:pPr>
              <w:widowControl/>
              <w:adjustRightInd w:val="0"/>
              <w:snapToGrid w:val="0"/>
              <w:spacing w:before="120" w:beforeLines="50"/>
              <w:jc w:val="center"/>
              <w:rPr>
                <w:b/>
              </w:rPr>
            </w:pPr>
            <w:r>
              <w:rPr>
                <w:rFonts w:hint="eastAsia"/>
                <w:b/>
              </w:rPr>
              <w:t>表1-6  项目与《湖南省“十四五”生态环境保护规划》相符性分析</w:t>
            </w:r>
          </w:p>
          <w:tbl>
            <w:tblPr>
              <w:tblStyle w:val="34"/>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4372"/>
              <w:gridCol w:w="3248"/>
              <w:gridCol w:w="718"/>
            </w:tblGrid>
            <w:tr w14:paraId="6124B1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58103647">
                  <w:pPr>
                    <w:pStyle w:val="105"/>
                    <w:rPr>
                      <w:b/>
                      <w:sz w:val="21"/>
                      <w:szCs w:val="21"/>
                    </w:rPr>
                  </w:pPr>
                  <w:r>
                    <w:rPr>
                      <w:rFonts w:hint="eastAsia"/>
                      <w:b/>
                      <w:sz w:val="21"/>
                      <w:szCs w:val="21"/>
                    </w:rPr>
                    <w:t>序号</w:t>
                  </w:r>
                </w:p>
              </w:tc>
              <w:tc>
                <w:tcPr>
                  <w:tcW w:w="2393" w:type="pct"/>
                  <w:tcBorders>
                    <w:tl2br w:val="nil"/>
                    <w:tr2bl w:val="nil"/>
                  </w:tcBorders>
                  <w:vAlign w:val="center"/>
                </w:tcPr>
                <w:p w14:paraId="567BA420">
                  <w:pPr>
                    <w:pStyle w:val="105"/>
                    <w:rPr>
                      <w:b/>
                      <w:sz w:val="21"/>
                      <w:szCs w:val="21"/>
                    </w:rPr>
                  </w:pPr>
                  <w:r>
                    <w:rPr>
                      <w:rFonts w:hint="eastAsia"/>
                      <w:b/>
                      <w:sz w:val="21"/>
                      <w:szCs w:val="21"/>
                    </w:rPr>
                    <w:t>《湖南省“十四五”生态环境保护规划》相关要求</w:t>
                  </w:r>
                </w:p>
              </w:tc>
              <w:tc>
                <w:tcPr>
                  <w:tcW w:w="1778" w:type="pct"/>
                  <w:tcBorders>
                    <w:tl2br w:val="nil"/>
                    <w:tr2bl w:val="nil"/>
                  </w:tcBorders>
                  <w:vAlign w:val="center"/>
                </w:tcPr>
                <w:p w14:paraId="1EEB3A39">
                  <w:pPr>
                    <w:pStyle w:val="105"/>
                    <w:rPr>
                      <w:b/>
                      <w:sz w:val="21"/>
                      <w:szCs w:val="21"/>
                    </w:rPr>
                  </w:pPr>
                  <w:r>
                    <w:rPr>
                      <w:rFonts w:hint="eastAsia"/>
                      <w:b/>
                      <w:sz w:val="21"/>
                      <w:szCs w:val="21"/>
                    </w:rPr>
                    <w:t>本项目情况</w:t>
                  </w:r>
                </w:p>
              </w:tc>
              <w:tc>
                <w:tcPr>
                  <w:tcW w:w="393" w:type="pct"/>
                  <w:tcBorders>
                    <w:tl2br w:val="nil"/>
                    <w:tr2bl w:val="nil"/>
                  </w:tcBorders>
                  <w:vAlign w:val="center"/>
                </w:tcPr>
                <w:p w14:paraId="4AF8C52D">
                  <w:pPr>
                    <w:pStyle w:val="105"/>
                    <w:rPr>
                      <w:b/>
                      <w:sz w:val="21"/>
                      <w:szCs w:val="21"/>
                    </w:rPr>
                  </w:pPr>
                  <w:r>
                    <w:rPr>
                      <w:rFonts w:hint="eastAsia"/>
                      <w:b/>
                      <w:sz w:val="21"/>
                      <w:szCs w:val="21"/>
                    </w:rPr>
                    <w:t>是否相符</w:t>
                  </w:r>
                </w:p>
              </w:tc>
            </w:tr>
            <w:tr w14:paraId="289C61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68B962AC">
                  <w:pPr>
                    <w:pStyle w:val="105"/>
                    <w:rPr>
                      <w:sz w:val="21"/>
                      <w:szCs w:val="21"/>
                    </w:rPr>
                  </w:pPr>
                  <w:r>
                    <w:rPr>
                      <w:rFonts w:hint="eastAsia"/>
                      <w:sz w:val="21"/>
                      <w:szCs w:val="21"/>
                    </w:rPr>
                    <w:t>1</w:t>
                  </w:r>
                </w:p>
              </w:tc>
              <w:tc>
                <w:tcPr>
                  <w:tcW w:w="2393" w:type="pct"/>
                  <w:tcBorders>
                    <w:tl2br w:val="nil"/>
                    <w:tr2bl w:val="nil"/>
                  </w:tcBorders>
                  <w:vAlign w:val="center"/>
                </w:tcPr>
                <w:p w14:paraId="6B9447F8">
                  <w:pPr>
                    <w:pStyle w:val="105"/>
                    <w:rPr>
                      <w:sz w:val="21"/>
                      <w:szCs w:val="21"/>
                    </w:rPr>
                  </w:pPr>
                  <w:r>
                    <w:rPr>
                      <w:sz w:val="21"/>
                      <w:szCs w:val="21"/>
                    </w:rPr>
                    <w:t>加强规划环境影响评价。严格执行以环评制度为主体的生态环境源头预防制度，以国土空间规划、区域规划、行业发展规划引导经济社会发展，全面推进重点区域、重点流域、重点行业规划环评。规划编制要充分考虑底线约束、空间管制、总量管控和生态环境准入，统筹区域空间布局与生态安全格局</w:t>
                  </w:r>
                </w:p>
              </w:tc>
              <w:tc>
                <w:tcPr>
                  <w:tcW w:w="1778" w:type="pct"/>
                  <w:tcBorders>
                    <w:tl2br w:val="nil"/>
                    <w:tr2bl w:val="nil"/>
                  </w:tcBorders>
                  <w:vAlign w:val="center"/>
                </w:tcPr>
                <w:p w14:paraId="3300EEC4">
                  <w:pPr>
                    <w:pStyle w:val="105"/>
                    <w:rPr>
                      <w:sz w:val="21"/>
                      <w:szCs w:val="21"/>
                    </w:rPr>
                  </w:pPr>
                  <w:r>
                    <w:rPr>
                      <w:rFonts w:hint="eastAsia"/>
                      <w:sz w:val="21"/>
                      <w:szCs w:val="21"/>
                    </w:rPr>
                    <w:t>本项目属于其他非金属矿物制品制造项目，符合园区产业定位</w:t>
                  </w:r>
                </w:p>
              </w:tc>
              <w:tc>
                <w:tcPr>
                  <w:tcW w:w="393" w:type="pct"/>
                  <w:tcBorders>
                    <w:tl2br w:val="nil"/>
                    <w:tr2bl w:val="nil"/>
                  </w:tcBorders>
                  <w:vAlign w:val="center"/>
                </w:tcPr>
                <w:p w14:paraId="00FA4F0F">
                  <w:pPr>
                    <w:pStyle w:val="105"/>
                    <w:rPr>
                      <w:sz w:val="21"/>
                      <w:szCs w:val="21"/>
                    </w:rPr>
                  </w:pPr>
                  <w:r>
                    <w:rPr>
                      <w:rFonts w:hint="eastAsia"/>
                      <w:sz w:val="21"/>
                      <w:szCs w:val="21"/>
                    </w:rPr>
                    <w:t>相符</w:t>
                  </w:r>
                </w:p>
              </w:tc>
            </w:tr>
            <w:tr w14:paraId="48399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01DFF73C">
                  <w:pPr>
                    <w:pStyle w:val="105"/>
                    <w:rPr>
                      <w:sz w:val="21"/>
                      <w:szCs w:val="21"/>
                    </w:rPr>
                  </w:pPr>
                  <w:r>
                    <w:rPr>
                      <w:rFonts w:hint="eastAsia"/>
                      <w:sz w:val="21"/>
                      <w:szCs w:val="21"/>
                    </w:rPr>
                    <w:t>2</w:t>
                  </w:r>
                </w:p>
              </w:tc>
              <w:tc>
                <w:tcPr>
                  <w:tcW w:w="2393" w:type="pct"/>
                  <w:tcBorders>
                    <w:tl2br w:val="nil"/>
                    <w:tr2bl w:val="nil"/>
                  </w:tcBorders>
                  <w:vAlign w:val="center"/>
                </w:tcPr>
                <w:p w14:paraId="4D02149E">
                  <w:pPr>
                    <w:pStyle w:val="105"/>
                    <w:rPr>
                      <w:sz w:val="21"/>
                      <w:szCs w:val="21"/>
                    </w:rPr>
                  </w:pPr>
                  <w:r>
                    <w:rPr>
                      <w:sz w:val="21"/>
                      <w:szCs w:val="21"/>
                    </w:rPr>
                    <w:t>严格生态环境分区引导。严格落实湖南</w:t>
                  </w:r>
                  <w:r>
                    <w:rPr>
                      <w:rFonts w:hint="eastAsia"/>
                      <w:sz w:val="21"/>
                      <w:szCs w:val="21"/>
                    </w:rPr>
                    <w:t>“</w:t>
                  </w:r>
                  <w:r>
                    <w:rPr>
                      <w:sz w:val="21"/>
                      <w:szCs w:val="21"/>
                    </w:rPr>
                    <w:t>三线一单</w:t>
                  </w:r>
                  <w:r>
                    <w:rPr>
                      <w:rFonts w:hint="eastAsia"/>
                      <w:sz w:val="21"/>
                      <w:szCs w:val="21"/>
                    </w:rPr>
                    <w:t>”</w:t>
                  </w:r>
                  <w:r>
                    <w:rPr>
                      <w:sz w:val="21"/>
                      <w:szCs w:val="21"/>
                    </w:rPr>
                    <w:t>生态环境总体管控要求，将生态保护红线、环境质量底线、资源利用上限和生态环境准入清单作为硬约束落实到环境管控单元，根据生态环境功能自然资源禀赋、经济与社会发展实际，对环境管控单元实施差异化生态环境准入管理</w:t>
                  </w:r>
                </w:p>
              </w:tc>
              <w:tc>
                <w:tcPr>
                  <w:tcW w:w="1778" w:type="pct"/>
                  <w:tcBorders>
                    <w:tl2br w:val="nil"/>
                    <w:tr2bl w:val="nil"/>
                  </w:tcBorders>
                  <w:vAlign w:val="center"/>
                </w:tcPr>
                <w:p w14:paraId="2F417ED1">
                  <w:pPr>
                    <w:pStyle w:val="105"/>
                    <w:rPr>
                      <w:sz w:val="21"/>
                      <w:szCs w:val="21"/>
                    </w:rPr>
                  </w:pPr>
                  <w:r>
                    <w:rPr>
                      <w:sz w:val="21"/>
                      <w:szCs w:val="21"/>
                    </w:rPr>
                    <w:t>根据前文分析，项目与《</w:t>
                  </w:r>
                  <w:r>
                    <w:rPr>
                      <w:rFonts w:hint="eastAsia"/>
                      <w:sz w:val="21"/>
                      <w:szCs w:val="21"/>
                    </w:rPr>
                    <w:t>湖南省生态环境分区管控总体管控要求暨省级以上产业园区生态环境准入清单</w:t>
                  </w:r>
                  <w:r>
                    <w:rPr>
                      <w:sz w:val="21"/>
                      <w:szCs w:val="21"/>
                    </w:rPr>
                    <w:t>》以及</w:t>
                  </w:r>
                  <w:r>
                    <w:rPr>
                      <w:rFonts w:hint="eastAsia"/>
                      <w:sz w:val="21"/>
                      <w:szCs w:val="21"/>
                    </w:rPr>
                    <w:t>《</w:t>
                  </w:r>
                  <w:r>
                    <w:rPr>
                      <w:rFonts w:ascii="Times New Roman" w:hAnsi="Times New Roman" w:cs="Times New Roman"/>
                      <w:sz w:val="21"/>
                      <w:szCs w:val="21"/>
                    </w:rPr>
                    <w:t>衡阳市生态环境分区管控更新成果（2023年版）》相符</w:t>
                  </w:r>
                </w:p>
              </w:tc>
              <w:tc>
                <w:tcPr>
                  <w:tcW w:w="393" w:type="pct"/>
                  <w:tcBorders>
                    <w:tl2br w:val="nil"/>
                    <w:tr2bl w:val="nil"/>
                  </w:tcBorders>
                  <w:vAlign w:val="center"/>
                </w:tcPr>
                <w:p w14:paraId="0F3E1720">
                  <w:pPr>
                    <w:pStyle w:val="105"/>
                    <w:rPr>
                      <w:sz w:val="21"/>
                      <w:szCs w:val="21"/>
                    </w:rPr>
                  </w:pPr>
                  <w:r>
                    <w:rPr>
                      <w:rFonts w:hint="eastAsia"/>
                      <w:sz w:val="21"/>
                      <w:szCs w:val="21"/>
                    </w:rPr>
                    <w:t>相符</w:t>
                  </w:r>
                </w:p>
              </w:tc>
            </w:tr>
            <w:tr w14:paraId="1C6BE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0D751AAF">
                  <w:pPr>
                    <w:pStyle w:val="105"/>
                    <w:rPr>
                      <w:sz w:val="21"/>
                      <w:szCs w:val="21"/>
                    </w:rPr>
                  </w:pPr>
                  <w:r>
                    <w:rPr>
                      <w:rFonts w:hint="eastAsia"/>
                      <w:sz w:val="21"/>
                      <w:szCs w:val="21"/>
                    </w:rPr>
                    <w:t>3</w:t>
                  </w:r>
                </w:p>
              </w:tc>
              <w:tc>
                <w:tcPr>
                  <w:tcW w:w="2393" w:type="pct"/>
                  <w:tcBorders>
                    <w:tl2br w:val="nil"/>
                    <w:tr2bl w:val="nil"/>
                  </w:tcBorders>
                  <w:vAlign w:val="center"/>
                </w:tcPr>
                <w:p w14:paraId="71371530">
                  <w:pPr>
                    <w:pStyle w:val="105"/>
                    <w:rPr>
                      <w:sz w:val="21"/>
                      <w:szCs w:val="21"/>
                    </w:rPr>
                  </w:pPr>
                  <w:r>
                    <w:rPr>
                      <w:rFonts w:hint="eastAsia"/>
                      <w:sz w:val="21"/>
                      <w:szCs w:val="21"/>
                    </w:rPr>
                    <w:t>全面实行排污许可制度。建议以排污许可证为主要依据的生态环境日常监管执法体系，落实排污许可“一证式”管理。推进排污许可制度与环境影响评价制度有效融合，推动重点行业企业环境影响评价、排污许可、监管执法全闭环管理。持续做好排污许可证换证或登记延续动态更新</w:t>
                  </w:r>
                </w:p>
              </w:tc>
              <w:tc>
                <w:tcPr>
                  <w:tcW w:w="1778" w:type="pct"/>
                  <w:tcBorders>
                    <w:tl2br w:val="nil"/>
                    <w:tr2bl w:val="nil"/>
                  </w:tcBorders>
                  <w:vAlign w:val="center"/>
                </w:tcPr>
                <w:p w14:paraId="7F42E042">
                  <w:pPr>
                    <w:pStyle w:val="105"/>
                    <w:rPr>
                      <w:sz w:val="21"/>
                      <w:szCs w:val="21"/>
                    </w:rPr>
                  </w:pPr>
                  <w:r>
                    <w:rPr>
                      <w:sz w:val="21"/>
                      <w:szCs w:val="21"/>
                    </w:rPr>
                    <w:t>本项目实行</w:t>
                  </w:r>
                  <w:r>
                    <w:rPr>
                      <w:rFonts w:hint="eastAsia"/>
                      <w:sz w:val="21"/>
                      <w:szCs w:val="21"/>
                    </w:rPr>
                    <w:t>“三同时”</w:t>
                  </w:r>
                  <w:r>
                    <w:rPr>
                      <w:sz w:val="21"/>
                      <w:szCs w:val="21"/>
                    </w:rPr>
                    <w:t>制度，应按照环评中提到的污染防治要求，建立污染防治措施，并实行管理台账的登记工作，安排专人负责环境管理。同时完成排污许可登记工作，完成备案工作</w:t>
                  </w:r>
                </w:p>
              </w:tc>
              <w:tc>
                <w:tcPr>
                  <w:tcW w:w="393" w:type="pct"/>
                  <w:tcBorders>
                    <w:tl2br w:val="nil"/>
                    <w:tr2bl w:val="nil"/>
                  </w:tcBorders>
                  <w:vAlign w:val="center"/>
                </w:tcPr>
                <w:p w14:paraId="5ABD6188">
                  <w:pPr>
                    <w:pStyle w:val="105"/>
                    <w:rPr>
                      <w:sz w:val="21"/>
                      <w:szCs w:val="21"/>
                    </w:rPr>
                  </w:pPr>
                  <w:r>
                    <w:rPr>
                      <w:rFonts w:hint="eastAsia"/>
                      <w:sz w:val="21"/>
                      <w:szCs w:val="21"/>
                    </w:rPr>
                    <w:t>相符</w:t>
                  </w:r>
                </w:p>
              </w:tc>
            </w:tr>
            <w:tr w14:paraId="0785C8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223624D2">
                  <w:pPr>
                    <w:pStyle w:val="105"/>
                    <w:rPr>
                      <w:sz w:val="21"/>
                      <w:szCs w:val="21"/>
                    </w:rPr>
                  </w:pPr>
                  <w:r>
                    <w:rPr>
                      <w:rFonts w:hint="eastAsia"/>
                      <w:sz w:val="21"/>
                      <w:szCs w:val="21"/>
                    </w:rPr>
                    <w:t>4</w:t>
                  </w:r>
                </w:p>
              </w:tc>
              <w:tc>
                <w:tcPr>
                  <w:tcW w:w="2393" w:type="pct"/>
                  <w:tcBorders>
                    <w:tl2br w:val="nil"/>
                    <w:tr2bl w:val="nil"/>
                  </w:tcBorders>
                  <w:vAlign w:val="center"/>
                </w:tcPr>
                <w:p w14:paraId="6BE4AF44">
                  <w:pPr>
                    <w:pStyle w:val="105"/>
                    <w:rPr>
                      <w:sz w:val="21"/>
                      <w:szCs w:val="21"/>
                    </w:rPr>
                  </w:pPr>
                  <w:r>
                    <w:rPr>
                      <w:rFonts w:hint="eastAsia"/>
                      <w:sz w:val="21"/>
                      <w:szCs w:val="21"/>
                    </w:rPr>
                    <w:t>深化工业园区水污染治理。继续以企业和工业聚集区为重点，完善工业企业、园区污水处理设施建设，提高运营管理水平，确保工业废水达标排放</w:t>
                  </w:r>
                </w:p>
              </w:tc>
              <w:tc>
                <w:tcPr>
                  <w:tcW w:w="1778" w:type="pct"/>
                  <w:tcBorders>
                    <w:tl2br w:val="nil"/>
                    <w:tr2bl w:val="nil"/>
                  </w:tcBorders>
                  <w:vAlign w:val="center"/>
                </w:tcPr>
                <w:p w14:paraId="1AD10229">
                  <w:pPr>
                    <w:pStyle w:val="105"/>
                    <w:rPr>
                      <w:sz w:val="21"/>
                      <w:szCs w:val="21"/>
                    </w:rPr>
                  </w:pPr>
                  <w:r>
                    <w:rPr>
                      <w:sz w:val="21"/>
                      <w:szCs w:val="21"/>
                    </w:rPr>
                    <w:t>项目实行</w:t>
                  </w:r>
                  <w:r>
                    <w:rPr>
                      <w:rFonts w:hint="eastAsia"/>
                      <w:sz w:val="21"/>
                      <w:szCs w:val="21"/>
                    </w:rPr>
                    <w:t>“雨污分流制”</w:t>
                  </w:r>
                  <w:r>
                    <w:rPr>
                      <w:sz w:val="21"/>
                      <w:szCs w:val="21"/>
                    </w:rPr>
                    <w:t>。</w:t>
                  </w:r>
                  <w:r>
                    <w:rPr>
                      <w:rFonts w:hint="eastAsia"/>
                      <w:sz w:val="21"/>
                      <w:szCs w:val="21"/>
                    </w:rPr>
                    <w:t>项目运营期无生产废水产生与排放，生活污水经化粪池处理后排入市政污水管网，经衡阳西渡高新区污水处理厂深度处理后排至蒸水</w:t>
                  </w:r>
                </w:p>
              </w:tc>
              <w:tc>
                <w:tcPr>
                  <w:tcW w:w="393" w:type="pct"/>
                  <w:tcBorders>
                    <w:tl2br w:val="nil"/>
                    <w:tr2bl w:val="nil"/>
                  </w:tcBorders>
                  <w:vAlign w:val="center"/>
                </w:tcPr>
                <w:p w14:paraId="68892DB6">
                  <w:pPr>
                    <w:pStyle w:val="105"/>
                    <w:rPr>
                      <w:sz w:val="21"/>
                      <w:szCs w:val="21"/>
                    </w:rPr>
                  </w:pPr>
                  <w:r>
                    <w:rPr>
                      <w:rFonts w:hint="eastAsia"/>
                      <w:sz w:val="21"/>
                      <w:szCs w:val="21"/>
                    </w:rPr>
                    <w:t>相符</w:t>
                  </w:r>
                </w:p>
              </w:tc>
            </w:tr>
            <w:tr w14:paraId="2C12C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751AAAED">
                  <w:pPr>
                    <w:pStyle w:val="105"/>
                    <w:rPr>
                      <w:sz w:val="21"/>
                      <w:szCs w:val="21"/>
                    </w:rPr>
                  </w:pPr>
                  <w:r>
                    <w:rPr>
                      <w:rFonts w:hint="eastAsia"/>
                      <w:sz w:val="21"/>
                      <w:szCs w:val="21"/>
                    </w:rPr>
                    <w:t>5</w:t>
                  </w:r>
                </w:p>
              </w:tc>
              <w:tc>
                <w:tcPr>
                  <w:tcW w:w="2393" w:type="pct"/>
                  <w:tcBorders>
                    <w:tl2br w:val="nil"/>
                    <w:tr2bl w:val="nil"/>
                  </w:tcBorders>
                  <w:vAlign w:val="center"/>
                </w:tcPr>
                <w:p w14:paraId="183C5F43">
                  <w:pPr>
                    <w:pStyle w:val="105"/>
                    <w:rPr>
                      <w:sz w:val="21"/>
                      <w:szCs w:val="21"/>
                    </w:rPr>
                  </w:pPr>
                  <w:r>
                    <w:rPr>
                      <w:rFonts w:hint="eastAsia"/>
                      <w:sz w:val="21"/>
                      <w:szCs w:val="21"/>
                    </w:rPr>
                    <w:t>强化重</w:t>
                  </w:r>
                  <w:r>
                    <w:rPr>
                      <w:rFonts w:ascii="Times New Roman" w:cs="Times New Roman"/>
                      <w:sz w:val="21"/>
                      <w:szCs w:val="21"/>
                    </w:rPr>
                    <w:t>点行业</w:t>
                  </w:r>
                  <w:r>
                    <w:rPr>
                      <w:rFonts w:ascii="Times New Roman" w:hAnsi="Times New Roman" w:cs="Times New Roman"/>
                      <w:sz w:val="21"/>
                      <w:szCs w:val="21"/>
                    </w:rPr>
                    <w:t>VOCs</w:t>
                  </w:r>
                  <w:r>
                    <w:rPr>
                      <w:rFonts w:ascii="Times New Roman" w:cs="Times New Roman"/>
                      <w:sz w:val="21"/>
                      <w:szCs w:val="21"/>
                    </w:rPr>
                    <w:t>科学治理。以工业涂装、化工、包装印刷、油品储运销等行业为重点，实施企业</w:t>
                  </w:r>
                  <w:r>
                    <w:rPr>
                      <w:rFonts w:ascii="Times New Roman" w:hAnsi="Times New Roman" w:cs="Times New Roman"/>
                      <w:sz w:val="21"/>
                      <w:szCs w:val="21"/>
                    </w:rPr>
                    <w:t>VOCs</w:t>
                  </w:r>
                  <w:r>
                    <w:rPr>
                      <w:rFonts w:ascii="Times New Roman" w:cs="Times New Roman"/>
                      <w:sz w:val="21"/>
                      <w:szCs w:val="21"/>
                    </w:rPr>
                    <w:t>原料</w:t>
                  </w:r>
                  <w:r>
                    <w:rPr>
                      <w:rFonts w:hint="eastAsia"/>
                      <w:sz w:val="21"/>
                      <w:szCs w:val="21"/>
                    </w:rPr>
                    <w:t>替代、排放全过程控制。按照“分业施策、一行一策”的原则，加大低</w:t>
                  </w:r>
                  <w:r>
                    <w:rPr>
                      <w:rFonts w:ascii="Times New Roman" w:hAnsi="Times New Roman" w:cs="Times New Roman"/>
                      <w:sz w:val="21"/>
                      <w:szCs w:val="21"/>
                    </w:rPr>
                    <w:t>VOCs含量原辅材料的推广使用力度，从源头减少VOCs</w:t>
                  </w:r>
                  <w:r>
                    <w:rPr>
                      <w:rFonts w:hint="eastAsia"/>
                      <w:sz w:val="21"/>
                      <w:szCs w:val="21"/>
                    </w:rPr>
                    <w:t>产生。推进使用先进生产工艺。通过采用全密闭、连续化、自动化等生产技术，减少工艺过程无组织排放。实行重点排放源排放浓度与去除效率双重控制</w:t>
                  </w:r>
                </w:p>
              </w:tc>
              <w:tc>
                <w:tcPr>
                  <w:tcW w:w="1778" w:type="pct"/>
                  <w:tcBorders>
                    <w:tl2br w:val="nil"/>
                    <w:tr2bl w:val="nil"/>
                  </w:tcBorders>
                  <w:vAlign w:val="center"/>
                </w:tcPr>
                <w:p w14:paraId="540452AE">
                  <w:pPr>
                    <w:pStyle w:val="105"/>
                    <w:rPr>
                      <w:rFonts w:ascii="Times New Roman" w:hAnsi="Times New Roman" w:cs="Times New Roman"/>
                      <w:sz w:val="21"/>
                      <w:szCs w:val="21"/>
                    </w:rPr>
                  </w:pPr>
                  <w:r>
                    <w:rPr>
                      <w:rFonts w:hint="eastAsia" w:ascii="Times New Roman" w:cs="Times New Roman"/>
                      <w:sz w:val="21"/>
                      <w:szCs w:val="21"/>
                    </w:rPr>
                    <w:t>本项目不涉及VOCs</w:t>
                  </w:r>
                  <w:r>
                    <w:rPr>
                      <w:rFonts w:ascii="Times New Roman" w:cs="Times New Roman"/>
                      <w:sz w:val="21"/>
                      <w:szCs w:val="21"/>
                    </w:rPr>
                    <w:t>。</w:t>
                  </w:r>
                </w:p>
              </w:tc>
              <w:tc>
                <w:tcPr>
                  <w:tcW w:w="393" w:type="pct"/>
                  <w:tcBorders>
                    <w:tl2br w:val="nil"/>
                    <w:tr2bl w:val="nil"/>
                  </w:tcBorders>
                  <w:vAlign w:val="center"/>
                </w:tcPr>
                <w:p w14:paraId="0D1E6476">
                  <w:pPr>
                    <w:pStyle w:val="105"/>
                    <w:rPr>
                      <w:sz w:val="21"/>
                      <w:szCs w:val="21"/>
                    </w:rPr>
                  </w:pPr>
                  <w:r>
                    <w:rPr>
                      <w:rFonts w:hint="eastAsia"/>
                      <w:sz w:val="21"/>
                      <w:szCs w:val="21"/>
                    </w:rPr>
                    <w:t>相符</w:t>
                  </w:r>
                </w:p>
              </w:tc>
            </w:tr>
            <w:tr w14:paraId="487878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tcBorders>
                    <w:tl2br w:val="nil"/>
                    <w:tr2bl w:val="nil"/>
                  </w:tcBorders>
                  <w:vAlign w:val="center"/>
                </w:tcPr>
                <w:p w14:paraId="1258C52D">
                  <w:pPr>
                    <w:pStyle w:val="105"/>
                    <w:rPr>
                      <w:sz w:val="21"/>
                      <w:szCs w:val="21"/>
                    </w:rPr>
                  </w:pPr>
                  <w:r>
                    <w:rPr>
                      <w:rFonts w:hint="eastAsia"/>
                      <w:sz w:val="21"/>
                      <w:szCs w:val="21"/>
                    </w:rPr>
                    <w:t>6</w:t>
                  </w:r>
                </w:p>
              </w:tc>
              <w:tc>
                <w:tcPr>
                  <w:tcW w:w="2393" w:type="pct"/>
                  <w:tcBorders>
                    <w:tl2br w:val="nil"/>
                    <w:tr2bl w:val="nil"/>
                  </w:tcBorders>
                  <w:vAlign w:val="center"/>
                </w:tcPr>
                <w:p w14:paraId="2D250354">
                  <w:pPr>
                    <w:pStyle w:val="105"/>
                    <w:rPr>
                      <w:sz w:val="21"/>
                      <w:szCs w:val="21"/>
                    </w:rPr>
                  </w:pPr>
                  <w:r>
                    <w:rPr>
                      <w:rFonts w:hint="eastAsia"/>
                      <w:sz w:val="21"/>
                      <w:szCs w:val="21"/>
                    </w:rPr>
                    <w:t>严格危险废物建设项目环境准入。严控新（扩）建省内综合利用能力过剩和以外省原料为主要来源的危险废物综合利用项目；不再新建有机类危险废物热（裂）解处理项目；对危险废物数量、种类、属性、贮存设施阐述不清的、无合理利用处置方案的、次生固体废物无处置出路、无环境风险防范措施的建设项目从严审批；推动危废产生单位优化生产工艺、设备和原料选配，促进从源头上减少危险废物产生量、降低危害性</w:t>
                  </w:r>
                </w:p>
              </w:tc>
              <w:tc>
                <w:tcPr>
                  <w:tcW w:w="1778" w:type="pct"/>
                  <w:tcBorders>
                    <w:tl2br w:val="nil"/>
                    <w:tr2bl w:val="nil"/>
                  </w:tcBorders>
                  <w:vAlign w:val="center"/>
                </w:tcPr>
                <w:p w14:paraId="0108B1F6">
                  <w:pPr>
                    <w:pStyle w:val="105"/>
                    <w:rPr>
                      <w:sz w:val="21"/>
                      <w:szCs w:val="21"/>
                    </w:rPr>
                  </w:pPr>
                  <w:r>
                    <w:rPr>
                      <w:sz w:val="21"/>
                      <w:szCs w:val="21"/>
                    </w:rPr>
                    <w:t>项目产生的危险废物经分类收集后暂存于厂区危废暂存间，定期交由有处置资质的单位处置。项目建设过程中配套建设环境风险防范措施</w:t>
                  </w:r>
                </w:p>
              </w:tc>
              <w:tc>
                <w:tcPr>
                  <w:tcW w:w="393" w:type="pct"/>
                  <w:tcBorders>
                    <w:tl2br w:val="nil"/>
                    <w:tr2bl w:val="nil"/>
                  </w:tcBorders>
                  <w:vAlign w:val="center"/>
                </w:tcPr>
                <w:p w14:paraId="32D6B713">
                  <w:pPr>
                    <w:pStyle w:val="105"/>
                    <w:rPr>
                      <w:sz w:val="21"/>
                      <w:szCs w:val="21"/>
                    </w:rPr>
                  </w:pPr>
                  <w:r>
                    <w:rPr>
                      <w:rFonts w:hint="eastAsia"/>
                      <w:sz w:val="21"/>
                      <w:szCs w:val="21"/>
                    </w:rPr>
                    <w:t>相符</w:t>
                  </w:r>
                </w:p>
              </w:tc>
            </w:tr>
          </w:tbl>
          <w:p w14:paraId="71D81441">
            <w:pPr>
              <w:spacing w:line="360" w:lineRule="auto"/>
              <w:ind w:firstLine="480" w:firstLineChars="200"/>
              <w:rPr>
                <w:sz w:val="24"/>
              </w:rPr>
            </w:pPr>
            <w:r>
              <w:rPr>
                <w:rFonts w:hint="eastAsia"/>
                <w:sz w:val="24"/>
              </w:rPr>
              <w:t>综上，本项目建设符合《湖南省“十四五”生态环境保护规划》有关要求。</w:t>
            </w:r>
          </w:p>
          <w:p w14:paraId="4D24F296">
            <w:pPr>
              <w:adjustRightInd w:val="0"/>
              <w:spacing w:line="360" w:lineRule="auto"/>
              <w:ind w:firstLine="482" w:firstLineChars="200"/>
              <w:rPr>
                <w:b/>
                <w:sz w:val="24"/>
              </w:rPr>
            </w:pPr>
            <w:r>
              <w:rPr>
                <w:rFonts w:hint="eastAsia"/>
                <w:b/>
                <w:sz w:val="24"/>
              </w:rPr>
              <w:t>5、与</w:t>
            </w:r>
            <w:r>
              <w:rPr>
                <w:b/>
                <w:sz w:val="24"/>
              </w:rPr>
              <w:t>《</w:t>
            </w:r>
            <w:r>
              <w:rPr>
                <w:rFonts w:hint="eastAsia"/>
                <w:b/>
                <w:sz w:val="24"/>
              </w:rPr>
              <w:t>湖南省空气质量持续改善行动计划实施方案</w:t>
            </w:r>
            <w:r>
              <w:rPr>
                <w:b/>
                <w:sz w:val="24"/>
              </w:rPr>
              <w:t>》（湘政办发〔202</w:t>
            </w:r>
            <w:r>
              <w:rPr>
                <w:rFonts w:hint="eastAsia"/>
                <w:b/>
                <w:sz w:val="24"/>
              </w:rPr>
              <w:t>4</w:t>
            </w:r>
            <w:r>
              <w:rPr>
                <w:b/>
                <w:sz w:val="24"/>
              </w:rPr>
              <w:t>〕3</w:t>
            </w:r>
            <w:r>
              <w:rPr>
                <w:rFonts w:hint="eastAsia"/>
                <w:b/>
                <w:sz w:val="24"/>
              </w:rPr>
              <w:t>3</w:t>
            </w:r>
            <w:r>
              <w:rPr>
                <w:b/>
                <w:sz w:val="24"/>
              </w:rPr>
              <w:t>号）</w:t>
            </w:r>
            <w:r>
              <w:rPr>
                <w:rFonts w:hint="eastAsia"/>
                <w:b/>
                <w:sz w:val="24"/>
              </w:rPr>
              <w:t>符合性分析</w:t>
            </w:r>
          </w:p>
          <w:p w14:paraId="3F544BA5">
            <w:pPr>
              <w:adjustRightInd w:val="0"/>
              <w:spacing w:line="360" w:lineRule="auto"/>
              <w:ind w:firstLine="480" w:firstLineChars="200"/>
              <w:rPr>
                <w:sz w:val="24"/>
              </w:rPr>
            </w:pPr>
            <w:r>
              <w:rPr>
                <w:sz w:val="24"/>
              </w:rPr>
              <w:t>本项目建设情况与《</w:t>
            </w:r>
            <w:r>
              <w:rPr>
                <w:rFonts w:hint="eastAsia"/>
                <w:sz w:val="24"/>
              </w:rPr>
              <w:t>湖南省空气质量持续改善行动计划实施方案</w:t>
            </w:r>
            <w:r>
              <w:rPr>
                <w:sz w:val="24"/>
              </w:rPr>
              <w:t>》（湘政办发〔202</w:t>
            </w:r>
            <w:r>
              <w:rPr>
                <w:rFonts w:hint="eastAsia"/>
                <w:sz w:val="24"/>
              </w:rPr>
              <w:t>4</w:t>
            </w:r>
            <w:r>
              <w:rPr>
                <w:sz w:val="24"/>
              </w:rPr>
              <w:t>〕3</w:t>
            </w:r>
            <w:r>
              <w:rPr>
                <w:rFonts w:hint="eastAsia"/>
                <w:sz w:val="24"/>
              </w:rPr>
              <w:t>3</w:t>
            </w:r>
            <w:r>
              <w:rPr>
                <w:sz w:val="24"/>
              </w:rPr>
              <w:t>号）符合性分析如下所示：</w:t>
            </w:r>
          </w:p>
          <w:p w14:paraId="70F0E401">
            <w:pPr>
              <w:adjustRightInd w:val="0"/>
              <w:snapToGrid w:val="0"/>
              <w:spacing w:before="120" w:beforeLines="50"/>
              <w:jc w:val="center"/>
              <w:rPr>
                <w:b/>
              </w:rPr>
            </w:pPr>
            <w:r>
              <w:rPr>
                <w:rFonts w:hint="eastAsia"/>
                <w:b/>
              </w:rPr>
              <w:t>表1-7  本项目与（湘政办发〔2024〕33号）</w:t>
            </w:r>
            <w:r>
              <w:rPr>
                <w:b/>
              </w:rPr>
              <w:t>相符性分析</w:t>
            </w:r>
          </w:p>
          <w:tbl>
            <w:tblPr>
              <w:tblStyle w:val="35"/>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588"/>
              <w:gridCol w:w="2652"/>
              <w:gridCol w:w="897"/>
            </w:tblGrid>
            <w:tr w14:paraId="0BB558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1D64C709">
                  <w:pPr>
                    <w:pStyle w:val="72"/>
                    <w:rPr>
                      <w:b/>
                      <w:kern w:val="2"/>
                      <w:sz w:val="21"/>
                      <w:szCs w:val="21"/>
                    </w:rPr>
                  </w:pPr>
                  <w:r>
                    <w:rPr>
                      <w:b/>
                      <w:kern w:val="2"/>
                      <w:sz w:val="21"/>
                      <w:szCs w:val="21"/>
                    </w:rPr>
                    <w:t>方案要求</w:t>
                  </w:r>
                </w:p>
              </w:tc>
              <w:tc>
                <w:tcPr>
                  <w:tcW w:w="1451" w:type="pct"/>
                  <w:vAlign w:val="center"/>
                </w:tcPr>
                <w:p w14:paraId="3C4B0704">
                  <w:pPr>
                    <w:pStyle w:val="72"/>
                    <w:rPr>
                      <w:b/>
                      <w:sz w:val="21"/>
                      <w:szCs w:val="21"/>
                    </w:rPr>
                  </w:pPr>
                  <w:r>
                    <w:rPr>
                      <w:b/>
                      <w:sz w:val="21"/>
                      <w:szCs w:val="21"/>
                    </w:rPr>
                    <w:t>本项目情况</w:t>
                  </w:r>
                </w:p>
              </w:tc>
              <w:tc>
                <w:tcPr>
                  <w:tcW w:w="491" w:type="pct"/>
                  <w:vAlign w:val="center"/>
                </w:tcPr>
                <w:p w14:paraId="476C759B">
                  <w:pPr>
                    <w:pStyle w:val="72"/>
                    <w:rPr>
                      <w:b/>
                      <w:sz w:val="21"/>
                      <w:szCs w:val="21"/>
                    </w:rPr>
                  </w:pPr>
                  <w:r>
                    <w:rPr>
                      <w:rFonts w:hint="eastAsia"/>
                      <w:b/>
                      <w:sz w:val="21"/>
                      <w:szCs w:val="21"/>
                    </w:rPr>
                    <w:t>是否</w:t>
                  </w:r>
                </w:p>
                <w:p w14:paraId="2A3A1903">
                  <w:pPr>
                    <w:pStyle w:val="72"/>
                    <w:rPr>
                      <w:b/>
                      <w:sz w:val="21"/>
                      <w:szCs w:val="21"/>
                    </w:rPr>
                  </w:pPr>
                  <w:r>
                    <w:rPr>
                      <w:rFonts w:hint="eastAsia"/>
                      <w:b/>
                      <w:sz w:val="21"/>
                      <w:szCs w:val="21"/>
                    </w:rPr>
                    <w:t>相符</w:t>
                  </w:r>
                </w:p>
              </w:tc>
            </w:tr>
            <w:tr w14:paraId="637894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54689FCF">
                  <w:pPr>
                    <w:pStyle w:val="121"/>
                  </w:pPr>
                  <w:r>
                    <w:t>加强</w:t>
                  </w:r>
                  <w:r>
                    <w:rPr>
                      <w:rFonts w:asciiTheme="minorEastAsia" w:hAnsiTheme="minorEastAsia" w:eastAsiaTheme="minorEastAsia"/>
                    </w:rPr>
                    <w:t>“两高”</w:t>
                  </w:r>
                  <w:r>
                    <w:t>项目管理。新改扩建项目严格落实国家和省级产业规划、产业政策、生态环境分区管控方案、规划环评、项目环评、节能审查、产能置换、重点污染物总量控制、污染物排放区域削减、碳排放达峰目标等相关要求，原则上达到国内清洁生产先进水平、采用清洁运输方式，主要产品能效达到标杆水平。涉及产能置换、能耗替代、煤耗替代和污染物总量控制的项目，被置换产能及其配套设施关停，能耗、煤耗、新增污染物总量削减替代措施落实后，新建项目方可投产。严禁新增钢铁产能，建立多元化废钢资源保障体系，持续提升钢铁工业的废钢使用量</w:t>
                  </w:r>
                </w:p>
              </w:tc>
              <w:tc>
                <w:tcPr>
                  <w:tcW w:w="1451" w:type="pct"/>
                  <w:vAlign w:val="center"/>
                </w:tcPr>
                <w:p w14:paraId="6FA908DF">
                  <w:pPr>
                    <w:pStyle w:val="121"/>
                  </w:pPr>
                  <w:r>
                    <w:t>项目选址于</w:t>
                  </w:r>
                  <w:r>
                    <w:rPr>
                      <w:rFonts w:hint="eastAsia"/>
                    </w:rPr>
                    <w:t>衡阳市衡阳县西渡镇大勇村，不涉及生态保护红线和永久基本农田，项目建设符合</w:t>
                  </w:r>
                  <w:r>
                    <w:t>《</w:t>
                  </w:r>
                  <w:r>
                    <w:rPr>
                      <w:rFonts w:hint="eastAsia"/>
                    </w:rPr>
                    <w:t>湖南省生态环境分区管控总体管控要求暨省级以上产业园区生态环境准入清单</w:t>
                  </w:r>
                  <w:r>
                    <w:t>》以及</w:t>
                  </w:r>
                  <w:r>
                    <w:rPr>
                      <w:rFonts w:hint="eastAsia"/>
                    </w:rPr>
                    <w:t>《</w:t>
                  </w:r>
                  <w:r>
                    <w:t>衡阳市生态环境分区管控更新成果（2023年版）》相关要求</w:t>
                  </w:r>
                  <w:r>
                    <w:rPr>
                      <w:rFonts w:hint="eastAsia"/>
                    </w:rPr>
                    <w:t>；</w:t>
                  </w:r>
                  <w:r>
                    <w:t>项目不属于</w:t>
                  </w:r>
                  <w:r>
                    <w:rPr>
                      <w:rFonts w:hint="eastAsia"/>
                    </w:rPr>
                    <w:t>《湖南省“两高”项目管理名录》中两高项目。</w:t>
                  </w:r>
                </w:p>
              </w:tc>
              <w:tc>
                <w:tcPr>
                  <w:tcW w:w="491" w:type="pct"/>
                  <w:vAlign w:val="center"/>
                </w:tcPr>
                <w:p w14:paraId="4EC6A122">
                  <w:pPr>
                    <w:pStyle w:val="72"/>
                    <w:rPr>
                      <w:kern w:val="2"/>
                      <w:sz w:val="21"/>
                      <w:szCs w:val="21"/>
                    </w:rPr>
                  </w:pPr>
                  <w:r>
                    <w:rPr>
                      <w:sz w:val="21"/>
                      <w:szCs w:val="21"/>
                    </w:rPr>
                    <w:t>相符</w:t>
                  </w:r>
                </w:p>
              </w:tc>
            </w:tr>
            <w:tr w14:paraId="5421B3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04F45A3A">
                  <w:pPr>
                    <w:pStyle w:val="121"/>
                  </w:pPr>
                  <w:r>
                    <w:rPr>
                      <w:rFonts w:hint="eastAsia"/>
                    </w:rPr>
                    <w:t>加快退出重点行业落后产能。严格执行《产业结构调整指导目录》，制定实施利用能耗、环保、质量、安全、技术等标准推动落后产能退出年度工作方案，加大重点行业落后产能淘汰力度，推动大规模设备更新，开展小型生物质锅炉清理整合。到2025年，全省砖瓦窑企业全部完成综合整治，基本完成2蒸吨/小时及以下生物质锅炉淘汰。</w:t>
                  </w:r>
                </w:p>
              </w:tc>
              <w:tc>
                <w:tcPr>
                  <w:tcW w:w="1451" w:type="pct"/>
                  <w:vAlign w:val="center"/>
                </w:tcPr>
                <w:p w14:paraId="5401CFF2">
                  <w:pPr>
                    <w:pStyle w:val="121"/>
                  </w:pPr>
                  <w:r>
                    <w:rPr>
                      <w:rFonts w:hint="eastAsia"/>
                    </w:rPr>
                    <w:t>项目属于其他非金属矿物制品制造行业，不属于《产业结构调整指导目录》中限制类、淘汰类，为允许类。</w:t>
                  </w:r>
                </w:p>
              </w:tc>
              <w:tc>
                <w:tcPr>
                  <w:tcW w:w="491" w:type="pct"/>
                  <w:vAlign w:val="center"/>
                </w:tcPr>
                <w:p w14:paraId="259FA13D">
                  <w:pPr>
                    <w:pStyle w:val="72"/>
                    <w:rPr>
                      <w:kern w:val="2"/>
                      <w:sz w:val="21"/>
                      <w:szCs w:val="21"/>
                    </w:rPr>
                  </w:pPr>
                  <w:r>
                    <w:rPr>
                      <w:sz w:val="21"/>
                      <w:szCs w:val="21"/>
                    </w:rPr>
                    <w:t>相符</w:t>
                  </w:r>
                </w:p>
              </w:tc>
            </w:tr>
            <w:tr w14:paraId="5F0D82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3058" w:type="pct"/>
                  <w:vAlign w:val="center"/>
                </w:tcPr>
                <w:p w14:paraId="058D9059">
                  <w:pPr>
                    <w:pStyle w:val="121"/>
                  </w:pPr>
                  <w:r>
                    <w:rPr>
                      <w:rFonts w:hint="eastAsia"/>
                    </w:rPr>
                    <w:t>实施工业炉窑清洁能源替代。以使用高污染燃料的工业炉窑为重点，大力推进电能、天然气替代。新改扩建加热炉、热处理炉、干燥炉、熔化炉原则上采用清洁低碳能源。全省原则上不再新增燃料类煤气发生炉，逐步淘汰固定床间歇式煤气发生炉。</w:t>
                  </w:r>
                </w:p>
              </w:tc>
              <w:tc>
                <w:tcPr>
                  <w:tcW w:w="1451" w:type="pct"/>
                  <w:vAlign w:val="center"/>
                </w:tcPr>
                <w:p w14:paraId="6D896A4A">
                  <w:pPr>
                    <w:pStyle w:val="121"/>
                  </w:pPr>
                  <w:r>
                    <w:rPr>
                      <w:rFonts w:hint="eastAsia"/>
                    </w:rPr>
                    <w:t>本项目不涉及工业炉窑，不使用燃煤等高污染燃料。</w:t>
                  </w:r>
                </w:p>
              </w:tc>
              <w:tc>
                <w:tcPr>
                  <w:tcW w:w="491" w:type="pct"/>
                  <w:vAlign w:val="center"/>
                </w:tcPr>
                <w:p w14:paraId="15A45AE3">
                  <w:pPr>
                    <w:pStyle w:val="72"/>
                    <w:rPr>
                      <w:kern w:val="2"/>
                      <w:sz w:val="21"/>
                      <w:szCs w:val="21"/>
                    </w:rPr>
                  </w:pPr>
                  <w:r>
                    <w:rPr>
                      <w:sz w:val="21"/>
                      <w:szCs w:val="21"/>
                    </w:rPr>
                    <w:t>相符</w:t>
                  </w:r>
                </w:p>
              </w:tc>
            </w:tr>
          </w:tbl>
          <w:p w14:paraId="5B636749">
            <w:pPr>
              <w:adjustRightInd w:val="0"/>
              <w:spacing w:line="360" w:lineRule="auto"/>
              <w:ind w:firstLine="482" w:firstLineChars="200"/>
              <w:rPr>
                <w:b/>
                <w:sz w:val="24"/>
              </w:rPr>
            </w:pPr>
            <w:r>
              <w:rPr>
                <w:rFonts w:hint="eastAsia"/>
                <w:b/>
                <w:sz w:val="24"/>
              </w:rPr>
              <w:t>6、与《衡阳市“十四五”生态环境保护规划》的符合性分析</w:t>
            </w:r>
          </w:p>
          <w:p w14:paraId="7E0A0660">
            <w:pPr>
              <w:adjustRightInd w:val="0"/>
              <w:spacing w:line="360" w:lineRule="auto"/>
              <w:ind w:firstLine="480" w:firstLineChars="200"/>
              <w:rPr>
                <w:sz w:val="24"/>
              </w:rPr>
            </w:pPr>
            <w:r>
              <w:rPr>
                <w:rFonts w:hint="eastAsia"/>
                <w:sz w:val="24"/>
              </w:rPr>
              <w:t>根据《衡阳市“十四五”生态环境保护规划》：“致力绿色低碳转型，促进高质量发展，优化国土空间保护格局，推动产业结构绿色转型，推动能源结构持续优化，推进运输结构优化，积极应对气候变化，倡导绿色低碳生活方式；深入打好污染防治攻坚战，实现生态环境持续向好，深入打好蓝天保卫战，深入打好碧水保卫战，深入打好净土保卫战,深化农业农村环境治理，加强重金属污染防控；加强生态保护修复，筑牢生态屏障，深入推进衡阳“三强一化"建设，筑牢生态安全屏障，优化生态保护格局，加强生态系统和生物多样性保护，强化自然生态监督管理；防范化解生态环境风险，守住环境安全底线，加强危险废物和化学品管控，加强核与辐射安全监管，加强环境风险应急防范;完善生态环境治理体系，提升治理效能，完善生态环境治理责任体系，完善生态环境治理法规体系，完善生态环境治理市场体系，加强生态环境治理能力建设；规划实施重点工程…”。</w:t>
            </w:r>
          </w:p>
          <w:p w14:paraId="26B5C80F">
            <w:pPr>
              <w:adjustRightInd w:val="0"/>
              <w:spacing w:line="360" w:lineRule="auto"/>
              <w:ind w:firstLine="480" w:firstLineChars="200"/>
              <w:rPr>
                <w:sz w:val="24"/>
              </w:rPr>
            </w:pPr>
            <w:r>
              <w:rPr>
                <w:rFonts w:hint="eastAsia"/>
                <w:sz w:val="24"/>
              </w:rPr>
              <w:t>本项目属于其他非金属矿物制品制造行业，位于衡阳西渡高新技术产业园区块三，营运期各废气污染物、废水污染物等在采取严格的污染防治后可满足达标排放的要求，各类固体废物可得到妥善处置，对区域环境影响较小。综上所述本项目符合《衡阳市“十四五”生态环境保护规划》的相关要求</w:t>
            </w:r>
            <w:r>
              <w:rPr>
                <w:sz w:val="24"/>
              </w:rPr>
              <w:t>。</w:t>
            </w:r>
          </w:p>
          <w:p w14:paraId="3D731A97">
            <w:pPr>
              <w:adjustRightInd w:val="0"/>
              <w:spacing w:line="360" w:lineRule="auto"/>
              <w:ind w:firstLine="482" w:firstLineChars="200"/>
              <w:rPr>
                <w:b/>
                <w:sz w:val="24"/>
              </w:rPr>
            </w:pPr>
            <w:r>
              <w:rPr>
                <w:rFonts w:hint="eastAsia"/>
                <w:b/>
                <w:sz w:val="24"/>
              </w:rPr>
              <w:t>7、与《衡阳市“十四五”空气质量改善规划》相符性分析</w:t>
            </w:r>
          </w:p>
          <w:p w14:paraId="6CCB5AC1">
            <w:pPr>
              <w:adjustRightInd w:val="0"/>
              <w:spacing w:line="360" w:lineRule="auto"/>
              <w:ind w:firstLine="480" w:firstLineChars="200"/>
              <w:rPr>
                <w:sz w:val="24"/>
              </w:rPr>
            </w:pPr>
            <w:r>
              <w:rPr>
                <w:rFonts w:hint="eastAsia"/>
                <w:sz w:val="24"/>
              </w:rPr>
              <w:t>根据《衡阳市“十四五”空气质量改善规划》：“优化产业结构，促进产业产品绿色升级；优化能源结构，加快能源清洁低碳高效发展；优化交通结构，大力发展绿色运输体系；强化多污染物减排，降低VOCS和氮氧化物排放水平；深化系统治污，着力解决人民群众关切的突出环境问题；推进大气污染治理体系和能力现代化；完善体制机制，强化政策激励作用……”</w:t>
            </w:r>
          </w:p>
          <w:p w14:paraId="2222F62B">
            <w:pPr>
              <w:adjustRightInd w:val="0"/>
              <w:spacing w:line="360" w:lineRule="auto"/>
              <w:ind w:firstLine="480" w:firstLineChars="200"/>
              <w:rPr>
                <w:sz w:val="24"/>
              </w:rPr>
            </w:pPr>
            <w:r>
              <w:rPr>
                <w:rFonts w:hint="eastAsia"/>
                <w:sz w:val="24"/>
              </w:rPr>
              <w:t>本项目位于</w:t>
            </w:r>
            <w:r>
              <w:rPr>
                <w:rFonts w:hint="eastAsia"/>
                <w:sz w:val="24"/>
                <w:szCs w:val="28"/>
              </w:rPr>
              <w:t>衡阳市衡阳县西渡镇大勇村</w:t>
            </w:r>
            <w:r>
              <w:rPr>
                <w:rFonts w:hint="eastAsia"/>
                <w:sz w:val="24"/>
              </w:rPr>
              <w:t>，污染物经处理后可达到国家和地方的相应排放标准；项目采取可行技术减少颗粒物等大气污染物排放。项目符合衡阳市“十四五”空气质量改善规划相关要求。</w:t>
            </w:r>
          </w:p>
          <w:p w14:paraId="57011308">
            <w:pPr>
              <w:adjustRightInd w:val="0"/>
              <w:spacing w:line="360" w:lineRule="auto"/>
              <w:ind w:firstLine="480" w:firstLineChars="200"/>
              <w:rPr>
                <w:sz w:val="24"/>
              </w:rPr>
            </w:pPr>
          </w:p>
          <w:p w14:paraId="4C379B89">
            <w:pPr>
              <w:adjustRightInd w:val="0"/>
              <w:spacing w:line="360" w:lineRule="auto"/>
              <w:ind w:firstLine="480" w:firstLineChars="200"/>
              <w:rPr>
                <w:sz w:val="24"/>
              </w:rPr>
            </w:pPr>
          </w:p>
          <w:p w14:paraId="6D744B32">
            <w:pPr>
              <w:adjustRightInd w:val="0"/>
              <w:spacing w:line="360" w:lineRule="auto"/>
              <w:ind w:firstLine="480" w:firstLineChars="200"/>
              <w:rPr>
                <w:sz w:val="24"/>
              </w:rPr>
            </w:pPr>
          </w:p>
          <w:p w14:paraId="749B71BF">
            <w:pPr>
              <w:adjustRightInd w:val="0"/>
              <w:spacing w:line="360" w:lineRule="auto"/>
              <w:ind w:firstLine="480" w:firstLineChars="200"/>
              <w:rPr>
                <w:sz w:val="24"/>
              </w:rPr>
            </w:pPr>
          </w:p>
          <w:p w14:paraId="08FE6F6A">
            <w:pPr>
              <w:adjustRightInd w:val="0"/>
              <w:spacing w:line="360" w:lineRule="auto"/>
              <w:ind w:firstLine="480" w:firstLineChars="200"/>
              <w:rPr>
                <w:sz w:val="24"/>
              </w:rPr>
            </w:pPr>
          </w:p>
          <w:p w14:paraId="64E2E515">
            <w:pPr>
              <w:adjustRightInd w:val="0"/>
              <w:spacing w:line="360" w:lineRule="auto"/>
              <w:ind w:firstLine="480" w:firstLineChars="200"/>
              <w:rPr>
                <w:sz w:val="24"/>
              </w:rPr>
            </w:pPr>
          </w:p>
          <w:p w14:paraId="3491A66C">
            <w:pPr>
              <w:adjustRightInd w:val="0"/>
              <w:spacing w:line="360" w:lineRule="auto"/>
              <w:ind w:firstLine="480" w:firstLineChars="200"/>
              <w:rPr>
                <w:sz w:val="24"/>
              </w:rPr>
            </w:pPr>
          </w:p>
          <w:p w14:paraId="504DF414">
            <w:pPr>
              <w:adjustRightInd w:val="0"/>
              <w:spacing w:line="360" w:lineRule="auto"/>
              <w:ind w:firstLine="480" w:firstLineChars="200"/>
              <w:rPr>
                <w:sz w:val="24"/>
              </w:rPr>
            </w:pPr>
          </w:p>
          <w:p w14:paraId="44CD7613">
            <w:pPr>
              <w:pStyle w:val="2"/>
              <w:rPr>
                <w:color w:val="auto"/>
              </w:rPr>
            </w:pPr>
          </w:p>
          <w:p w14:paraId="79137C0D">
            <w:pPr>
              <w:pStyle w:val="4"/>
            </w:pPr>
          </w:p>
          <w:p w14:paraId="253C73CD"/>
          <w:p w14:paraId="33FBA60D">
            <w:pPr>
              <w:pStyle w:val="2"/>
              <w:rPr>
                <w:color w:val="auto"/>
              </w:rPr>
            </w:pPr>
          </w:p>
          <w:p w14:paraId="230ED3EF"/>
          <w:p w14:paraId="3B06C0D5">
            <w:pPr>
              <w:pStyle w:val="2"/>
              <w:rPr>
                <w:color w:val="auto"/>
              </w:rPr>
            </w:pPr>
          </w:p>
          <w:p w14:paraId="1423EEED">
            <w:pPr>
              <w:pStyle w:val="4"/>
            </w:pPr>
          </w:p>
          <w:p w14:paraId="2DB9BD52"/>
          <w:p w14:paraId="744E3CA1">
            <w:pPr>
              <w:pStyle w:val="2"/>
              <w:rPr>
                <w:color w:val="auto"/>
              </w:rPr>
            </w:pPr>
          </w:p>
          <w:p w14:paraId="5C6F41EB">
            <w:pPr>
              <w:pStyle w:val="4"/>
            </w:pPr>
          </w:p>
          <w:p w14:paraId="097F677E"/>
          <w:p w14:paraId="5F305AA1">
            <w:pPr>
              <w:pStyle w:val="2"/>
            </w:pPr>
          </w:p>
          <w:p w14:paraId="22484B05">
            <w:pPr>
              <w:pStyle w:val="4"/>
            </w:pPr>
          </w:p>
          <w:p w14:paraId="563A4127"/>
          <w:p w14:paraId="10A6CD86">
            <w:pPr>
              <w:pStyle w:val="2"/>
            </w:pPr>
          </w:p>
          <w:p w14:paraId="127C8977">
            <w:pPr>
              <w:pStyle w:val="4"/>
            </w:pPr>
          </w:p>
          <w:p w14:paraId="5C8DF142"/>
          <w:p w14:paraId="7936C17D">
            <w:pPr>
              <w:pStyle w:val="2"/>
            </w:pPr>
          </w:p>
          <w:p w14:paraId="6A0326E4">
            <w:pPr>
              <w:pStyle w:val="4"/>
            </w:pPr>
          </w:p>
          <w:p w14:paraId="05DDB43F">
            <w:pPr>
              <w:pStyle w:val="2"/>
              <w:rPr>
                <w:color w:val="auto"/>
              </w:rPr>
            </w:pPr>
          </w:p>
          <w:p w14:paraId="62B36AC0">
            <w:pPr>
              <w:pStyle w:val="4"/>
            </w:pPr>
          </w:p>
        </w:tc>
      </w:tr>
    </w:tbl>
    <w:p w14:paraId="58D0BE04">
      <w:pPr>
        <w:spacing w:line="360" w:lineRule="auto"/>
        <w:outlineLvl w:val="0"/>
        <w:rPr>
          <w:rFonts w:eastAsia="黑体"/>
          <w:sz w:val="30"/>
        </w:rPr>
        <w:sectPr>
          <w:footerReference r:id="rId5" w:type="default"/>
          <w:pgSz w:w="11906" w:h="16838"/>
          <w:pgMar w:top="1701" w:right="1531" w:bottom="1701" w:left="1531" w:header="851" w:footer="1077" w:gutter="0"/>
          <w:pgNumType w:start="1"/>
          <w:cols w:space="720" w:num="1"/>
          <w:docGrid w:linePitch="312" w:charSpace="0"/>
        </w:sectPr>
      </w:pPr>
    </w:p>
    <w:p w14:paraId="5FD33968">
      <w:pPr>
        <w:pStyle w:val="31"/>
        <w:spacing w:line="240" w:lineRule="exact"/>
        <w:jc w:val="center"/>
        <w:outlineLvl w:val="0"/>
        <w:rPr>
          <w:rFonts w:ascii="黑体" w:hAnsi="黑体" w:eastAsia="黑体"/>
          <w:snapToGrid w:val="0"/>
          <w:sz w:val="30"/>
          <w:szCs w:val="30"/>
        </w:rPr>
      </w:pPr>
      <w:bookmarkStart w:id="15" w:name="_Toc111712327"/>
      <w:r>
        <w:rPr>
          <w:rFonts w:hint="eastAsia" w:ascii="黑体" w:hAnsi="黑体" w:eastAsia="黑体"/>
          <w:snapToGrid w:val="0"/>
          <w:sz w:val="30"/>
          <w:szCs w:val="30"/>
        </w:rPr>
        <w:t>二、建设项目工程分析</w:t>
      </w:r>
      <w:bookmarkEnd w:id="15"/>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84"/>
        <w:gridCol w:w="9522"/>
      </w:tblGrid>
      <w:tr w14:paraId="48924B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84" w:type="dxa"/>
            <w:vAlign w:val="center"/>
          </w:tcPr>
          <w:p w14:paraId="71BD40B8">
            <w:pPr>
              <w:pStyle w:val="31"/>
              <w:adjustRightInd w:val="0"/>
              <w:snapToGrid w:val="0"/>
              <w:spacing w:before="0" w:beforeAutospacing="0" w:after="0" w:afterAutospacing="0"/>
              <w:jc w:val="center"/>
              <w:rPr>
                <w:rFonts w:cs="宋体"/>
                <w:b/>
                <w:szCs w:val="24"/>
              </w:rPr>
            </w:pPr>
            <w:r>
              <w:rPr>
                <w:rFonts w:hint="eastAsia" w:cs="宋体"/>
                <w:b/>
                <w:szCs w:val="24"/>
              </w:rPr>
              <w:t>建设内容</w:t>
            </w:r>
          </w:p>
        </w:tc>
        <w:tc>
          <w:tcPr>
            <w:tcW w:w="9522" w:type="dxa"/>
          </w:tcPr>
          <w:p w14:paraId="0345CFE3">
            <w:pPr>
              <w:adjustRightInd w:val="0"/>
              <w:snapToGrid w:val="0"/>
              <w:spacing w:line="360" w:lineRule="auto"/>
              <w:ind w:firstLine="482" w:firstLineChars="200"/>
              <w:rPr>
                <w:b/>
                <w:bCs/>
                <w:sz w:val="24"/>
              </w:rPr>
            </w:pPr>
            <w:r>
              <w:rPr>
                <w:rFonts w:hint="eastAsia"/>
                <w:b/>
                <w:bCs/>
                <w:sz w:val="24"/>
              </w:rPr>
              <w:t>一</w:t>
            </w:r>
            <w:r>
              <w:rPr>
                <w:b/>
                <w:bCs/>
                <w:sz w:val="24"/>
              </w:rPr>
              <w:t>、项目由来</w:t>
            </w:r>
          </w:p>
          <w:p w14:paraId="25DFD4CB">
            <w:pPr>
              <w:adjustRightInd w:val="0"/>
              <w:snapToGrid w:val="0"/>
              <w:spacing w:line="360" w:lineRule="auto"/>
              <w:ind w:firstLine="480" w:firstLineChars="200"/>
              <w:rPr>
                <w:sz w:val="24"/>
              </w:rPr>
            </w:pPr>
            <w:r>
              <w:rPr>
                <w:rFonts w:hint="eastAsia"/>
                <w:kern w:val="0"/>
                <w:sz w:val="24"/>
                <w:szCs w:val="20"/>
              </w:rPr>
              <w:t>重晶石是一种重要的含钡矿物，主要成分硫酸钡，比重大（理论比重4.5g/cm</w:t>
            </w:r>
            <w:r>
              <w:rPr>
                <w:rFonts w:hint="eastAsia"/>
                <w:kern w:val="0"/>
                <w:sz w:val="24"/>
                <w:szCs w:val="20"/>
                <w:vertAlign w:val="superscript"/>
              </w:rPr>
              <w:t>3</w:t>
            </w:r>
            <w:r>
              <w:rPr>
                <w:rFonts w:hint="eastAsia"/>
                <w:kern w:val="0"/>
                <w:sz w:val="24"/>
                <w:szCs w:val="20"/>
              </w:rPr>
              <w:t>）、硬度低（3~3.5）、化学性质稳定、不溶于水和酸。重晶石粉主要用于石油、化工、油漆、填料等工业部门。随着我国经济的发展，对重晶石粉的需求仍将维持较高水平，市场前景看好，衡阳岳峰新材料有限公司拟租赁</w:t>
            </w:r>
            <w:bookmarkStart w:id="16" w:name="OLE_LINK62"/>
            <w:r>
              <w:rPr>
                <w:rFonts w:hint="eastAsia"/>
                <w:kern w:val="0"/>
                <w:sz w:val="24"/>
                <w:szCs w:val="20"/>
              </w:rPr>
              <w:t>湖南衡利丰陶瓷有限公司</w:t>
            </w:r>
            <w:bookmarkEnd w:id="16"/>
            <w:r>
              <w:rPr>
                <w:rFonts w:hint="eastAsia"/>
                <w:kern w:val="0"/>
                <w:sz w:val="24"/>
                <w:szCs w:val="20"/>
              </w:rPr>
              <w:t>闲置厂房的部分区域投资建设</w:t>
            </w:r>
            <w:r>
              <w:rPr>
                <w:rFonts w:hint="eastAsia"/>
                <w:sz w:val="24"/>
              </w:rPr>
              <w:t>衡阳岳峰新材料有限公司年加工4万吨硫酸钡粉体材料建设项目。</w:t>
            </w:r>
          </w:p>
          <w:p w14:paraId="008355F5">
            <w:pPr>
              <w:adjustRightInd w:val="0"/>
              <w:snapToGrid w:val="0"/>
              <w:spacing w:line="360" w:lineRule="auto"/>
              <w:ind w:firstLine="480" w:firstLineChars="200"/>
              <w:rPr>
                <w:sz w:val="24"/>
              </w:rPr>
            </w:pPr>
            <w:r>
              <w:rPr>
                <w:rFonts w:hint="eastAsia"/>
                <w:sz w:val="24"/>
              </w:rPr>
              <w:t>项目在建设过程中和建成投入生产后，可能会对周围环境产生一定的影响。根据《中华人民共和国环境保护法》、《中华人民共和国环境影响评价法》、《建设项目环境保护管理条例》</w:t>
            </w:r>
            <w:r>
              <w:rPr>
                <w:sz w:val="24"/>
              </w:rPr>
              <w:t>（国务院第</w:t>
            </w:r>
            <w:r>
              <w:rPr>
                <w:rFonts w:hint="eastAsia"/>
                <w:sz w:val="24"/>
              </w:rPr>
              <w:t>682号令</w:t>
            </w:r>
            <w:r>
              <w:rPr>
                <w:sz w:val="24"/>
              </w:rPr>
              <w:t>）</w:t>
            </w:r>
            <w:r>
              <w:rPr>
                <w:rFonts w:hint="eastAsia"/>
                <w:sz w:val="24"/>
              </w:rPr>
              <w:t>中的有关规定，新建、扩建、改建的建设项目必须进行环境影响评价。根据《</w:t>
            </w:r>
            <w:bookmarkStart w:id="17" w:name="OLE_LINK1"/>
            <w:r>
              <w:rPr>
                <w:rFonts w:hint="eastAsia"/>
                <w:sz w:val="24"/>
              </w:rPr>
              <w:t>建设项目环境影响评价分类管理名录</w:t>
            </w:r>
            <w:bookmarkEnd w:id="17"/>
            <w:r>
              <w:rPr>
                <w:rFonts w:hint="eastAsia"/>
                <w:sz w:val="24"/>
              </w:rPr>
              <w:t>（2021年版）》，项目</w:t>
            </w:r>
            <w:r>
              <w:rPr>
                <w:rFonts w:hint="eastAsia"/>
                <w:kern w:val="0"/>
                <w:sz w:val="24"/>
              </w:rPr>
              <w:t>属于“二十七项“</w:t>
            </w:r>
            <w:r>
              <w:rPr>
                <w:rFonts w:hint="eastAsia"/>
                <w:sz w:val="24"/>
              </w:rPr>
              <w:t>非金属矿物制造业 30</w:t>
            </w:r>
            <w:r>
              <w:rPr>
                <w:rFonts w:hint="eastAsia"/>
                <w:kern w:val="0"/>
                <w:sz w:val="24"/>
              </w:rPr>
              <w:t>——</w:t>
            </w:r>
            <w:r>
              <w:rPr>
                <w:rFonts w:hint="eastAsia"/>
                <w:sz w:val="24"/>
              </w:rPr>
              <w:t>60石墨及其他非金属矿物制品制造 309</w:t>
            </w:r>
            <w:r>
              <w:rPr>
                <w:rFonts w:hint="eastAsia"/>
                <w:kern w:val="0"/>
                <w:sz w:val="24"/>
              </w:rPr>
              <w:t>”中的“其他”</w:t>
            </w:r>
            <w:r>
              <w:rPr>
                <w:rFonts w:hint="eastAsia"/>
                <w:sz w:val="24"/>
              </w:rPr>
              <w:t>类别，应编制环境影响报告表。</w:t>
            </w:r>
            <w:r>
              <w:rPr>
                <w:rFonts w:hint="eastAsia" w:eastAsiaTheme="minorEastAsia"/>
                <w:sz w:val="24"/>
              </w:rPr>
              <w:t>为此，</w:t>
            </w:r>
            <w:r>
              <w:rPr>
                <w:rFonts w:hint="eastAsia"/>
                <w:sz w:val="24"/>
              </w:rPr>
              <w:t>衡阳岳峰新材料有限公司委托</w:t>
            </w:r>
            <w:r>
              <w:rPr>
                <w:rFonts w:ascii="宋体" w:hAnsi="宋体" w:cs="宋体"/>
                <w:sz w:val="24"/>
              </w:rPr>
              <w:t>湖南鑫煜环保科技有限公司</w:t>
            </w:r>
            <w:r>
              <w:rPr>
                <w:rFonts w:hint="eastAsia"/>
                <w:sz w:val="24"/>
              </w:rPr>
              <w:t>承担本项目的环境影响评价工作。</w:t>
            </w:r>
            <w:r>
              <w:rPr>
                <w:rFonts w:ascii="宋体" w:hAnsi="宋体" w:cs="宋体"/>
                <w:sz w:val="24"/>
              </w:rPr>
              <w:t>湖南鑫煜环保科技有限公司</w:t>
            </w:r>
            <w:r>
              <w:rPr>
                <w:rFonts w:hint="eastAsia"/>
                <w:sz w:val="24"/>
              </w:rPr>
              <w:t>接受委托后，立即组织相关技术人员进行现场踏勘、类比调查、收集相关资料，在此基础上，按照国家对建设项目环境影响评价的有关规定和有关环保政策、技术规范，编制了本项目环境影响报告表，报请审查。</w:t>
            </w:r>
          </w:p>
          <w:p w14:paraId="7E47BCE2">
            <w:pPr>
              <w:adjustRightInd w:val="0"/>
              <w:snapToGrid w:val="0"/>
              <w:spacing w:line="360" w:lineRule="auto"/>
              <w:ind w:firstLine="482" w:firstLineChars="200"/>
              <w:rPr>
                <w:b/>
                <w:bCs/>
                <w:sz w:val="24"/>
              </w:rPr>
            </w:pPr>
            <w:r>
              <w:rPr>
                <w:rFonts w:hint="eastAsia"/>
                <w:b/>
                <w:bCs/>
                <w:sz w:val="24"/>
              </w:rPr>
              <w:t>二、建设内容及规模</w:t>
            </w:r>
          </w:p>
          <w:p w14:paraId="50A85F7E">
            <w:pPr>
              <w:adjustRightInd w:val="0"/>
              <w:snapToGrid w:val="0"/>
              <w:spacing w:line="360" w:lineRule="auto"/>
              <w:ind w:firstLine="482" w:firstLineChars="200"/>
              <w:rPr>
                <w:b/>
                <w:sz w:val="24"/>
              </w:rPr>
            </w:pPr>
            <w:r>
              <w:rPr>
                <w:rFonts w:hint="eastAsia"/>
                <w:b/>
                <w:sz w:val="24"/>
              </w:rPr>
              <w:t>1、项目概况</w:t>
            </w:r>
          </w:p>
          <w:p w14:paraId="0371558B">
            <w:pPr>
              <w:autoSpaceDE w:val="0"/>
              <w:autoSpaceDN w:val="0"/>
              <w:adjustRightInd w:val="0"/>
              <w:spacing w:line="360" w:lineRule="auto"/>
              <w:ind w:firstLine="480" w:firstLineChars="200"/>
              <w:rPr>
                <w:kern w:val="0"/>
                <w:sz w:val="24"/>
              </w:rPr>
            </w:pPr>
            <w:r>
              <w:rPr>
                <w:kern w:val="0"/>
                <w:sz w:val="24"/>
              </w:rPr>
              <w:t>（1）项目名称：</w:t>
            </w:r>
            <w:r>
              <w:rPr>
                <w:rFonts w:hint="eastAsia"/>
                <w:sz w:val="24"/>
              </w:rPr>
              <w:t>衡阳岳峰新材料有限公司年加工4万吨硫酸钡粉体材料建设项目</w:t>
            </w:r>
          </w:p>
          <w:p w14:paraId="24D98E95">
            <w:pPr>
              <w:autoSpaceDE w:val="0"/>
              <w:autoSpaceDN w:val="0"/>
              <w:adjustRightInd w:val="0"/>
              <w:spacing w:line="360" w:lineRule="auto"/>
              <w:ind w:firstLine="480" w:firstLineChars="200"/>
              <w:rPr>
                <w:kern w:val="0"/>
                <w:sz w:val="24"/>
              </w:rPr>
            </w:pPr>
            <w:r>
              <w:rPr>
                <w:kern w:val="0"/>
                <w:sz w:val="24"/>
              </w:rPr>
              <w:t>（2）建设单位：</w:t>
            </w:r>
            <w:r>
              <w:rPr>
                <w:rFonts w:hint="eastAsia"/>
                <w:sz w:val="24"/>
              </w:rPr>
              <w:t>衡阳岳峰新材料有限公司</w:t>
            </w:r>
          </w:p>
          <w:p w14:paraId="1736C201">
            <w:pPr>
              <w:autoSpaceDE w:val="0"/>
              <w:autoSpaceDN w:val="0"/>
              <w:adjustRightInd w:val="0"/>
              <w:spacing w:line="360" w:lineRule="auto"/>
              <w:ind w:firstLine="480" w:firstLineChars="200"/>
              <w:rPr>
                <w:kern w:val="0"/>
                <w:sz w:val="24"/>
              </w:rPr>
            </w:pPr>
            <w:r>
              <w:rPr>
                <w:kern w:val="0"/>
                <w:sz w:val="24"/>
              </w:rPr>
              <w:t>（3）建设地点：</w:t>
            </w:r>
            <w:r>
              <w:rPr>
                <w:rFonts w:hint="eastAsia"/>
                <w:sz w:val="24"/>
                <w:szCs w:val="28"/>
              </w:rPr>
              <w:t>湖南省衡阳市衡阳县西渡镇大勇村</w:t>
            </w:r>
            <w:r>
              <w:rPr>
                <w:sz w:val="24"/>
              </w:rPr>
              <w:t>，中心地理坐标为：</w:t>
            </w:r>
            <w:r>
              <w:rPr>
                <w:rFonts w:hint="eastAsia"/>
                <w:sz w:val="24"/>
              </w:rPr>
              <w:t>E 112.449505°，N 26.944500°</w:t>
            </w:r>
          </w:p>
          <w:p w14:paraId="6FF1ACBD">
            <w:pPr>
              <w:autoSpaceDE w:val="0"/>
              <w:autoSpaceDN w:val="0"/>
              <w:adjustRightInd w:val="0"/>
              <w:spacing w:line="360" w:lineRule="auto"/>
              <w:ind w:firstLine="480" w:firstLineChars="200"/>
              <w:rPr>
                <w:kern w:val="0"/>
                <w:sz w:val="24"/>
              </w:rPr>
            </w:pPr>
            <w:r>
              <w:rPr>
                <w:kern w:val="0"/>
                <w:sz w:val="24"/>
              </w:rPr>
              <w:t>（4）项目性质：新</w:t>
            </w:r>
            <w:r>
              <w:rPr>
                <w:rFonts w:hint="eastAsia"/>
                <w:kern w:val="0"/>
                <w:sz w:val="24"/>
              </w:rPr>
              <w:t>建</w:t>
            </w:r>
          </w:p>
          <w:p w14:paraId="31713C69">
            <w:pPr>
              <w:autoSpaceDE w:val="0"/>
              <w:autoSpaceDN w:val="0"/>
              <w:adjustRightInd w:val="0"/>
              <w:spacing w:line="360" w:lineRule="auto"/>
              <w:ind w:firstLine="480" w:firstLineChars="200"/>
              <w:rPr>
                <w:kern w:val="0"/>
                <w:sz w:val="24"/>
              </w:rPr>
            </w:pPr>
            <w:r>
              <w:rPr>
                <w:kern w:val="0"/>
                <w:sz w:val="24"/>
              </w:rPr>
              <w:t>（5）项目总投资：</w:t>
            </w:r>
            <w:r>
              <w:rPr>
                <w:rFonts w:hint="eastAsia"/>
                <w:sz w:val="24"/>
              </w:rPr>
              <w:t>200</w:t>
            </w:r>
            <w:r>
              <w:rPr>
                <w:rFonts w:hint="eastAsia"/>
                <w:kern w:val="0"/>
                <w:sz w:val="24"/>
              </w:rPr>
              <w:t>万</w:t>
            </w:r>
            <w:r>
              <w:rPr>
                <w:kern w:val="0"/>
                <w:sz w:val="24"/>
              </w:rPr>
              <w:t>元，其中环保投资为</w:t>
            </w:r>
            <w:r>
              <w:rPr>
                <w:rFonts w:hint="eastAsia"/>
                <w:kern w:val="0"/>
                <w:sz w:val="24"/>
              </w:rPr>
              <w:t>20</w:t>
            </w:r>
            <w:r>
              <w:rPr>
                <w:kern w:val="0"/>
                <w:sz w:val="24"/>
              </w:rPr>
              <w:t>万元，约占总投资的</w:t>
            </w:r>
            <w:r>
              <w:rPr>
                <w:rFonts w:hint="eastAsia"/>
                <w:kern w:val="0"/>
                <w:sz w:val="24"/>
              </w:rPr>
              <w:t>10</w:t>
            </w:r>
            <w:r>
              <w:rPr>
                <w:kern w:val="0"/>
                <w:sz w:val="24"/>
              </w:rPr>
              <w:t>%</w:t>
            </w:r>
          </w:p>
          <w:p w14:paraId="6DC60157">
            <w:pPr>
              <w:autoSpaceDE w:val="0"/>
              <w:autoSpaceDN w:val="0"/>
              <w:adjustRightInd w:val="0"/>
              <w:spacing w:line="360" w:lineRule="auto"/>
              <w:ind w:firstLine="480" w:firstLineChars="200"/>
              <w:rPr>
                <w:kern w:val="0"/>
                <w:sz w:val="24"/>
              </w:rPr>
            </w:pPr>
            <w:r>
              <w:rPr>
                <w:kern w:val="0"/>
                <w:sz w:val="24"/>
              </w:rPr>
              <w:t>（6）占地面积：</w:t>
            </w:r>
            <w:r>
              <w:rPr>
                <w:rFonts w:hint="eastAsia"/>
                <w:sz w:val="24"/>
              </w:rPr>
              <w:t>总用地面积</w:t>
            </w:r>
            <w:r>
              <w:rPr>
                <w:rFonts w:hint="eastAsia"/>
                <w:kern w:val="0"/>
                <w:sz w:val="24"/>
              </w:rPr>
              <w:t>2793m</w:t>
            </w:r>
            <w:r>
              <w:rPr>
                <w:rFonts w:hint="eastAsia"/>
                <w:kern w:val="0"/>
                <w:sz w:val="24"/>
                <w:vertAlign w:val="superscript"/>
              </w:rPr>
              <w:t>2</w:t>
            </w:r>
            <w:r>
              <w:rPr>
                <w:rFonts w:hint="eastAsia"/>
                <w:kern w:val="0"/>
                <w:sz w:val="24"/>
              </w:rPr>
              <w:t>，总建筑面积2793m</w:t>
            </w:r>
            <w:r>
              <w:rPr>
                <w:rFonts w:hint="eastAsia"/>
                <w:kern w:val="0"/>
                <w:sz w:val="24"/>
                <w:vertAlign w:val="superscript"/>
              </w:rPr>
              <w:t>2</w:t>
            </w:r>
          </w:p>
          <w:p w14:paraId="65086F9C">
            <w:pPr>
              <w:adjustRightInd w:val="0"/>
              <w:snapToGrid w:val="0"/>
              <w:spacing w:line="360" w:lineRule="auto"/>
              <w:ind w:firstLine="480" w:firstLineChars="200"/>
              <w:rPr>
                <w:sz w:val="24"/>
              </w:rPr>
            </w:pPr>
            <w:r>
              <w:rPr>
                <w:kern w:val="0"/>
                <w:sz w:val="24"/>
              </w:rPr>
              <w:t>（7）建设内容：</w:t>
            </w:r>
            <w:r>
              <w:rPr>
                <w:rFonts w:hint="eastAsia"/>
                <w:kern w:val="0"/>
                <w:sz w:val="24"/>
              </w:rPr>
              <w:t>项目</w:t>
            </w:r>
            <w:r>
              <w:rPr>
                <w:rFonts w:hint="eastAsia"/>
                <w:kern w:val="0"/>
                <w:sz w:val="24"/>
                <w:szCs w:val="20"/>
              </w:rPr>
              <w:t>租赁湖南衡利丰陶瓷有限公司闲置厂房的部分区域</w:t>
            </w:r>
            <w:r>
              <w:rPr>
                <w:rFonts w:hint="eastAsia" w:hAnsiTheme="minorEastAsia" w:eastAsiaTheme="minorEastAsia"/>
                <w:sz w:val="24"/>
                <w:szCs w:val="22"/>
              </w:rPr>
              <w:t>进行生产，租赁面积</w:t>
            </w:r>
            <w:r>
              <w:rPr>
                <w:rFonts w:hint="eastAsia"/>
                <w:kern w:val="0"/>
                <w:sz w:val="24"/>
              </w:rPr>
              <w:t>2793</w:t>
            </w:r>
            <w:r>
              <w:rPr>
                <w:sz w:val="24"/>
              </w:rPr>
              <w:t>m</w:t>
            </w:r>
            <w:r>
              <w:rPr>
                <w:sz w:val="24"/>
                <w:vertAlign w:val="superscript"/>
              </w:rPr>
              <w:t>2</w:t>
            </w:r>
            <w:r>
              <w:rPr>
                <w:rFonts w:hint="eastAsia"/>
                <w:sz w:val="24"/>
              </w:rPr>
              <w:t>。本项目建成投产后，形成年加工4万吨硫酸钡粉体材料的生产规模</w:t>
            </w:r>
            <w:r>
              <w:rPr>
                <w:rFonts w:hint="eastAsia"/>
                <w:bCs/>
                <w:sz w:val="24"/>
              </w:rPr>
              <w:t>。</w:t>
            </w:r>
          </w:p>
          <w:p w14:paraId="0BB87E1F">
            <w:pPr>
              <w:adjustRightInd w:val="0"/>
              <w:snapToGrid w:val="0"/>
              <w:spacing w:line="360" w:lineRule="auto"/>
              <w:ind w:firstLine="480" w:firstLineChars="200"/>
              <w:rPr>
                <w:bCs/>
                <w:sz w:val="24"/>
              </w:rPr>
            </w:pPr>
            <w:r>
              <w:rPr>
                <w:sz w:val="24"/>
              </w:rPr>
              <w:t>项目</w:t>
            </w:r>
            <w:r>
              <w:rPr>
                <w:rFonts w:hint="eastAsia"/>
                <w:sz w:val="24"/>
              </w:rPr>
              <w:t>工程</w:t>
            </w:r>
            <w:r>
              <w:rPr>
                <w:sz w:val="24"/>
              </w:rPr>
              <w:t>组成</w:t>
            </w:r>
            <w:r>
              <w:rPr>
                <w:rFonts w:hint="eastAsia"/>
                <w:sz w:val="24"/>
              </w:rPr>
              <w:t>主要</w:t>
            </w:r>
            <w:r>
              <w:rPr>
                <w:sz w:val="24"/>
              </w:rPr>
              <w:t>包括主体工程、</w:t>
            </w:r>
            <w:r>
              <w:rPr>
                <w:rFonts w:hint="eastAsia"/>
                <w:sz w:val="24"/>
              </w:rPr>
              <w:t>辅助工程、</w:t>
            </w:r>
            <w:r>
              <w:rPr>
                <w:sz w:val="24"/>
              </w:rPr>
              <w:t>公用工程</w:t>
            </w:r>
            <w:r>
              <w:rPr>
                <w:rFonts w:hint="eastAsia"/>
                <w:sz w:val="24"/>
              </w:rPr>
              <w:t>和</w:t>
            </w:r>
            <w:r>
              <w:rPr>
                <w:sz w:val="24"/>
              </w:rPr>
              <w:t>环保工程等，各工程内容及规模见表</w:t>
            </w:r>
            <w:r>
              <w:rPr>
                <w:rFonts w:hint="eastAsia"/>
                <w:sz w:val="24"/>
              </w:rPr>
              <w:t>2-1。</w:t>
            </w:r>
            <w:bookmarkStart w:id="73" w:name="_GoBack"/>
            <w:bookmarkEnd w:id="73"/>
          </w:p>
          <w:p w14:paraId="1620C6E8">
            <w:pPr>
              <w:spacing w:before="120" w:beforeLines="50"/>
              <w:jc w:val="center"/>
              <w:rPr>
                <w:b/>
              </w:rPr>
            </w:pPr>
            <w:r>
              <w:rPr>
                <w:rFonts w:hint="eastAsia"/>
                <w:b/>
              </w:rPr>
              <w:t>表2-1  项目工程组成一览表</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21"/>
              <w:gridCol w:w="1024"/>
              <w:gridCol w:w="6376"/>
              <w:gridCol w:w="755"/>
            </w:tblGrid>
            <w:tr w14:paraId="207CA1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Align w:val="center"/>
                </w:tcPr>
                <w:p w14:paraId="0515479E">
                  <w:pPr>
                    <w:jc w:val="center"/>
                    <w:rPr>
                      <w:b/>
                      <w:szCs w:val="21"/>
                    </w:rPr>
                  </w:pPr>
                  <w:r>
                    <w:rPr>
                      <w:rFonts w:hint="eastAsia"/>
                      <w:b/>
                      <w:szCs w:val="21"/>
                    </w:rPr>
                    <w:t>工程类型</w:t>
                  </w:r>
                </w:p>
              </w:tc>
              <w:tc>
                <w:tcPr>
                  <w:tcW w:w="552" w:type="pct"/>
                  <w:vAlign w:val="center"/>
                </w:tcPr>
                <w:p w14:paraId="014DF184">
                  <w:pPr>
                    <w:jc w:val="center"/>
                    <w:rPr>
                      <w:b/>
                      <w:szCs w:val="21"/>
                    </w:rPr>
                  </w:pPr>
                  <w:r>
                    <w:rPr>
                      <w:rFonts w:hint="eastAsia"/>
                      <w:b/>
                      <w:szCs w:val="21"/>
                    </w:rPr>
                    <w:t>工程</w:t>
                  </w:r>
                </w:p>
                <w:p w14:paraId="550AC7B2">
                  <w:pPr>
                    <w:jc w:val="center"/>
                    <w:rPr>
                      <w:b/>
                      <w:szCs w:val="21"/>
                    </w:rPr>
                  </w:pPr>
                  <w:r>
                    <w:rPr>
                      <w:rFonts w:hint="eastAsia"/>
                      <w:b/>
                      <w:szCs w:val="21"/>
                    </w:rPr>
                    <w:t>名称</w:t>
                  </w:r>
                </w:p>
              </w:tc>
              <w:tc>
                <w:tcPr>
                  <w:tcW w:w="3437" w:type="pct"/>
                  <w:vAlign w:val="center"/>
                </w:tcPr>
                <w:p w14:paraId="7F299DE4">
                  <w:pPr>
                    <w:jc w:val="center"/>
                    <w:rPr>
                      <w:b/>
                      <w:szCs w:val="21"/>
                    </w:rPr>
                  </w:pPr>
                  <w:r>
                    <w:rPr>
                      <w:b/>
                      <w:szCs w:val="21"/>
                    </w:rPr>
                    <w:t>主要建设内容</w:t>
                  </w:r>
                </w:p>
              </w:tc>
              <w:tc>
                <w:tcPr>
                  <w:tcW w:w="407" w:type="pct"/>
                  <w:vAlign w:val="center"/>
                </w:tcPr>
                <w:p w14:paraId="780839E9">
                  <w:pPr>
                    <w:jc w:val="center"/>
                    <w:rPr>
                      <w:b/>
                      <w:szCs w:val="21"/>
                    </w:rPr>
                  </w:pPr>
                  <w:r>
                    <w:rPr>
                      <w:rFonts w:hint="eastAsia"/>
                      <w:b/>
                      <w:szCs w:val="21"/>
                    </w:rPr>
                    <w:t>备注</w:t>
                  </w:r>
                </w:p>
              </w:tc>
            </w:tr>
            <w:tr w14:paraId="613F5C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Align w:val="center"/>
                </w:tcPr>
                <w:p w14:paraId="7E710633">
                  <w:pPr>
                    <w:adjustRightInd w:val="0"/>
                    <w:snapToGrid w:val="0"/>
                    <w:jc w:val="center"/>
                    <w:rPr>
                      <w:szCs w:val="21"/>
                    </w:rPr>
                  </w:pPr>
                  <w:r>
                    <w:rPr>
                      <w:rFonts w:hint="eastAsia"/>
                      <w:szCs w:val="21"/>
                    </w:rPr>
                    <w:t>主体工程</w:t>
                  </w:r>
                </w:p>
              </w:tc>
              <w:tc>
                <w:tcPr>
                  <w:tcW w:w="552" w:type="pct"/>
                  <w:vAlign w:val="center"/>
                </w:tcPr>
                <w:p w14:paraId="6D42C02D">
                  <w:pPr>
                    <w:jc w:val="center"/>
                    <w:rPr>
                      <w:szCs w:val="21"/>
                      <w:u w:val="wave"/>
                    </w:rPr>
                  </w:pPr>
                  <w:r>
                    <w:rPr>
                      <w:szCs w:val="21"/>
                      <w:u w:val="wave"/>
                    </w:rPr>
                    <w:t>生产</w:t>
                  </w:r>
                </w:p>
                <w:p w14:paraId="237B9249">
                  <w:pPr>
                    <w:jc w:val="center"/>
                    <w:rPr>
                      <w:szCs w:val="21"/>
                      <w:u w:val="wave"/>
                    </w:rPr>
                  </w:pPr>
                  <w:r>
                    <w:rPr>
                      <w:rFonts w:hint="eastAsia"/>
                      <w:szCs w:val="21"/>
                      <w:u w:val="wave"/>
                    </w:rPr>
                    <w:t>厂房</w:t>
                  </w:r>
                </w:p>
              </w:tc>
              <w:tc>
                <w:tcPr>
                  <w:tcW w:w="3437" w:type="pct"/>
                  <w:vAlign w:val="center"/>
                </w:tcPr>
                <w:p w14:paraId="57628A69">
                  <w:pPr>
                    <w:jc w:val="center"/>
                    <w:rPr>
                      <w:szCs w:val="21"/>
                      <w:u w:val="wave"/>
                    </w:rPr>
                  </w:pPr>
                  <w:r>
                    <w:rPr>
                      <w:rFonts w:hint="eastAsia"/>
                      <w:szCs w:val="21"/>
                      <w:u w:val="wave"/>
                    </w:rPr>
                    <w:t>租赁湖南衡利丰陶瓷有限公司闲置厂房的部分区域作为生产厂房</w:t>
                  </w:r>
                  <w:r>
                    <w:rPr>
                      <w:szCs w:val="21"/>
                      <w:u w:val="wave"/>
                    </w:rPr>
                    <w:t>，建筑面积约</w:t>
                  </w:r>
                  <w:r>
                    <w:rPr>
                      <w:rFonts w:hint="eastAsia"/>
                      <w:szCs w:val="21"/>
                      <w:u w:val="wave"/>
                    </w:rPr>
                    <w:t>2793</w:t>
                  </w:r>
                  <w:r>
                    <w:rPr>
                      <w:szCs w:val="21"/>
                      <w:u w:val="wave"/>
                    </w:rPr>
                    <w:t>m</w:t>
                  </w:r>
                  <w:r>
                    <w:rPr>
                      <w:rFonts w:hint="eastAsia"/>
                      <w:szCs w:val="21"/>
                      <w:u w:val="wave"/>
                      <w:vertAlign w:val="superscript"/>
                    </w:rPr>
                    <w:t>2</w:t>
                  </w:r>
                  <w:r>
                    <w:rPr>
                      <w:rFonts w:hint="eastAsia"/>
                      <w:szCs w:val="21"/>
                      <w:u w:val="wave"/>
                    </w:rPr>
                    <w:t>，西北侧为原料堆场，中部为破碎区、磨粉区，布置破碎机、环辊磨、雷蒙磨等，南侧为成品堆场</w:t>
                  </w:r>
                </w:p>
              </w:tc>
              <w:tc>
                <w:tcPr>
                  <w:tcW w:w="407" w:type="pct"/>
                  <w:vAlign w:val="center"/>
                </w:tcPr>
                <w:p w14:paraId="34A53830">
                  <w:pPr>
                    <w:jc w:val="center"/>
                    <w:rPr>
                      <w:szCs w:val="21"/>
                      <w:u w:val="wave"/>
                    </w:rPr>
                  </w:pPr>
                  <w:r>
                    <w:rPr>
                      <w:szCs w:val="21"/>
                      <w:u w:val="wave"/>
                    </w:rPr>
                    <w:t>新建</w:t>
                  </w:r>
                </w:p>
              </w:tc>
            </w:tr>
            <w:tr w14:paraId="6C47F0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restart"/>
                  <w:vAlign w:val="center"/>
                </w:tcPr>
                <w:p w14:paraId="6C82CB8C">
                  <w:pPr>
                    <w:jc w:val="center"/>
                    <w:rPr>
                      <w:szCs w:val="21"/>
                    </w:rPr>
                  </w:pPr>
                  <w:r>
                    <w:rPr>
                      <w:rFonts w:hint="eastAsia"/>
                      <w:szCs w:val="21"/>
                    </w:rPr>
                    <w:t>储运</w:t>
                  </w:r>
                  <w:r>
                    <w:rPr>
                      <w:szCs w:val="21"/>
                    </w:rPr>
                    <w:t>工程</w:t>
                  </w:r>
                </w:p>
              </w:tc>
              <w:tc>
                <w:tcPr>
                  <w:tcW w:w="552" w:type="pct"/>
                  <w:vAlign w:val="center"/>
                </w:tcPr>
                <w:p w14:paraId="19BFBA96">
                  <w:pPr>
                    <w:jc w:val="center"/>
                    <w:rPr>
                      <w:szCs w:val="21"/>
                    </w:rPr>
                  </w:pPr>
                  <w:r>
                    <w:rPr>
                      <w:rFonts w:hint="eastAsia"/>
                      <w:szCs w:val="21"/>
                    </w:rPr>
                    <w:t>原料</w:t>
                  </w:r>
                </w:p>
                <w:p w14:paraId="655DFAB1">
                  <w:pPr>
                    <w:jc w:val="center"/>
                    <w:rPr>
                      <w:szCs w:val="21"/>
                    </w:rPr>
                  </w:pPr>
                  <w:r>
                    <w:rPr>
                      <w:rFonts w:hint="eastAsia"/>
                      <w:szCs w:val="21"/>
                    </w:rPr>
                    <w:t>堆场</w:t>
                  </w:r>
                </w:p>
              </w:tc>
              <w:tc>
                <w:tcPr>
                  <w:tcW w:w="3437" w:type="pct"/>
                  <w:vAlign w:val="center"/>
                </w:tcPr>
                <w:p w14:paraId="3DB6B4BA">
                  <w:pPr>
                    <w:jc w:val="center"/>
                    <w:rPr>
                      <w:szCs w:val="21"/>
                    </w:rPr>
                  </w:pPr>
                  <w:bookmarkStart w:id="18" w:name="OLE_LINK11"/>
                  <w:bookmarkStart w:id="19" w:name="OLE_LINK2"/>
                  <w:r>
                    <w:rPr>
                      <w:rFonts w:hint="eastAsia"/>
                      <w:szCs w:val="21"/>
                    </w:rPr>
                    <w:t>厂房西</w:t>
                  </w:r>
                  <w:r>
                    <w:rPr>
                      <w:szCs w:val="21"/>
                    </w:rPr>
                    <w:t>北侧为原料堆场，占地面积约</w:t>
                  </w:r>
                  <w:r>
                    <w:rPr>
                      <w:rFonts w:hint="eastAsia"/>
                      <w:szCs w:val="21"/>
                    </w:rPr>
                    <w:t>1000m</w:t>
                  </w:r>
                  <w:r>
                    <w:rPr>
                      <w:rFonts w:hint="eastAsia"/>
                      <w:szCs w:val="21"/>
                      <w:vertAlign w:val="superscript"/>
                    </w:rPr>
                    <w:t>2</w:t>
                  </w:r>
                  <w:r>
                    <w:rPr>
                      <w:rFonts w:hint="eastAsia"/>
                      <w:szCs w:val="21"/>
                    </w:rPr>
                    <w:t>，围挡高度约5m，堆放钡矿原材料</w:t>
                  </w:r>
                  <w:bookmarkEnd w:id="18"/>
                  <w:bookmarkEnd w:id="19"/>
                </w:p>
              </w:tc>
              <w:tc>
                <w:tcPr>
                  <w:tcW w:w="407" w:type="pct"/>
                  <w:vAlign w:val="center"/>
                </w:tcPr>
                <w:p w14:paraId="13AB66BF">
                  <w:pPr>
                    <w:jc w:val="center"/>
                    <w:rPr>
                      <w:szCs w:val="21"/>
                    </w:rPr>
                  </w:pPr>
                  <w:r>
                    <w:rPr>
                      <w:szCs w:val="21"/>
                    </w:rPr>
                    <w:t>新建</w:t>
                  </w:r>
                </w:p>
              </w:tc>
            </w:tr>
            <w:tr w14:paraId="5D2AE4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604" w:type="pct"/>
                  <w:vMerge w:val="continue"/>
                  <w:vAlign w:val="center"/>
                </w:tcPr>
                <w:p w14:paraId="779F113D">
                  <w:pPr>
                    <w:jc w:val="center"/>
                    <w:rPr>
                      <w:szCs w:val="21"/>
                    </w:rPr>
                  </w:pPr>
                </w:p>
              </w:tc>
              <w:tc>
                <w:tcPr>
                  <w:tcW w:w="552" w:type="pct"/>
                  <w:vAlign w:val="center"/>
                </w:tcPr>
                <w:p w14:paraId="7967970F">
                  <w:pPr>
                    <w:jc w:val="center"/>
                    <w:rPr>
                      <w:szCs w:val="21"/>
                    </w:rPr>
                  </w:pPr>
                  <w:r>
                    <w:rPr>
                      <w:szCs w:val="21"/>
                    </w:rPr>
                    <w:t>成品</w:t>
                  </w:r>
                </w:p>
                <w:p w14:paraId="4D869E70">
                  <w:pPr>
                    <w:jc w:val="center"/>
                    <w:rPr>
                      <w:szCs w:val="21"/>
                    </w:rPr>
                  </w:pPr>
                  <w:r>
                    <w:rPr>
                      <w:szCs w:val="21"/>
                    </w:rPr>
                    <w:t>堆场</w:t>
                  </w:r>
                </w:p>
              </w:tc>
              <w:tc>
                <w:tcPr>
                  <w:tcW w:w="3437" w:type="pct"/>
                  <w:vAlign w:val="center"/>
                </w:tcPr>
                <w:p w14:paraId="65FC44CE">
                  <w:pPr>
                    <w:jc w:val="center"/>
                    <w:rPr>
                      <w:szCs w:val="21"/>
                    </w:rPr>
                  </w:pPr>
                  <w:r>
                    <w:rPr>
                      <w:rFonts w:hint="eastAsia"/>
                      <w:szCs w:val="21"/>
                    </w:rPr>
                    <w:t>厂房</w:t>
                  </w:r>
                  <w:r>
                    <w:rPr>
                      <w:szCs w:val="21"/>
                    </w:rPr>
                    <w:t>南侧为</w:t>
                  </w:r>
                  <w:r>
                    <w:rPr>
                      <w:rFonts w:hint="eastAsia"/>
                      <w:szCs w:val="21"/>
                    </w:rPr>
                    <w:t>成品</w:t>
                  </w:r>
                  <w:r>
                    <w:rPr>
                      <w:szCs w:val="21"/>
                    </w:rPr>
                    <w:t>堆场，占地面积约</w:t>
                  </w:r>
                  <w:r>
                    <w:rPr>
                      <w:rFonts w:hint="eastAsia"/>
                      <w:szCs w:val="21"/>
                    </w:rPr>
                    <w:t>1000m</w:t>
                  </w:r>
                  <w:r>
                    <w:rPr>
                      <w:rFonts w:hint="eastAsia"/>
                      <w:szCs w:val="21"/>
                      <w:vertAlign w:val="superscript"/>
                    </w:rPr>
                    <w:t>2</w:t>
                  </w:r>
                  <w:r>
                    <w:rPr>
                      <w:rFonts w:hint="eastAsia"/>
                      <w:szCs w:val="21"/>
                    </w:rPr>
                    <w:t>，堆放高度约2m，堆放成品袋装钡粉</w:t>
                  </w:r>
                </w:p>
              </w:tc>
              <w:tc>
                <w:tcPr>
                  <w:tcW w:w="407" w:type="pct"/>
                  <w:vAlign w:val="center"/>
                </w:tcPr>
                <w:p w14:paraId="591140DC">
                  <w:pPr>
                    <w:jc w:val="center"/>
                    <w:rPr>
                      <w:szCs w:val="21"/>
                    </w:rPr>
                  </w:pPr>
                  <w:bookmarkStart w:id="20" w:name="OLE_LINK12"/>
                  <w:r>
                    <w:rPr>
                      <w:szCs w:val="21"/>
                    </w:rPr>
                    <w:t>新建</w:t>
                  </w:r>
                  <w:bookmarkEnd w:id="20"/>
                </w:p>
              </w:tc>
            </w:tr>
            <w:tr w14:paraId="0628CD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36B8EB21">
                  <w:pPr>
                    <w:jc w:val="center"/>
                    <w:rPr>
                      <w:szCs w:val="21"/>
                    </w:rPr>
                  </w:pPr>
                </w:p>
              </w:tc>
              <w:tc>
                <w:tcPr>
                  <w:tcW w:w="552" w:type="pct"/>
                  <w:vAlign w:val="center"/>
                </w:tcPr>
                <w:p w14:paraId="4491593D">
                  <w:pPr>
                    <w:jc w:val="center"/>
                    <w:rPr>
                      <w:szCs w:val="21"/>
                    </w:rPr>
                  </w:pPr>
                  <w:r>
                    <w:rPr>
                      <w:szCs w:val="21"/>
                    </w:rPr>
                    <w:t>交通</w:t>
                  </w:r>
                </w:p>
                <w:p w14:paraId="50FB34CB">
                  <w:pPr>
                    <w:jc w:val="center"/>
                    <w:rPr>
                      <w:szCs w:val="21"/>
                    </w:rPr>
                  </w:pPr>
                  <w:r>
                    <w:rPr>
                      <w:szCs w:val="21"/>
                    </w:rPr>
                    <w:t>运输</w:t>
                  </w:r>
                </w:p>
              </w:tc>
              <w:tc>
                <w:tcPr>
                  <w:tcW w:w="3437" w:type="pct"/>
                  <w:vAlign w:val="center"/>
                </w:tcPr>
                <w:p w14:paraId="30CEC22F">
                  <w:pPr>
                    <w:jc w:val="center"/>
                    <w:rPr>
                      <w:szCs w:val="21"/>
                    </w:rPr>
                  </w:pPr>
                  <w:r>
                    <w:rPr>
                      <w:rFonts w:hint="eastAsia"/>
                      <w:szCs w:val="21"/>
                    </w:rPr>
                    <w:t>原料及产品均通过社会车辆运输，厂内物料采用自购铲车、叉车</w:t>
                  </w:r>
                </w:p>
              </w:tc>
              <w:tc>
                <w:tcPr>
                  <w:tcW w:w="407" w:type="pct"/>
                  <w:vAlign w:val="center"/>
                </w:tcPr>
                <w:p w14:paraId="58F51C2A">
                  <w:pPr>
                    <w:jc w:val="center"/>
                    <w:rPr>
                      <w:szCs w:val="21"/>
                    </w:rPr>
                  </w:pPr>
                  <w:r>
                    <w:rPr>
                      <w:szCs w:val="21"/>
                    </w:rPr>
                    <w:t>新建</w:t>
                  </w:r>
                </w:p>
              </w:tc>
            </w:tr>
            <w:tr w14:paraId="1AAC03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restart"/>
                  <w:vAlign w:val="center"/>
                </w:tcPr>
                <w:p w14:paraId="0FBCF683">
                  <w:pPr>
                    <w:jc w:val="center"/>
                    <w:rPr>
                      <w:szCs w:val="21"/>
                    </w:rPr>
                  </w:pPr>
                  <w:r>
                    <w:rPr>
                      <w:szCs w:val="21"/>
                    </w:rPr>
                    <w:t>公用工程</w:t>
                  </w:r>
                </w:p>
              </w:tc>
              <w:tc>
                <w:tcPr>
                  <w:tcW w:w="552" w:type="pct"/>
                  <w:vAlign w:val="center"/>
                </w:tcPr>
                <w:p w14:paraId="72D0BE1A">
                  <w:pPr>
                    <w:jc w:val="center"/>
                    <w:rPr>
                      <w:szCs w:val="21"/>
                    </w:rPr>
                  </w:pPr>
                  <w:r>
                    <w:rPr>
                      <w:rFonts w:hint="eastAsia"/>
                      <w:szCs w:val="21"/>
                    </w:rPr>
                    <w:t>供水</w:t>
                  </w:r>
                </w:p>
              </w:tc>
              <w:tc>
                <w:tcPr>
                  <w:tcW w:w="3437" w:type="pct"/>
                  <w:vAlign w:val="center"/>
                </w:tcPr>
                <w:p w14:paraId="54F705E9">
                  <w:pPr>
                    <w:jc w:val="center"/>
                    <w:rPr>
                      <w:szCs w:val="21"/>
                    </w:rPr>
                  </w:pPr>
                  <w:r>
                    <w:rPr>
                      <w:szCs w:val="21"/>
                    </w:rPr>
                    <w:t>市政给水</w:t>
                  </w:r>
                </w:p>
              </w:tc>
              <w:tc>
                <w:tcPr>
                  <w:tcW w:w="407" w:type="pct"/>
                  <w:vAlign w:val="center"/>
                </w:tcPr>
                <w:p w14:paraId="234D90A7">
                  <w:pPr>
                    <w:jc w:val="center"/>
                    <w:rPr>
                      <w:szCs w:val="21"/>
                    </w:rPr>
                  </w:pPr>
                  <w:r>
                    <w:rPr>
                      <w:szCs w:val="21"/>
                    </w:rPr>
                    <w:t>新建</w:t>
                  </w:r>
                </w:p>
              </w:tc>
            </w:tr>
            <w:tr w14:paraId="09330F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00AC73A3">
                  <w:pPr>
                    <w:jc w:val="center"/>
                    <w:rPr>
                      <w:szCs w:val="21"/>
                    </w:rPr>
                  </w:pPr>
                </w:p>
              </w:tc>
              <w:tc>
                <w:tcPr>
                  <w:tcW w:w="552" w:type="pct"/>
                  <w:vAlign w:val="center"/>
                </w:tcPr>
                <w:p w14:paraId="1B14A6CC">
                  <w:pPr>
                    <w:jc w:val="center"/>
                    <w:rPr>
                      <w:szCs w:val="21"/>
                    </w:rPr>
                  </w:pPr>
                  <w:r>
                    <w:rPr>
                      <w:rFonts w:hint="eastAsia"/>
                      <w:szCs w:val="21"/>
                    </w:rPr>
                    <w:t>排水</w:t>
                  </w:r>
                </w:p>
              </w:tc>
              <w:tc>
                <w:tcPr>
                  <w:tcW w:w="3437" w:type="pct"/>
                  <w:vAlign w:val="center"/>
                </w:tcPr>
                <w:p w14:paraId="5F380ABE">
                  <w:pPr>
                    <w:jc w:val="center"/>
                    <w:rPr>
                      <w:rFonts w:eastAsiaTheme="minorEastAsia"/>
                      <w:szCs w:val="21"/>
                    </w:rPr>
                  </w:pPr>
                  <w:r>
                    <w:rPr>
                      <w:rFonts w:hint="eastAsia" w:eastAsiaTheme="minorEastAsia"/>
                      <w:szCs w:val="21"/>
                    </w:rPr>
                    <w:t>本项目雨水、污水排水实行雨污分流制。厂房占满整个厂区，雨水为厂房顶棚雨水，通过立管排放至厂区外；生活污水经化粪池处理后排入市政污水管网</w:t>
                  </w:r>
                </w:p>
              </w:tc>
              <w:tc>
                <w:tcPr>
                  <w:tcW w:w="407" w:type="pct"/>
                  <w:vAlign w:val="center"/>
                </w:tcPr>
                <w:p w14:paraId="0351BA90">
                  <w:pPr>
                    <w:jc w:val="center"/>
                    <w:rPr>
                      <w:szCs w:val="21"/>
                    </w:rPr>
                  </w:pPr>
                  <w:r>
                    <w:rPr>
                      <w:szCs w:val="21"/>
                    </w:rPr>
                    <w:t>新建</w:t>
                  </w:r>
                </w:p>
              </w:tc>
            </w:tr>
            <w:tr w14:paraId="72B74D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604" w:type="pct"/>
                  <w:vMerge w:val="continue"/>
                  <w:vAlign w:val="center"/>
                </w:tcPr>
                <w:p w14:paraId="5985425F">
                  <w:pPr>
                    <w:jc w:val="center"/>
                    <w:rPr>
                      <w:szCs w:val="21"/>
                    </w:rPr>
                  </w:pPr>
                </w:p>
              </w:tc>
              <w:tc>
                <w:tcPr>
                  <w:tcW w:w="552" w:type="pct"/>
                  <w:vAlign w:val="center"/>
                </w:tcPr>
                <w:p w14:paraId="1595DD6D">
                  <w:pPr>
                    <w:jc w:val="center"/>
                    <w:rPr>
                      <w:szCs w:val="21"/>
                    </w:rPr>
                  </w:pPr>
                  <w:r>
                    <w:rPr>
                      <w:rFonts w:hint="eastAsia"/>
                      <w:szCs w:val="21"/>
                    </w:rPr>
                    <w:t>供电</w:t>
                  </w:r>
                </w:p>
              </w:tc>
              <w:tc>
                <w:tcPr>
                  <w:tcW w:w="3437" w:type="pct"/>
                  <w:vAlign w:val="center"/>
                </w:tcPr>
                <w:p w14:paraId="14BFA61E">
                  <w:pPr>
                    <w:jc w:val="center"/>
                    <w:rPr>
                      <w:szCs w:val="21"/>
                    </w:rPr>
                  </w:pPr>
                  <w:r>
                    <w:rPr>
                      <w:szCs w:val="21"/>
                    </w:rPr>
                    <w:t>市政</w:t>
                  </w:r>
                  <w:r>
                    <w:rPr>
                      <w:rFonts w:hint="eastAsia"/>
                      <w:szCs w:val="21"/>
                    </w:rPr>
                    <w:t>供电</w:t>
                  </w:r>
                </w:p>
              </w:tc>
              <w:tc>
                <w:tcPr>
                  <w:tcW w:w="407" w:type="pct"/>
                  <w:vAlign w:val="center"/>
                </w:tcPr>
                <w:p w14:paraId="081EE3EE">
                  <w:pPr>
                    <w:jc w:val="center"/>
                    <w:rPr>
                      <w:szCs w:val="21"/>
                    </w:rPr>
                  </w:pPr>
                  <w:r>
                    <w:rPr>
                      <w:szCs w:val="21"/>
                    </w:rPr>
                    <w:t>新建</w:t>
                  </w:r>
                </w:p>
              </w:tc>
            </w:tr>
            <w:tr w14:paraId="531516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restart"/>
                  <w:vAlign w:val="center"/>
                </w:tcPr>
                <w:p w14:paraId="153F19B2">
                  <w:pPr>
                    <w:jc w:val="center"/>
                    <w:rPr>
                      <w:szCs w:val="21"/>
                    </w:rPr>
                  </w:pPr>
                  <w:r>
                    <w:rPr>
                      <w:rFonts w:hint="eastAsia"/>
                      <w:szCs w:val="21"/>
                    </w:rPr>
                    <w:t>环保工程</w:t>
                  </w:r>
                </w:p>
              </w:tc>
              <w:tc>
                <w:tcPr>
                  <w:tcW w:w="552" w:type="pct"/>
                  <w:vMerge w:val="restart"/>
                  <w:vAlign w:val="center"/>
                </w:tcPr>
                <w:p w14:paraId="4E657336">
                  <w:pPr>
                    <w:jc w:val="center"/>
                    <w:rPr>
                      <w:szCs w:val="21"/>
                    </w:rPr>
                  </w:pPr>
                  <w:r>
                    <w:rPr>
                      <w:rFonts w:hint="eastAsia"/>
                      <w:szCs w:val="21"/>
                    </w:rPr>
                    <w:t>废水</w:t>
                  </w:r>
                </w:p>
              </w:tc>
              <w:tc>
                <w:tcPr>
                  <w:tcW w:w="3437" w:type="pct"/>
                  <w:vAlign w:val="center"/>
                </w:tcPr>
                <w:p w14:paraId="22B6DE23">
                  <w:pPr>
                    <w:widowControl/>
                    <w:jc w:val="center"/>
                    <w:rPr>
                      <w:rFonts w:eastAsiaTheme="minorEastAsia"/>
                      <w:kern w:val="0"/>
                      <w:szCs w:val="21"/>
                    </w:rPr>
                  </w:pPr>
                  <w:r>
                    <w:rPr>
                      <w:rFonts w:eastAsiaTheme="minorEastAsia"/>
                      <w:kern w:val="0"/>
                      <w:szCs w:val="21"/>
                    </w:rPr>
                    <w:t>生活污水：</w:t>
                  </w:r>
                  <w:r>
                    <w:rPr>
                      <w:rFonts w:hint="eastAsia" w:ascii="宋体" w:hAnsi="宋体" w:cs="宋体"/>
                      <w:szCs w:val="21"/>
                    </w:rPr>
                    <w:t>依托湖南衡利丰陶瓷有限公司现有化粪池预处理后外排至市政管网，纳入衡阳西渡高新区污水处理厂深度处理后排入蒸水</w:t>
                  </w:r>
                </w:p>
              </w:tc>
              <w:tc>
                <w:tcPr>
                  <w:tcW w:w="407" w:type="pct"/>
                  <w:vMerge w:val="restart"/>
                  <w:vAlign w:val="center"/>
                </w:tcPr>
                <w:p w14:paraId="48E72BBF">
                  <w:pPr>
                    <w:jc w:val="center"/>
                    <w:rPr>
                      <w:szCs w:val="21"/>
                    </w:rPr>
                  </w:pPr>
                  <w:r>
                    <w:rPr>
                      <w:szCs w:val="21"/>
                    </w:rPr>
                    <w:t>新建</w:t>
                  </w:r>
                </w:p>
              </w:tc>
            </w:tr>
            <w:tr w14:paraId="350D12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417F8C24">
                  <w:pPr>
                    <w:jc w:val="center"/>
                    <w:rPr>
                      <w:szCs w:val="21"/>
                    </w:rPr>
                  </w:pPr>
                </w:p>
              </w:tc>
              <w:tc>
                <w:tcPr>
                  <w:tcW w:w="552" w:type="pct"/>
                  <w:vMerge w:val="continue"/>
                  <w:vAlign w:val="center"/>
                </w:tcPr>
                <w:p w14:paraId="677FEEC6">
                  <w:pPr>
                    <w:jc w:val="center"/>
                    <w:rPr>
                      <w:szCs w:val="21"/>
                    </w:rPr>
                  </w:pPr>
                </w:p>
              </w:tc>
              <w:tc>
                <w:tcPr>
                  <w:tcW w:w="3437" w:type="pct"/>
                  <w:vAlign w:val="center"/>
                </w:tcPr>
                <w:p w14:paraId="338B7E88">
                  <w:pPr>
                    <w:widowControl/>
                    <w:jc w:val="center"/>
                    <w:rPr>
                      <w:rFonts w:eastAsiaTheme="minorEastAsia"/>
                      <w:szCs w:val="21"/>
                    </w:rPr>
                  </w:pPr>
                  <w:r>
                    <w:rPr>
                      <w:rFonts w:hint="eastAsia"/>
                      <w:szCs w:val="21"/>
                    </w:rPr>
                    <w:t>喷雾抑尘废水：全部蒸发损耗或进入产品，不外排</w:t>
                  </w:r>
                </w:p>
              </w:tc>
              <w:tc>
                <w:tcPr>
                  <w:tcW w:w="407" w:type="pct"/>
                  <w:vMerge w:val="continue"/>
                  <w:vAlign w:val="center"/>
                </w:tcPr>
                <w:p w14:paraId="5D1B10C9">
                  <w:pPr>
                    <w:jc w:val="center"/>
                    <w:rPr>
                      <w:szCs w:val="21"/>
                    </w:rPr>
                  </w:pPr>
                </w:p>
              </w:tc>
            </w:tr>
            <w:tr w14:paraId="641082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2F8B544D">
                  <w:pPr>
                    <w:jc w:val="center"/>
                    <w:rPr>
                      <w:szCs w:val="21"/>
                    </w:rPr>
                  </w:pPr>
                </w:p>
              </w:tc>
              <w:tc>
                <w:tcPr>
                  <w:tcW w:w="552" w:type="pct"/>
                  <w:vMerge w:val="restart"/>
                  <w:vAlign w:val="center"/>
                </w:tcPr>
                <w:p w14:paraId="041E1D1E">
                  <w:pPr>
                    <w:jc w:val="center"/>
                    <w:rPr>
                      <w:szCs w:val="21"/>
                    </w:rPr>
                  </w:pPr>
                  <w:r>
                    <w:rPr>
                      <w:rFonts w:hint="eastAsia"/>
                      <w:szCs w:val="21"/>
                    </w:rPr>
                    <w:t>废气</w:t>
                  </w:r>
                </w:p>
              </w:tc>
              <w:tc>
                <w:tcPr>
                  <w:tcW w:w="3437" w:type="pct"/>
                  <w:vAlign w:val="center"/>
                </w:tcPr>
                <w:p w14:paraId="282B8D7A">
                  <w:pPr>
                    <w:pStyle w:val="2"/>
                    <w:jc w:val="center"/>
                    <w:rPr>
                      <w:rFonts w:ascii="Times New Roman" w:cs="Times New Roman"/>
                      <w:color w:val="auto"/>
                      <w:sz w:val="21"/>
                      <w:szCs w:val="21"/>
                    </w:rPr>
                  </w:pPr>
                  <w:r>
                    <w:rPr>
                      <w:rFonts w:hint="eastAsia" w:ascii="Times New Roman" w:cs="Times New Roman"/>
                      <w:color w:val="auto"/>
                      <w:sz w:val="21"/>
                      <w:szCs w:val="21"/>
                    </w:rPr>
                    <w:t>磨粉粉尘：生产位于密闭厂房内，磨粉一体机为全密闭设备，粉尘经布袋除尘器处理后通过15m高排气筒排放</w:t>
                  </w:r>
                </w:p>
              </w:tc>
              <w:tc>
                <w:tcPr>
                  <w:tcW w:w="407" w:type="pct"/>
                  <w:vAlign w:val="center"/>
                </w:tcPr>
                <w:p w14:paraId="5F9D801B">
                  <w:pPr>
                    <w:jc w:val="center"/>
                    <w:rPr>
                      <w:szCs w:val="21"/>
                    </w:rPr>
                  </w:pPr>
                  <w:r>
                    <w:rPr>
                      <w:szCs w:val="21"/>
                    </w:rPr>
                    <w:t>新建</w:t>
                  </w:r>
                </w:p>
              </w:tc>
            </w:tr>
            <w:tr w14:paraId="021672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76CE0EEF">
                  <w:pPr>
                    <w:jc w:val="center"/>
                    <w:rPr>
                      <w:szCs w:val="21"/>
                    </w:rPr>
                  </w:pPr>
                </w:p>
              </w:tc>
              <w:tc>
                <w:tcPr>
                  <w:tcW w:w="552" w:type="pct"/>
                  <w:vMerge w:val="continue"/>
                  <w:vAlign w:val="center"/>
                </w:tcPr>
                <w:p w14:paraId="6B246E26">
                  <w:pPr>
                    <w:jc w:val="center"/>
                    <w:rPr>
                      <w:szCs w:val="21"/>
                    </w:rPr>
                  </w:pPr>
                </w:p>
              </w:tc>
              <w:tc>
                <w:tcPr>
                  <w:tcW w:w="3437" w:type="pct"/>
                  <w:vAlign w:val="center"/>
                </w:tcPr>
                <w:p w14:paraId="26B9C1FC">
                  <w:pPr>
                    <w:pStyle w:val="2"/>
                    <w:jc w:val="center"/>
                    <w:rPr>
                      <w:rFonts w:ascii="Times New Roman" w:cs="Times New Roman"/>
                      <w:color w:val="auto"/>
                      <w:sz w:val="21"/>
                      <w:szCs w:val="21"/>
                    </w:rPr>
                  </w:pPr>
                  <w:r>
                    <w:rPr>
                      <w:rFonts w:hint="eastAsia" w:ascii="Times New Roman" w:cs="Times New Roman"/>
                      <w:color w:val="auto"/>
                      <w:sz w:val="21"/>
                      <w:szCs w:val="21"/>
                    </w:rPr>
                    <w:t>原料装卸及风力扬尘：堆场位于密闭厂房内，车间内地面硬化，同时堆场周围设置喷雾抑尘装置</w:t>
                  </w:r>
                </w:p>
              </w:tc>
              <w:tc>
                <w:tcPr>
                  <w:tcW w:w="407" w:type="pct"/>
                  <w:vAlign w:val="center"/>
                </w:tcPr>
                <w:p w14:paraId="491BABE8">
                  <w:pPr>
                    <w:jc w:val="center"/>
                    <w:rPr>
                      <w:szCs w:val="21"/>
                    </w:rPr>
                  </w:pPr>
                  <w:r>
                    <w:rPr>
                      <w:szCs w:val="21"/>
                    </w:rPr>
                    <w:t>新建</w:t>
                  </w:r>
                </w:p>
              </w:tc>
            </w:tr>
            <w:tr w14:paraId="06139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683BADCD">
                  <w:pPr>
                    <w:jc w:val="center"/>
                    <w:rPr>
                      <w:szCs w:val="21"/>
                    </w:rPr>
                  </w:pPr>
                </w:p>
              </w:tc>
              <w:tc>
                <w:tcPr>
                  <w:tcW w:w="552" w:type="pct"/>
                  <w:vMerge w:val="continue"/>
                  <w:vAlign w:val="center"/>
                </w:tcPr>
                <w:p w14:paraId="7D80C076">
                  <w:pPr>
                    <w:jc w:val="center"/>
                    <w:rPr>
                      <w:szCs w:val="21"/>
                    </w:rPr>
                  </w:pPr>
                </w:p>
              </w:tc>
              <w:tc>
                <w:tcPr>
                  <w:tcW w:w="3437" w:type="pct"/>
                  <w:vAlign w:val="center"/>
                </w:tcPr>
                <w:p w14:paraId="423BC501">
                  <w:pPr>
                    <w:pStyle w:val="2"/>
                    <w:jc w:val="center"/>
                    <w:rPr>
                      <w:rFonts w:ascii="Times New Roman" w:cs="Times New Roman"/>
                      <w:color w:val="auto"/>
                      <w:sz w:val="21"/>
                      <w:szCs w:val="21"/>
                    </w:rPr>
                  </w:pPr>
                  <w:r>
                    <w:rPr>
                      <w:rFonts w:ascii="Times New Roman" w:cs="Times New Roman"/>
                      <w:color w:val="auto"/>
                      <w:sz w:val="21"/>
                      <w:szCs w:val="21"/>
                    </w:rPr>
                    <w:t>投料粉尘：</w:t>
                  </w:r>
                  <w:r>
                    <w:rPr>
                      <w:rFonts w:hint="eastAsia" w:ascii="Times New Roman" w:cs="Times New Roman"/>
                      <w:color w:val="auto"/>
                      <w:sz w:val="21"/>
                      <w:szCs w:val="21"/>
                    </w:rPr>
                    <w:t>投料口均设置在密闭厂房内，并且对投料口进行三面围挡</w:t>
                  </w:r>
                </w:p>
              </w:tc>
              <w:tc>
                <w:tcPr>
                  <w:tcW w:w="407" w:type="pct"/>
                  <w:vAlign w:val="center"/>
                </w:tcPr>
                <w:p w14:paraId="42A2F8E5">
                  <w:pPr>
                    <w:pStyle w:val="2"/>
                    <w:jc w:val="center"/>
                    <w:rPr>
                      <w:rFonts w:ascii="Times New Roman" w:cs="Times New Roman"/>
                      <w:color w:val="auto"/>
                      <w:sz w:val="21"/>
                      <w:szCs w:val="21"/>
                    </w:rPr>
                  </w:pPr>
                  <w:r>
                    <w:rPr>
                      <w:szCs w:val="21"/>
                    </w:rPr>
                    <w:t>新建</w:t>
                  </w:r>
                </w:p>
              </w:tc>
            </w:tr>
            <w:tr w14:paraId="00D424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36F381E5">
                  <w:pPr>
                    <w:jc w:val="center"/>
                    <w:rPr>
                      <w:szCs w:val="21"/>
                    </w:rPr>
                  </w:pPr>
                </w:p>
              </w:tc>
              <w:tc>
                <w:tcPr>
                  <w:tcW w:w="552" w:type="pct"/>
                  <w:vMerge w:val="continue"/>
                  <w:vAlign w:val="center"/>
                </w:tcPr>
                <w:p w14:paraId="2127DDA6">
                  <w:pPr>
                    <w:jc w:val="center"/>
                    <w:rPr>
                      <w:szCs w:val="21"/>
                    </w:rPr>
                  </w:pPr>
                </w:p>
              </w:tc>
              <w:tc>
                <w:tcPr>
                  <w:tcW w:w="3437" w:type="pct"/>
                  <w:vAlign w:val="center"/>
                </w:tcPr>
                <w:p w14:paraId="11BE0F2B">
                  <w:pPr>
                    <w:pStyle w:val="2"/>
                    <w:jc w:val="center"/>
                    <w:rPr>
                      <w:rFonts w:ascii="Times New Roman" w:cs="Times New Roman" w:eastAsiaTheme="minorEastAsia"/>
                      <w:color w:val="auto"/>
                      <w:sz w:val="21"/>
                      <w:szCs w:val="21"/>
                    </w:rPr>
                  </w:pPr>
                  <w:r>
                    <w:rPr>
                      <w:rFonts w:hint="eastAsia" w:ascii="Times New Roman" w:cs="Times New Roman" w:eastAsiaTheme="minorEastAsia"/>
                      <w:color w:val="auto"/>
                      <w:sz w:val="21"/>
                      <w:szCs w:val="21"/>
                    </w:rPr>
                    <w:t>储存筒仓粉尘：储存筒仓</w:t>
                  </w:r>
                  <w:r>
                    <w:rPr>
                      <w:rFonts w:hint="eastAsia" w:ascii="Times New Roman" w:cs="Times New Roman"/>
                      <w:color w:val="auto"/>
                      <w:sz w:val="21"/>
                      <w:szCs w:val="21"/>
                    </w:rPr>
                    <w:t>均设置在密闭厂房内，通过</w:t>
                  </w:r>
                  <w:r>
                    <w:rPr>
                      <w:rFonts w:hint="eastAsia" w:ascii="Times New Roman" w:cs="Times New Roman" w:eastAsiaTheme="minorEastAsia"/>
                      <w:color w:val="auto"/>
                      <w:sz w:val="21"/>
                      <w:szCs w:val="21"/>
                    </w:rPr>
                    <w:t>仓顶除尘器收集处理</w:t>
                  </w:r>
                </w:p>
              </w:tc>
              <w:tc>
                <w:tcPr>
                  <w:tcW w:w="407" w:type="pct"/>
                  <w:vAlign w:val="center"/>
                </w:tcPr>
                <w:p w14:paraId="0DD65D09">
                  <w:pPr>
                    <w:pStyle w:val="2"/>
                    <w:jc w:val="center"/>
                    <w:rPr>
                      <w:color w:val="auto"/>
                      <w:sz w:val="21"/>
                      <w:szCs w:val="21"/>
                    </w:rPr>
                  </w:pPr>
                  <w:r>
                    <w:rPr>
                      <w:szCs w:val="21"/>
                    </w:rPr>
                    <w:t>新建</w:t>
                  </w:r>
                </w:p>
              </w:tc>
            </w:tr>
            <w:tr w14:paraId="6CE295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139D93FE">
                  <w:pPr>
                    <w:jc w:val="center"/>
                    <w:rPr>
                      <w:szCs w:val="21"/>
                    </w:rPr>
                  </w:pPr>
                </w:p>
              </w:tc>
              <w:tc>
                <w:tcPr>
                  <w:tcW w:w="552" w:type="pct"/>
                  <w:vMerge w:val="continue"/>
                  <w:vAlign w:val="center"/>
                </w:tcPr>
                <w:p w14:paraId="5A48447A">
                  <w:pPr>
                    <w:jc w:val="center"/>
                    <w:rPr>
                      <w:szCs w:val="21"/>
                    </w:rPr>
                  </w:pPr>
                </w:p>
              </w:tc>
              <w:tc>
                <w:tcPr>
                  <w:tcW w:w="3437" w:type="pct"/>
                  <w:vAlign w:val="center"/>
                </w:tcPr>
                <w:p w14:paraId="52777FD4">
                  <w:pPr>
                    <w:pStyle w:val="2"/>
                    <w:jc w:val="center"/>
                    <w:rPr>
                      <w:rFonts w:hint="eastAsia" w:ascii="Times New Roman" w:cs="Times New Roman" w:eastAsiaTheme="minorEastAsia"/>
                      <w:color w:val="auto"/>
                      <w:sz w:val="21"/>
                      <w:szCs w:val="21"/>
                    </w:rPr>
                  </w:pPr>
                  <w:r>
                    <w:rPr>
                      <w:rFonts w:hint="eastAsia" w:ascii="Times New Roman" w:cs="Times New Roman" w:eastAsiaTheme="minorEastAsia"/>
                      <w:color w:val="auto"/>
                      <w:sz w:val="21"/>
                      <w:szCs w:val="21"/>
                    </w:rPr>
                    <w:t>包装粉尘：包装机</w:t>
                  </w:r>
                  <w:r>
                    <w:rPr>
                      <w:rFonts w:hint="eastAsia" w:ascii="Times New Roman" w:cs="Times New Roman"/>
                      <w:color w:val="auto"/>
                      <w:sz w:val="21"/>
                      <w:szCs w:val="21"/>
                    </w:rPr>
                    <w:t>均设置在密闭厂房内，加强通风</w:t>
                  </w:r>
                </w:p>
              </w:tc>
              <w:tc>
                <w:tcPr>
                  <w:tcW w:w="407" w:type="pct"/>
                  <w:vAlign w:val="center"/>
                </w:tcPr>
                <w:p w14:paraId="19A27467">
                  <w:pPr>
                    <w:pStyle w:val="2"/>
                    <w:jc w:val="center"/>
                    <w:rPr>
                      <w:szCs w:val="21"/>
                    </w:rPr>
                  </w:pPr>
                  <w:r>
                    <w:rPr>
                      <w:szCs w:val="21"/>
                    </w:rPr>
                    <w:t>新建</w:t>
                  </w:r>
                </w:p>
              </w:tc>
            </w:tr>
            <w:tr w14:paraId="1F5499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73C5F148">
                  <w:pPr>
                    <w:jc w:val="center"/>
                    <w:rPr>
                      <w:szCs w:val="21"/>
                    </w:rPr>
                  </w:pPr>
                </w:p>
              </w:tc>
              <w:tc>
                <w:tcPr>
                  <w:tcW w:w="552" w:type="pct"/>
                  <w:vMerge w:val="continue"/>
                  <w:vAlign w:val="center"/>
                </w:tcPr>
                <w:p w14:paraId="4FE54891">
                  <w:pPr>
                    <w:jc w:val="center"/>
                    <w:rPr>
                      <w:szCs w:val="21"/>
                    </w:rPr>
                  </w:pPr>
                </w:p>
              </w:tc>
              <w:tc>
                <w:tcPr>
                  <w:tcW w:w="3437" w:type="pct"/>
                  <w:vAlign w:val="center"/>
                </w:tcPr>
                <w:p w14:paraId="0F6D042A">
                  <w:pPr>
                    <w:jc w:val="center"/>
                    <w:rPr>
                      <w:kern w:val="0"/>
                      <w:szCs w:val="21"/>
                    </w:rPr>
                  </w:pPr>
                  <w:r>
                    <w:rPr>
                      <w:kern w:val="0"/>
                      <w:szCs w:val="21"/>
                    </w:rPr>
                    <w:t>运输扬尘：</w:t>
                  </w:r>
                  <w:r>
                    <w:rPr>
                      <w:rFonts w:hint="eastAsia"/>
                      <w:kern w:val="0"/>
                      <w:szCs w:val="21"/>
                    </w:rPr>
                    <w:t>清扫及洒水降尘,道路硬化，加强管理，种植绿化，车辆加盖篷布</w:t>
                  </w:r>
                </w:p>
              </w:tc>
              <w:tc>
                <w:tcPr>
                  <w:tcW w:w="407" w:type="pct"/>
                  <w:vAlign w:val="center"/>
                </w:tcPr>
                <w:p w14:paraId="669E5244">
                  <w:pPr>
                    <w:jc w:val="center"/>
                    <w:rPr>
                      <w:szCs w:val="21"/>
                    </w:rPr>
                  </w:pPr>
                  <w:r>
                    <w:rPr>
                      <w:szCs w:val="21"/>
                    </w:rPr>
                    <w:t>新建</w:t>
                  </w:r>
                </w:p>
              </w:tc>
            </w:tr>
            <w:tr w14:paraId="6C9BFD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7D06288D">
                  <w:pPr>
                    <w:jc w:val="center"/>
                    <w:rPr>
                      <w:szCs w:val="21"/>
                    </w:rPr>
                  </w:pPr>
                </w:p>
              </w:tc>
              <w:tc>
                <w:tcPr>
                  <w:tcW w:w="552" w:type="pct"/>
                  <w:vAlign w:val="center"/>
                </w:tcPr>
                <w:p w14:paraId="4B3C15F1">
                  <w:pPr>
                    <w:jc w:val="center"/>
                    <w:rPr>
                      <w:szCs w:val="21"/>
                    </w:rPr>
                  </w:pPr>
                  <w:r>
                    <w:rPr>
                      <w:rFonts w:hint="eastAsia"/>
                      <w:szCs w:val="21"/>
                    </w:rPr>
                    <w:t>噪声</w:t>
                  </w:r>
                </w:p>
              </w:tc>
              <w:tc>
                <w:tcPr>
                  <w:tcW w:w="3437" w:type="pct"/>
                  <w:vAlign w:val="center"/>
                </w:tcPr>
                <w:p w14:paraId="51DE21E9">
                  <w:pPr>
                    <w:widowControl/>
                    <w:jc w:val="center"/>
                    <w:rPr>
                      <w:kern w:val="0"/>
                      <w:szCs w:val="21"/>
                    </w:rPr>
                  </w:pPr>
                  <w:r>
                    <w:rPr>
                      <w:szCs w:val="21"/>
                    </w:rPr>
                    <w:t>选用低噪声设备、基础减振，</w:t>
                  </w:r>
                  <w:r>
                    <w:rPr>
                      <w:rFonts w:hint="eastAsia"/>
                      <w:szCs w:val="21"/>
                    </w:rPr>
                    <w:t>厂房</w:t>
                  </w:r>
                  <w:r>
                    <w:rPr>
                      <w:szCs w:val="21"/>
                    </w:rPr>
                    <w:t>隔声</w:t>
                  </w:r>
                </w:p>
              </w:tc>
              <w:tc>
                <w:tcPr>
                  <w:tcW w:w="407" w:type="pct"/>
                  <w:vAlign w:val="center"/>
                </w:tcPr>
                <w:p w14:paraId="44F2BD35">
                  <w:pPr>
                    <w:jc w:val="center"/>
                    <w:rPr>
                      <w:szCs w:val="21"/>
                    </w:rPr>
                  </w:pPr>
                  <w:r>
                    <w:rPr>
                      <w:szCs w:val="21"/>
                    </w:rPr>
                    <w:t>新建</w:t>
                  </w:r>
                </w:p>
              </w:tc>
            </w:tr>
            <w:tr w14:paraId="6A8406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5CEE5AA1">
                  <w:pPr>
                    <w:jc w:val="center"/>
                    <w:rPr>
                      <w:szCs w:val="21"/>
                    </w:rPr>
                  </w:pPr>
                </w:p>
              </w:tc>
              <w:tc>
                <w:tcPr>
                  <w:tcW w:w="552" w:type="pct"/>
                  <w:vMerge w:val="restart"/>
                  <w:vAlign w:val="center"/>
                </w:tcPr>
                <w:p w14:paraId="66EEE6C0">
                  <w:pPr>
                    <w:jc w:val="center"/>
                    <w:rPr>
                      <w:szCs w:val="21"/>
                    </w:rPr>
                  </w:pPr>
                  <w:r>
                    <w:rPr>
                      <w:rFonts w:hint="eastAsia"/>
                      <w:szCs w:val="21"/>
                    </w:rPr>
                    <w:t>固废</w:t>
                  </w:r>
                </w:p>
              </w:tc>
              <w:tc>
                <w:tcPr>
                  <w:tcW w:w="3437" w:type="pct"/>
                  <w:vAlign w:val="center"/>
                </w:tcPr>
                <w:p w14:paraId="222B14DC">
                  <w:pPr>
                    <w:pStyle w:val="2"/>
                    <w:jc w:val="center"/>
                    <w:rPr>
                      <w:rFonts w:ascii="Times New Roman" w:cs="Times New Roman" w:eastAsiaTheme="majorEastAsia"/>
                      <w:color w:val="auto"/>
                      <w:sz w:val="21"/>
                      <w:szCs w:val="21"/>
                    </w:rPr>
                  </w:pPr>
                  <w:r>
                    <w:rPr>
                      <w:rFonts w:cs="Times New Roman" w:asciiTheme="minorEastAsia" w:hAnsiTheme="minorEastAsia" w:eastAsiaTheme="minorEastAsia"/>
                      <w:color w:val="auto"/>
                      <w:sz w:val="21"/>
                      <w:szCs w:val="21"/>
                    </w:rPr>
                    <w:t>一般固废：除尘器收集尘</w:t>
                  </w:r>
                  <w:r>
                    <w:rPr>
                      <w:rFonts w:hint="eastAsia" w:cs="Times New Roman" w:asciiTheme="minorEastAsia" w:hAnsiTheme="minorEastAsia" w:eastAsiaTheme="minorEastAsia"/>
                      <w:color w:val="auto"/>
                      <w:sz w:val="21"/>
                      <w:szCs w:val="21"/>
                    </w:rPr>
                    <w:t>经收集后作为产品外售；废包装袋统一收集后外售废品回收站；废布袋定期更换，更换的布袋由厂家回收合理处置</w:t>
                  </w:r>
                </w:p>
              </w:tc>
              <w:tc>
                <w:tcPr>
                  <w:tcW w:w="407" w:type="pct"/>
                  <w:vMerge w:val="restart"/>
                  <w:vAlign w:val="center"/>
                </w:tcPr>
                <w:p w14:paraId="0299CA86">
                  <w:pPr>
                    <w:jc w:val="center"/>
                    <w:rPr>
                      <w:szCs w:val="21"/>
                    </w:rPr>
                  </w:pPr>
                  <w:r>
                    <w:rPr>
                      <w:szCs w:val="21"/>
                    </w:rPr>
                    <w:t>新建</w:t>
                  </w:r>
                </w:p>
              </w:tc>
            </w:tr>
            <w:tr w14:paraId="49F70B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069D5408">
                  <w:pPr>
                    <w:jc w:val="center"/>
                    <w:rPr>
                      <w:szCs w:val="21"/>
                    </w:rPr>
                  </w:pPr>
                </w:p>
              </w:tc>
              <w:tc>
                <w:tcPr>
                  <w:tcW w:w="552" w:type="pct"/>
                  <w:vMerge w:val="continue"/>
                  <w:vAlign w:val="center"/>
                </w:tcPr>
                <w:p w14:paraId="1355BA19">
                  <w:pPr>
                    <w:jc w:val="center"/>
                    <w:rPr>
                      <w:szCs w:val="21"/>
                    </w:rPr>
                  </w:pPr>
                </w:p>
              </w:tc>
              <w:tc>
                <w:tcPr>
                  <w:tcW w:w="3437" w:type="pct"/>
                  <w:vAlign w:val="center"/>
                </w:tcPr>
                <w:p w14:paraId="52D7264C">
                  <w:pPr>
                    <w:widowControl/>
                    <w:jc w:val="center"/>
                    <w:rPr>
                      <w:rFonts w:eastAsiaTheme="minorEastAsia"/>
                      <w:kern w:val="0"/>
                      <w:szCs w:val="21"/>
                    </w:rPr>
                  </w:pPr>
                  <w:r>
                    <w:rPr>
                      <w:rFonts w:asciiTheme="minorEastAsia" w:hAnsiTheme="minorEastAsia" w:eastAsiaTheme="minorEastAsia"/>
                      <w:szCs w:val="21"/>
                    </w:rPr>
                    <w:t>危险废物：</w:t>
                  </w:r>
                  <w:r>
                    <w:rPr>
                      <w:rFonts w:hint="eastAsia" w:asciiTheme="minorEastAsia" w:hAnsiTheme="minorEastAsia" w:eastAsiaTheme="minorEastAsia"/>
                      <w:szCs w:val="21"/>
                    </w:rPr>
                    <w:t>废润滑油以及废含油抹布及手套等危险废物，分类收集后暂存于危废暂存间，定期委托有相应类别危险废物处置资质的单位代为处置</w:t>
                  </w:r>
                </w:p>
              </w:tc>
              <w:tc>
                <w:tcPr>
                  <w:tcW w:w="407" w:type="pct"/>
                  <w:vMerge w:val="continue"/>
                  <w:vAlign w:val="center"/>
                </w:tcPr>
                <w:p w14:paraId="07383005">
                  <w:pPr>
                    <w:jc w:val="center"/>
                    <w:rPr>
                      <w:szCs w:val="21"/>
                    </w:rPr>
                  </w:pPr>
                </w:p>
              </w:tc>
            </w:tr>
            <w:tr w14:paraId="751CD7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04" w:type="pct"/>
                  <w:vMerge w:val="continue"/>
                  <w:vAlign w:val="center"/>
                </w:tcPr>
                <w:p w14:paraId="6A0E11A5">
                  <w:pPr>
                    <w:jc w:val="center"/>
                    <w:rPr>
                      <w:szCs w:val="21"/>
                    </w:rPr>
                  </w:pPr>
                </w:p>
              </w:tc>
              <w:tc>
                <w:tcPr>
                  <w:tcW w:w="552" w:type="pct"/>
                  <w:vMerge w:val="continue"/>
                  <w:vAlign w:val="center"/>
                </w:tcPr>
                <w:p w14:paraId="49A32151">
                  <w:pPr>
                    <w:jc w:val="center"/>
                    <w:rPr>
                      <w:szCs w:val="21"/>
                    </w:rPr>
                  </w:pPr>
                </w:p>
              </w:tc>
              <w:tc>
                <w:tcPr>
                  <w:tcW w:w="3437" w:type="pct"/>
                  <w:vAlign w:val="center"/>
                </w:tcPr>
                <w:p w14:paraId="72141DFA">
                  <w:pPr>
                    <w:widowControl/>
                    <w:jc w:val="center"/>
                    <w:rPr>
                      <w:szCs w:val="21"/>
                    </w:rPr>
                  </w:pPr>
                  <w:r>
                    <w:rPr>
                      <w:rFonts w:asciiTheme="minorEastAsia" w:hAnsiTheme="minorEastAsia" w:eastAsiaTheme="minorEastAsia"/>
                      <w:szCs w:val="21"/>
                    </w:rPr>
                    <w:t>生活垃圾：收集后交由当地环卫部门统一清运</w:t>
                  </w:r>
                </w:p>
              </w:tc>
              <w:tc>
                <w:tcPr>
                  <w:tcW w:w="407" w:type="pct"/>
                  <w:vMerge w:val="continue"/>
                  <w:vAlign w:val="center"/>
                </w:tcPr>
                <w:p w14:paraId="09EF8ED4">
                  <w:pPr>
                    <w:jc w:val="center"/>
                    <w:rPr>
                      <w:szCs w:val="21"/>
                    </w:rPr>
                  </w:pPr>
                </w:p>
              </w:tc>
            </w:tr>
          </w:tbl>
          <w:p w14:paraId="4FFACDEB">
            <w:pPr>
              <w:adjustRightInd w:val="0"/>
              <w:snapToGrid w:val="0"/>
              <w:spacing w:line="360" w:lineRule="auto"/>
              <w:ind w:firstLine="482" w:firstLineChars="200"/>
              <w:rPr>
                <w:b/>
                <w:bCs/>
                <w:sz w:val="24"/>
              </w:rPr>
            </w:pPr>
            <w:r>
              <w:rPr>
                <w:rFonts w:hint="eastAsia"/>
                <w:b/>
                <w:bCs/>
                <w:sz w:val="24"/>
              </w:rPr>
              <w:t>2</w:t>
            </w:r>
            <w:r>
              <w:rPr>
                <w:b/>
                <w:bCs/>
                <w:sz w:val="24"/>
              </w:rPr>
              <w:t>、产品方案</w:t>
            </w:r>
          </w:p>
          <w:p w14:paraId="4F4E0B88">
            <w:pPr>
              <w:pStyle w:val="107"/>
              <w:rPr>
                <w:szCs w:val="22"/>
              </w:rPr>
            </w:pPr>
            <w:r>
              <w:t>本项目主要进行重晶石粉的生产，其产品方案见</w:t>
            </w:r>
            <w:r>
              <w:rPr>
                <w:rFonts w:hint="eastAsia"/>
                <w:szCs w:val="22"/>
              </w:rPr>
              <w:t>表2-2。</w:t>
            </w:r>
          </w:p>
          <w:p w14:paraId="302032B5">
            <w:pPr>
              <w:autoSpaceDE w:val="0"/>
              <w:autoSpaceDN w:val="0"/>
              <w:adjustRightInd w:val="0"/>
              <w:spacing w:before="120" w:beforeLines="50"/>
              <w:jc w:val="center"/>
              <w:rPr>
                <w:b/>
                <w:kern w:val="0"/>
                <w:szCs w:val="21"/>
              </w:rPr>
            </w:pPr>
            <w:r>
              <w:rPr>
                <w:rFonts w:hint="eastAsia"/>
                <w:b/>
                <w:kern w:val="0"/>
                <w:szCs w:val="21"/>
              </w:rPr>
              <w:t>表2-2  项目</w:t>
            </w:r>
            <w:r>
              <w:rPr>
                <w:b/>
                <w:kern w:val="0"/>
                <w:szCs w:val="21"/>
              </w:rPr>
              <w:t>产品方案</w:t>
            </w:r>
            <w:r>
              <w:rPr>
                <w:rFonts w:hint="eastAsia"/>
                <w:b/>
                <w:kern w:val="0"/>
                <w:szCs w:val="21"/>
              </w:rPr>
              <w:t>一览表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0"/>
              <w:gridCol w:w="1843"/>
              <w:gridCol w:w="2431"/>
              <w:gridCol w:w="1856"/>
              <w:gridCol w:w="1856"/>
            </w:tblGrid>
            <w:tr w14:paraId="7B2E63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6" w:type="pct"/>
                  <w:vAlign w:val="center"/>
                </w:tcPr>
                <w:p w14:paraId="4B4CDB3A">
                  <w:pPr>
                    <w:autoSpaceDE w:val="0"/>
                    <w:jc w:val="center"/>
                    <w:rPr>
                      <w:b/>
                      <w:szCs w:val="21"/>
                    </w:rPr>
                  </w:pPr>
                  <w:r>
                    <w:rPr>
                      <w:b/>
                    </w:rPr>
                    <w:t>序号</w:t>
                  </w:r>
                </w:p>
              </w:tc>
              <w:tc>
                <w:tcPr>
                  <w:tcW w:w="993" w:type="pct"/>
                  <w:vAlign w:val="center"/>
                </w:tcPr>
                <w:p w14:paraId="1447DBB9">
                  <w:pPr>
                    <w:autoSpaceDE w:val="0"/>
                    <w:jc w:val="center"/>
                    <w:rPr>
                      <w:b/>
                      <w:szCs w:val="21"/>
                    </w:rPr>
                  </w:pPr>
                  <w:r>
                    <w:rPr>
                      <w:b/>
                    </w:rPr>
                    <w:t>产品名称</w:t>
                  </w:r>
                </w:p>
              </w:tc>
              <w:tc>
                <w:tcPr>
                  <w:tcW w:w="1310" w:type="pct"/>
                  <w:vAlign w:val="center"/>
                </w:tcPr>
                <w:p w14:paraId="3EA15AF3">
                  <w:pPr>
                    <w:autoSpaceDE w:val="0"/>
                    <w:jc w:val="center"/>
                    <w:rPr>
                      <w:b/>
                      <w:szCs w:val="21"/>
                    </w:rPr>
                  </w:pPr>
                  <w:r>
                    <w:rPr>
                      <w:rFonts w:hint="eastAsia" w:eastAsiaTheme="minorEastAsia"/>
                      <w:b/>
                      <w:szCs w:val="21"/>
                    </w:rPr>
                    <w:t>产品型号规格（目）</w:t>
                  </w:r>
                </w:p>
              </w:tc>
              <w:tc>
                <w:tcPr>
                  <w:tcW w:w="1000" w:type="pct"/>
                  <w:vAlign w:val="center"/>
                </w:tcPr>
                <w:p w14:paraId="390CD769">
                  <w:pPr>
                    <w:autoSpaceDE w:val="0"/>
                    <w:jc w:val="center"/>
                    <w:rPr>
                      <w:b/>
                      <w:szCs w:val="21"/>
                    </w:rPr>
                  </w:pPr>
                  <w:r>
                    <w:rPr>
                      <w:rFonts w:hint="eastAsia"/>
                      <w:b/>
                    </w:rPr>
                    <w:t>年产（t/a</w:t>
                  </w:r>
                  <w:r>
                    <w:rPr>
                      <w:rFonts w:hint="eastAsia" w:ascii="宋体" w:hAnsi="宋体"/>
                      <w:b/>
                    </w:rPr>
                    <w:t>）</w:t>
                  </w:r>
                </w:p>
              </w:tc>
              <w:tc>
                <w:tcPr>
                  <w:tcW w:w="1000" w:type="pct"/>
                  <w:vAlign w:val="center"/>
                </w:tcPr>
                <w:p w14:paraId="41F72CF3">
                  <w:pPr>
                    <w:autoSpaceDE w:val="0"/>
                    <w:jc w:val="center"/>
                    <w:rPr>
                      <w:b/>
                    </w:rPr>
                  </w:pPr>
                  <w:r>
                    <w:rPr>
                      <w:rFonts w:hint="eastAsia"/>
                      <w:b/>
                    </w:rPr>
                    <w:t>去向</w:t>
                  </w:r>
                </w:p>
              </w:tc>
            </w:tr>
            <w:tr w14:paraId="5E1F9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6" w:type="pct"/>
                  <w:vAlign w:val="center"/>
                </w:tcPr>
                <w:p w14:paraId="664102A0">
                  <w:pPr>
                    <w:autoSpaceDE w:val="0"/>
                    <w:jc w:val="center"/>
                    <w:rPr>
                      <w:szCs w:val="21"/>
                    </w:rPr>
                  </w:pPr>
                  <w:r>
                    <w:t>1</w:t>
                  </w:r>
                </w:p>
              </w:tc>
              <w:tc>
                <w:tcPr>
                  <w:tcW w:w="993" w:type="pct"/>
                  <w:vAlign w:val="center"/>
                </w:tcPr>
                <w:p w14:paraId="423D7C3D">
                  <w:pPr>
                    <w:widowControl/>
                    <w:autoSpaceDE w:val="0"/>
                    <w:jc w:val="center"/>
                    <w:rPr>
                      <w:szCs w:val="21"/>
                    </w:rPr>
                  </w:pPr>
                  <w:r>
                    <w:rPr>
                      <w:rFonts w:hint="eastAsia"/>
                    </w:rPr>
                    <w:t>硫酸钡粉</w:t>
                  </w:r>
                </w:p>
              </w:tc>
              <w:tc>
                <w:tcPr>
                  <w:tcW w:w="1310" w:type="pct"/>
                  <w:vAlign w:val="center"/>
                </w:tcPr>
                <w:p w14:paraId="390472FA">
                  <w:pPr>
                    <w:autoSpaceDE w:val="0"/>
                    <w:jc w:val="center"/>
                    <w:rPr>
                      <w:szCs w:val="21"/>
                    </w:rPr>
                  </w:pPr>
                  <w:r>
                    <w:rPr>
                      <w:rFonts w:hint="eastAsia"/>
                    </w:rPr>
                    <w:t>325/1250/2000</w:t>
                  </w:r>
                </w:p>
              </w:tc>
              <w:tc>
                <w:tcPr>
                  <w:tcW w:w="1000" w:type="pct"/>
                  <w:vAlign w:val="center"/>
                </w:tcPr>
                <w:p w14:paraId="0470FE3D">
                  <w:pPr>
                    <w:autoSpaceDE w:val="0"/>
                    <w:jc w:val="center"/>
                    <w:rPr>
                      <w:szCs w:val="21"/>
                    </w:rPr>
                  </w:pPr>
                  <w:r>
                    <w:rPr>
                      <w:rFonts w:hint="eastAsia"/>
                      <w:szCs w:val="21"/>
                    </w:rPr>
                    <w:t>39999.35</w:t>
                  </w:r>
                </w:p>
              </w:tc>
              <w:tc>
                <w:tcPr>
                  <w:tcW w:w="1000" w:type="pct"/>
                  <w:vAlign w:val="center"/>
                </w:tcPr>
                <w:p w14:paraId="1BEB8E1B">
                  <w:pPr>
                    <w:autoSpaceDE w:val="0"/>
                    <w:jc w:val="center"/>
                    <w:rPr>
                      <w:szCs w:val="21"/>
                    </w:rPr>
                  </w:pPr>
                  <w:r>
                    <w:t>外售合作单位</w:t>
                  </w:r>
                </w:p>
              </w:tc>
            </w:tr>
          </w:tbl>
          <w:p w14:paraId="146A9946">
            <w:pPr>
              <w:adjustRightInd w:val="0"/>
              <w:snapToGrid w:val="0"/>
              <w:spacing w:line="360" w:lineRule="auto"/>
              <w:ind w:firstLine="482" w:firstLineChars="200"/>
              <w:rPr>
                <w:sz w:val="24"/>
              </w:rPr>
            </w:pPr>
            <w:r>
              <w:rPr>
                <w:b/>
                <w:sz w:val="24"/>
              </w:rPr>
              <w:t>产品简介：</w:t>
            </w:r>
            <w:r>
              <w:rPr>
                <w:sz w:val="24"/>
              </w:rPr>
              <w:t>硫酸钡粉，又称重晶石粉，化学组成为BaSO</w:t>
            </w:r>
            <w:r>
              <w:rPr>
                <w:sz w:val="24"/>
                <w:vertAlign w:val="subscript"/>
              </w:rPr>
              <w:t>4</w:t>
            </w:r>
            <w:r>
              <w:rPr>
                <w:sz w:val="24"/>
              </w:rPr>
              <w:t>，晶体属正交晶系的硫酸矿物盐。常呈厚板状或柱状晶体，多为致密块状或板状、粒状集合体。质纯时无色透明，含杂质时被染成各种颜色，条痕白色，玻璃光泽，透明至半透明。具3个方向的完全和中等解理，莫氏硬度3~3.5，比重4.5。重晶石作为一种重要的矿产资源，在现代化工业生产中，重晶石起着不可替代的重要作用。重晶石可用于油田开采，天然气开采钻井加重剂。还可作为绘画、油漆、涂料等重要涂料，可用于制造氧化钡、碳化钡等重要工业原料， 除此之外重晶石还应用在建筑、水泥、道路桥梁建设、造纸、橡胶、塑料等众多重要领域。本项目生产的硫酸钡粉从原料到成品，成分及化学性质无变化，仅含水率与细度发生变化。</w:t>
            </w:r>
          </w:p>
          <w:p w14:paraId="0C491048">
            <w:pPr>
              <w:autoSpaceDE w:val="0"/>
              <w:autoSpaceDN w:val="0"/>
              <w:adjustRightInd w:val="0"/>
              <w:spacing w:before="120" w:beforeLines="50"/>
              <w:jc w:val="center"/>
            </w:pPr>
            <w:r>
              <w:rPr>
                <w:rFonts w:hint="eastAsia"/>
                <w:b/>
                <w:kern w:val="0"/>
                <w:szCs w:val="21"/>
              </w:rPr>
              <w:t>表2-3  本项目产品成分及理化性质一览表</w:t>
            </w:r>
          </w:p>
          <w:tbl>
            <w:tblPr>
              <w:tblStyle w:val="13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67"/>
              <w:gridCol w:w="7309"/>
            </w:tblGrid>
            <w:tr w14:paraId="68EE50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099017F6">
                  <w:pPr>
                    <w:widowControl/>
                    <w:wordWrap/>
                    <w:rPr>
                      <w:rFonts w:ascii="Times New Roman" w:hAnsi="Times New Roman" w:eastAsia="宋体"/>
                      <w:b/>
                      <w:i w:val="0"/>
                      <w:color w:val="000000"/>
                      <w:kern w:val="0"/>
                      <w:szCs w:val="21"/>
                    </w:rPr>
                  </w:pPr>
                  <w:r>
                    <w:rPr>
                      <w:rFonts w:hint="eastAsia" w:ascii="Times New Roman" w:hAnsi="Times New Roman" w:eastAsia="宋体"/>
                      <w:b/>
                      <w:i w:val="0"/>
                      <w:color w:val="000000"/>
                      <w:kern w:val="0"/>
                      <w:szCs w:val="21"/>
                    </w:rPr>
                    <w:t>产品名称</w:t>
                  </w:r>
                </w:p>
              </w:tc>
              <w:tc>
                <w:tcPr>
                  <w:tcW w:w="3940" w:type="pct"/>
                  <w:vAlign w:val="center"/>
                </w:tcPr>
                <w:p w14:paraId="07F35124">
                  <w:pPr>
                    <w:widowControl/>
                    <w:wordWrap/>
                    <w:rPr>
                      <w:rFonts w:ascii="Times New Roman" w:hAnsi="Times New Roman" w:eastAsia="宋体"/>
                      <w:b/>
                      <w:i w:val="0"/>
                      <w:color w:val="000000"/>
                      <w:kern w:val="0"/>
                      <w:szCs w:val="21"/>
                    </w:rPr>
                  </w:pPr>
                  <w:r>
                    <w:rPr>
                      <w:rFonts w:hint="eastAsia" w:ascii="Times New Roman" w:hAnsi="Times New Roman" w:eastAsia="宋体"/>
                      <w:b/>
                      <w:i w:val="0"/>
                      <w:color w:val="000000"/>
                      <w:kern w:val="0"/>
                      <w:szCs w:val="21"/>
                    </w:rPr>
                    <w:t>重晶石粉</w:t>
                  </w:r>
                </w:p>
              </w:tc>
            </w:tr>
            <w:tr w14:paraId="463C3A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0D868CD1">
                  <w:pPr>
                    <w:widowControl/>
                    <w:rPr>
                      <w:color w:val="000000"/>
                      <w:kern w:val="0"/>
                      <w:szCs w:val="21"/>
                    </w:rPr>
                  </w:pPr>
                  <w:r>
                    <w:rPr>
                      <w:color w:val="000000"/>
                      <w:kern w:val="0"/>
                      <w:szCs w:val="21"/>
                    </w:rPr>
                    <w:t>成分</w:t>
                  </w:r>
                </w:p>
              </w:tc>
              <w:tc>
                <w:tcPr>
                  <w:tcW w:w="3940" w:type="pct"/>
                  <w:vAlign w:val="center"/>
                </w:tcPr>
                <w:p w14:paraId="7216A104">
                  <w:pPr>
                    <w:widowControl/>
                    <w:rPr>
                      <w:color w:val="000000"/>
                      <w:kern w:val="0"/>
                      <w:szCs w:val="21"/>
                    </w:rPr>
                  </w:pPr>
                  <w:r>
                    <w:rPr>
                      <w:color w:val="000000"/>
                      <w:kern w:val="0"/>
                      <w:szCs w:val="21"/>
                    </w:rPr>
                    <w:t>BaSO</w:t>
                  </w:r>
                  <w:r>
                    <w:rPr>
                      <w:color w:val="000000"/>
                      <w:kern w:val="0"/>
                      <w:szCs w:val="21"/>
                      <w:vertAlign w:val="subscript"/>
                    </w:rPr>
                    <w:t>4</w:t>
                  </w:r>
                  <w:r>
                    <w:rPr>
                      <w:color w:val="000000"/>
                      <w:kern w:val="0"/>
                      <w:szCs w:val="21"/>
                    </w:rPr>
                    <w:t>（92~98%）；SiO</w:t>
                  </w:r>
                  <w:r>
                    <w:rPr>
                      <w:color w:val="000000"/>
                      <w:kern w:val="0"/>
                      <w:szCs w:val="21"/>
                      <w:vertAlign w:val="subscript"/>
                    </w:rPr>
                    <w:t>2</w:t>
                  </w:r>
                  <w:r>
                    <w:rPr>
                      <w:color w:val="000000"/>
                      <w:kern w:val="0"/>
                      <w:szCs w:val="21"/>
                    </w:rPr>
                    <w:t>（＜2%）；Fe</w:t>
                  </w:r>
                  <w:r>
                    <w:rPr>
                      <w:color w:val="000000"/>
                      <w:kern w:val="0"/>
                      <w:szCs w:val="21"/>
                      <w:vertAlign w:val="subscript"/>
                    </w:rPr>
                    <w:t>2</w:t>
                  </w:r>
                  <w:r>
                    <w:rPr>
                      <w:color w:val="000000"/>
                      <w:kern w:val="0"/>
                      <w:szCs w:val="21"/>
                    </w:rPr>
                    <w:t>O</w:t>
                  </w:r>
                  <w:r>
                    <w:rPr>
                      <w:rFonts w:hint="eastAsia"/>
                      <w:color w:val="000000"/>
                      <w:kern w:val="0"/>
                      <w:szCs w:val="21"/>
                      <w:vertAlign w:val="subscript"/>
                    </w:rPr>
                    <w:t>3</w:t>
                  </w:r>
                  <w:r>
                    <w:rPr>
                      <w:color w:val="000000"/>
                      <w:kern w:val="0"/>
                      <w:szCs w:val="21"/>
                    </w:rPr>
                    <w:t>（＜30.04%）；Al</w:t>
                  </w:r>
                  <w:r>
                    <w:rPr>
                      <w:color w:val="000000"/>
                      <w:kern w:val="0"/>
                      <w:szCs w:val="21"/>
                      <w:vertAlign w:val="subscript"/>
                    </w:rPr>
                    <w:t>2</w:t>
                  </w:r>
                  <w:r>
                    <w:rPr>
                      <w:color w:val="000000"/>
                      <w:kern w:val="0"/>
                      <w:szCs w:val="21"/>
                    </w:rPr>
                    <w:t>O</w:t>
                  </w:r>
                  <w:r>
                    <w:rPr>
                      <w:rFonts w:hint="eastAsia"/>
                      <w:color w:val="000000"/>
                      <w:kern w:val="0"/>
                      <w:szCs w:val="21"/>
                      <w:vertAlign w:val="subscript"/>
                    </w:rPr>
                    <w:t>3</w:t>
                  </w:r>
                  <w:r>
                    <w:rPr>
                      <w:color w:val="000000"/>
                      <w:kern w:val="0"/>
                      <w:szCs w:val="21"/>
                    </w:rPr>
                    <w:t>（＜30.01%），水溶盐含量（＜0.01%）</w:t>
                  </w:r>
                </w:p>
              </w:tc>
            </w:tr>
            <w:tr w14:paraId="1022CB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01BC7497">
                  <w:pPr>
                    <w:widowControl/>
                    <w:rPr>
                      <w:color w:val="000000"/>
                      <w:kern w:val="0"/>
                      <w:szCs w:val="21"/>
                    </w:rPr>
                  </w:pPr>
                  <w:r>
                    <w:rPr>
                      <w:color w:val="000000"/>
                      <w:kern w:val="0"/>
                      <w:szCs w:val="21"/>
                    </w:rPr>
                    <w:t>重金属含量（%）</w:t>
                  </w:r>
                </w:p>
              </w:tc>
              <w:tc>
                <w:tcPr>
                  <w:tcW w:w="3940" w:type="pct"/>
                  <w:vAlign w:val="center"/>
                </w:tcPr>
                <w:p w14:paraId="4EDF16A8">
                  <w:pPr>
                    <w:widowControl/>
                    <w:rPr>
                      <w:color w:val="000000"/>
                      <w:kern w:val="0"/>
                      <w:szCs w:val="21"/>
                    </w:rPr>
                  </w:pPr>
                  <w:r>
                    <w:rPr>
                      <w:color w:val="000000"/>
                      <w:kern w:val="0"/>
                      <w:szCs w:val="21"/>
                    </w:rPr>
                    <w:t>Pb：＜0.01；As：＜0.01；Cd：＜0.02；Hg：＜0.01</w:t>
                  </w:r>
                </w:p>
              </w:tc>
            </w:tr>
            <w:tr w14:paraId="1B3BCB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60EA20B9">
                  <w:pPr>
                    <w:widowControl/>
                    <w:rPr>
                      <w:color w:val="000000"/>
                      <w:kern w:val="0"/>
                      <w:szCs w:val="21"/>
                    </w:rPr>
                  </w:pPr>
                  <w:r>
                    <w:rPr>
                      <w:color w:val="000000"/>
                      <w:kern w:val="0"/>
                      <w:szCs w:val="21"/>
                    </w:rPr>
                    <w:t>外观及气味</w:t>
                  </w:r>
                </w:p>
              </w:tc>
              <w:tc>
                <w:tcPr>
                  <w:tcW w:w="3940" w:type="pct"/>
                  <w:vAlign w:val="center"/>
                </w:tcPr>
                <w:p w14:paraId="405F2C87">
                  <w:pPr>
                    <w:widowControl/>
                    <w:rPr>
                      <w:color w:val="000000"/>
                      <w:kern w:val="0"/>
                      <w:szCs w:val="21"/>
                    </w:rPr>
                  </w:pPr>
                  <w:r>
                    <w:rPr>
                      <w:color w:val="000000"/>
                      <w:kern w:val="0"/>
                      <w:szCs w:val="21"/>
                    </w:rPr>
                    <w:t>白色粉末，无味</w:t>
                  </w:r>
                </w:p>
              </w:tc>
            </w:tr>
            <w:tr w14:paraId="339CE3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1B30758D">
                  <w:pPr>
                    <w:widowControl/>
                    <w:rPr>
                      <w:color w:val="000000"/>
                      <w:kern w:val="0"/>
                      <w:szCs w:val="21"/>
                    </w:rPr>
                  </w:pPr>
                  <w:r>
                    <w:rPr>
                      <w:color w:val="000000"/>
                      <w:kern w:val="0"/>
                      <w:szCs w:val="21"/>
                    </w:rPr>
                    <w:t>密度</w:t>
                  </w:r>
                </w:p>
              </w:tc>
              <w:tc>
                <w:tcPr>
                  <w:tcW w:w="3940" w:type="pct"/>
                  <w:vAlign w:val="center"/>
                </w:tcPr>
                <w:p w14:paraId="1782B339">
                  <w:pPr>
                    <w:widowControl/>
                    <w:rPr>
                      <w:color w:val="000000"/>
                      <w:kern w:val="0"/>
                      <w:szCs w:val="21"/>
                    </w:rPr>
                  </w:pPr>
                  <w:r>
                    <w:rPr>
                      <w:color w:val="000000"/>
                      <w:kern w:val="0"/>
                      <w:szCs w:val="21"/>
                    </w:rPr>
                    <w:t>4.3g/cm</w:t>
                  </w:r>
                  <w:r>
                    <w:rPr>
                      <w:color w:val="000000"/>
                      <w:kern w:val="0"/>
                      <w:szCs w:val="21"/>
                      <w:vertAlign w:val="superscript"/>
                    </w:rPr>
                    <w:t>3</w:t>
                  </w:r>
                </w:p>
              </w:tc>
            </w:tr>
            <w:tr w14:paraId="622260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187A3D0E">
                  <w:pPr>
                    <w:widowControl/>
                    <w:rPr>
                      <w:color w:val="000000"/>
                      <w:kern w:val="0"/>
                      <w:szCs w:val="21"/>
                    </w:rPr>
                  </w:pPr>
                  <w:r>
                    <w:rPr>
                      <w:color w:val="000000"/>
                      <w:kern w:val="0"/>
                      <w:szCs w:val="21"/>
                    </w:rPr>
                    <w:t>溶解性</w:t>
                  </w:r>
                </w:p>
              </w:tc>
              <w:tc>
                <w:tcPr>
                  <w:tcW w:w="3940" w:type="pct"/>
                  <w:vAlign w:val="center"/>
                </w:tcPr>
                <w:p w14:paraId="6DF09B44">
                  <w:pPr>
                    <w:widowControl/>
                    <w:rPr>
                      <w:color w:val="000000"/>
                      <w:kern w:val="0"/>
                      <w:szCs w:val="21"/>
                    </w:rPr>
                  </w:pPr>
                  <w:r>
                    <w:rPr>
                      <w:color w:val="000000"/>
                      <w:kern w:val="0"/>
                      <w:szCs w:val="21"/>
                    </w:rPr>
                    <w:t>难溶于水、酸、碱或有机容积</w:t>
                  </w:r>
                </w:p>
              </w:tc>
            </w:tr>
            <w:tr w14:paraId="3DCD5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68FB84BE">
                  <w:pPr>
                    <w:widowControl/>
                    <w:rPr>
                      <w:color w:val="000000"/>
                      <w:kern w:val="0"/>
                      <w:szCs w:val="21"/>
                    </w:rPr>
                  </w:pPr>
                  <w:r>
                    <w:rPr>
                      <w:color w:val="000000"/>
                      <w:kern w:val="0"/>
                      <w:szCs w:val="21"/>
                    </w:rPr>
                    <w:t>分解温度</w:t>
                  </w:r>
                </w:p>
              </w:tc>
              <w:tc>
                <w:tcPr>
                  <w:tcW w:w="3940" w:type="pct"/>
                  <w:vAlign w:val="center"/>
                </w:tcPr>
                <w:p w14:paraId="55B5CE9E">
                  <w:pPr>
                    <w:widowControl/>
                    <w:rPr>
                      <w:color w:val="000000"/>
                      <w:kern w:val="0"/>
                      <w:szCs w:val="21"/>
                    </w:rPr>
                  </w:pPr>
                  <w:r>
                    <w:rPr>
                      <w:color w:val="000000"/>
                      <w:kern w:val="0"/>
                      <w:szCs w:val="21"/>
                    </w:rPr>
                    <w:t>＞1600</w:t>
                  </w:r>
                  <w:r>
                    <w:rPr>
                      <w:rFonts w:hint="eastAsia"/>
                      <w:color w:val="000000"/>
                      <w:kern w:val="0"/>
                      <w:szCs w:val="21"/>
                    </w:rPr>
                    <w:t>℃</w:t>
                  </w:r>
                </w:p>
              </w:tc>
            </w:tr>
            <w:tr w14:paraId="752B83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705509FC">
                  <w:pPr>
                    <w:widowControl/>
                    <w:rPr>
                      <w:color w:val="000000"/>
                      <w:kern w:val="0"/>
                      <w:szCs w:val="21"/>
                    </w:rPr>
                  </w:pPr>
                  <w:r>
                    <w:rPr>
                      <w:color w:val="000000"/>
                      <w:kern w:val="0"/>
                      <w:szCs w:val="21"/>
                    </w:rPr>
                    <w:t>毒性</w:t>
                  </w:r>
                </w:p>
              </w:tc>
              <w:tc>
                <w:tcPr>
                  <w:tcW w:w="3940" w:type="pct"/>
                  <w:vAlign w:val="center"/>
                </w:tcPr>
                <w:p w14:paraId="725A43FD">
                  <w:pPr>
                    <w:widowControl/>
                    <w:rPr>
                      <w:color w:val="000000"/>
                      <w:kern w:val="0"/>
                      <w:szCs w:val="21"/>
                    </w:rPr>
                  </w:pPr>
                  <w:r>
                    <w:rPr>
                      <w:color w:val="000000"/>
                      <w:kern w:val="0"/>
                      <w:szCs w:val="21"/>
                    </w:rPr>
                    <w:t>无毒</w:t>
                  </w:r>
                </w:p>
              </w:tc>
            </w:tr>
            <w:tr w14:paraId="5BF0C7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1E33EA9E">
                  <w:pPr>
                    <w:widowControl/>
                    <w:rPr>
                      <w:color w:val="000000"/>
                      <w:kern w:val="0"/>
                      <w:szCs w:val="21"/>
                    </w:rPr>
                  </w:pPr>
                  <w:r>
                    <w:rPr>
                      <w:color w:val="000000"/>
                      <w:kern w:val="0"/>
                      <w:szCs w:val="21"/>
                    </w:rPr>
                    <w:t>化学性质</w:t>
                  </w:r>
                </w:p>
              </w:tc>
              <w:tc>
                <w:tcPr>
                  <w:tcW w:w="3940" w:type="pct"/>
                  <w:vAlign w:val="center"/>
                </w:tcPr>
                <w:p w14:paraId="2C86DBF6">
                  <w:pPr>
                    <w:widowControl/>
                    <w:rPr>
                      <w:color w:val="000000"/>
                      <w:kern w:val="0"/>
                      <w:szCs w:val="21"/>
                    </w:rPr>
                  </w:pPr>
                  <w:r>
                    <w:rPr>
                      <w:color w:val="000000"/>
                      <w:kern w:val="0"/>
                      <w:szCs w:val="21"/>
                    </w:rPr>
                    <w:t>正常情况下化学性质稳定，受高热分解产生有毒的硫化物烟气；具弱碱性</w:t>
                  </w:r>
                </w:p>
              </w:tc>
            </w:tr>
            <w:tr w14:paraId="1EC6F2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4B682CA4">
                  <w:pPr>
                    <w:widowControl/>
                    <w:rPr>
                      <w:color w:val="000000"/>
                      <w:kern w:val="0"/>
                      <w:szCs w:val="21"/>
                    </w:rPr>
                  </w:pPr>
                  <w:r>
                    <w:rPr>
                      <w:color w:val="000000"/>
                      <w:kern w:val="0"/>
                      <w:szCs w:val="21"/>
                    </w:rPr>
                    <w:t>危险性</w:t>
                  </w:r>
                </w:p>
              </w:tc>
              <w:tc>
                <w:tcPr>
                  <w:tcW w:w="3940" w:type="pct"/>
                  <w:vAlign w:val="center"/>
                </w:tcPr>
                <w:p w14:paraId="27B981E3">
                  <w:pPr>
                    <w:widowControl/>
                    <w:rPr>
                      <w:color w:val="000000"/>
                      <w:kern w:val="0"/>
                      <w:szCs w:val="21"/>
                    </w:rPr>
                  </w:pPr>
                  <w:r>
                    <w:rPr>
                      <w:color w:val="000000"/>
                      <w:kern w:val="0"/>
                      <w:szCs w:val="21"/>
                    </w:rPr>
                    <w:t>吸入后可引起胸部紧束感，胸痛、咳嗽等；对眼睛有刺激性；长期吸入可致倍尘肺；能灼烧皮肤，有脱发作用；生产中应注意做好防护，不可直接与人体接触</w:t>
                  </w:r>
                </w:p>
              </w:tc>
            </w:tr>
            <w:tr w14:paraId="73CDC5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60" w:type="pct"/>
                  <w:vAlign w:val="center"/>
                </w:tcPr>
                <w:p w14:paraId="7DAC5DA9">
                  <w:pPr>
                    <w:widowControl/>
                    <w:rPr>
                      <w:color w:val="000000"/>
                      <w:kern w:val="0"/>
                      <w:szCs w:val="21"/>
                    </w:rPr>
                  </w:pPr>
                  <w:r>
                    <w:rPr>
                      <w:color w:val="000000"/>
                      <w:kern w:val="0"/>
                      <w:szCs w:val="21"/>
                    </w:rPr>
                    <w:t>储存方式</w:t>
                  </w:r>
                </w:p>
              </w:tc>
              <w:tc>
                <w:tcPr>
                  <w:tcW w:w="3940" w:type="pct"/>
                  <w:vAlign w:val="center"/>
                </w:tcPr>
                <w:p w14:paraId="071DFED2">
                  <w:pPr>
                    <w:widowControl/>
                    <w:rPr>
                      <w:color w:val="000000"/>
                      <w:kern w:val="0"/>
                      <w:szCs w:val="21"/>
                    </w:rPr>
                  </w:pPr>
                  <w:r>
                    <w:rPr>
                      <w:color w:val="000000"/>
                      <w:kern w:val="0"/>
                      <w:szCs w:val="21"/>
                    </w:rPr>
                    <w:t>远离火种、热源；包装要求密封，不可与空气接触；应与还原剂、易燃、可燃物，金属粉末等分开存放；贮存在通风干燥的库房中；不可与酸类及使用物品共贮混运；装卸要轻拿轻放，防止包装破损</w:t>
                  </w:r>
                </w:p>
              </w:tc>
            </w:tr>
          </w:tbl>
          <w:p w14:paraId="29862819">
            <w:pPr>
              <w:adjustRightInd w:val="0"/>
              <w:snapToGrid w:val="0"/>
              <w:spacing w:line="360" w:lineRule="auto"/>
              <w:ind w:firstLine="482" w:firstLineChars="200"/>
              <w:rPr>
                <w:b/>
                <w:bCs/>
                <w:sz w:val="24"/>
              </w:rPr>
            </w:pPr>
            <w:r>
              <w:rPr>
                <w:rFonts w:hint="eastAsia"/>
                <w:b/>
                <w:bCs/>
                <w:sz w:val="24"/>
              </w:rPr>
              <w:t>3、</w:t>
            </w:r>
            <w:r>
              <w:rPr>
                <w:b/>
                <w:bCs/>
                <w:sz w:val="24"/>
              </w:rPr>
              <w:t>主要</w:t>
            </w:r>
            <w:r>
              <w:rPr>
                <w:rFonts w:hint="eastAsia"/>
                <w:b/>
                <w:bCs/>
                <w:sz w:val="24"/>
              </w:rPr>
              <w:t>生产</w:t>
            </w:r>
            <w:r>
              <w:rPr>
                <w:b/>
                <w:bCs/>
                <w:sz w:val="24"/>
              </w:rPr>
              <w:t>设备</w:t>
            </w:r>
          </w:p>
          <w:p w14:paraId="035774E5">
            <w:pPr>
              <w:adjustRightInd w:val="0"/>
              <w:snapToGrid w:val="0"/>
              <w:spacing w:line="360" w:lineRule="auto"/>
              <w:ind w:firstLine="480" w:firstLineChars="200"/>
              <w:rPr>
                <w:sz w:val="24"/>
              </w:rPr>
            </w:pPr>
            <w:r>
              <w:rPr>
                <w:rFonts w:hint="eastAsia"/>
                <w:sz w:val="24"/>
              </w:rPr>
              <w:t>项目主要生产设备详见表2-4。</w:t>
            </w:r>
          </w:p>
          <w:p w14:paraId="674B44EA">
            <w:pPr>
              <w:autoSpaceDE w:val="0"/>
              <w:autoSpaceDN w:val="0"/>
              <w:adjustRightInd w:val="0"/>
              <w:spacing w:before="120" w:beforeLines="50"/>
              <w:jc w:val="center"/>
              <w:rPr>
                <w:b/>
                <w:kern w:val="0"/>
                <w:szCs w:val="21"/>
                <w:u w:val="wave"/>
              </w:rPr>
            </w:pPr>
            <w:r>
              <w:rPr>
                <w:b/>
                <w:kern w:val="0"/>
                <w:szCs w:val="21"/>
                <w:u w:val="wave"/>
              </w:rPr>
              <w:t>表2-</w:t>
            </w:r>
            <w:r>
              <w:rPr>
                <w:rFonts w:hint="eastAsia"/>
                <w:b/>
                <w:kern w:val="0"/>
                <w:szCs w:val="21"/>
                <w:u w:val="wave"/>
              </w:rPr>
              <w:t xml:space="preserve">4 </w:t>
            </w:r>
            <w:r>
              <w:rPr>
                <w:b/>
                <w:kern w:val="0"/>
                <w:szCs w:val="21"/>
                <w:u w:val="wave"/>
              </w:rPr>
              <w:t xml:space="preserve"> 主要生产设备一览表</w:t>
            </w:r>
          </w:p>
          <w:tbl>
            <w:tblPr>
              <w:tblStyle w:val="34"/>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92"/>
              <w:gridCol w:w="1746"/>
              <w:gridCol w:w="1548"/>
              <w:gridCol w:w="1548"/>
              <w:gridCol w:w="3135"/>
            </w:tblGrid>
            <w:tr w14:paraId="784AD6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7EBCDA85">
                  <w:pPr>
                    <w:adjustRightInd w:val="0"/>
                    <w:snapToGrid w:val="0"/>
                    <w:jc w:val="center"/>
                    <w:rPr>
                      <w:b/>
                      <w:szCs w:val="21"/>
                      <w:u w:val="wave"/>
                    </w:rPr>
                  </w:pPr>
                  <w:r>
                    <w:rPr>
                      <w:b/>
                      <w:szCs w:val="21"/>
                      <w:u w:val="wave"/>
                    </w:rPr>
                    <w:t>序号</w:t>
                  </w:r>
                </w:p>
              </w:tc>
              <w:tc>
                <w:tcPr>
                  <w:tcW w:w="942" w:type="pct"/>
                  <w:vAlign w:val="center"/>
                </w:tcPr>
                <w:p w14:paraId="002AFB27">
                  <w:pPr>
                    <w:adjustRightInd w:val="0"/>
                    <w:snapToGrid w:val="0"/>
                    <w:jc w:val="center"/>
                    <w:rPr>
                      <w:b/>
                      <w:szCs w:val="21"/>
                      <w:u w:val="wave"/>
                    </w:rPr>
                  </w:pPr>
                  <w:r>
                    <w:rPr>
                      <w:b/>
                      <w:szCs w:val="21"/>
                      <w:u w:val="wave"/>
                    </w:rPr>
                    <w:t>设备名称</w:t>
                  </w:r>
                </w:p>
              </w:tc>
              <w:tc>
                <w:tcPr>
                  <w:tcW w:w="835" w:type="pct"/>
                  <w:vAlign w:val="center"/>
                </w:tcPr>
                <w:p w14:paraId="717A4B93">
                  <w:pPr>
                    <w:adjustRightInd w:val="0"/>
                    <w:snapToGrid w:val="0"/>
                    <w:jc w:val="center"/>
                    <w:rPr>
                      <w:b/>
                      <w:szCs w:val="21"/>
                      <w:u w:val="wave"/>
                    </w:rPr>
                  </w:pPr>
                  <w:r>
                    <w:rPr>
                      <w:b/>
                      <w:bCs/>
                      <w:color w:val="000000" w:themeColor="text1"/>
                      <w:szCs w:val="21"/>
                      <w:u w:val="wave"/>
                    </w:rPr>
                    <w:t>规格型号</w:t>
                  </w:r>
                </w:p>
              </w:tc>
              <w:tc>
                <w:tcPr>
                  <w:tcW w:w="835" w:type="pct"/>
                  <w:vAlign w:val="center"/>
                </w:tcPr>
                <w:p w14:paraId="53A66D4E">
                  <w:pPr>
                    <w:adjustRightInd w:val="0"/>
                    <w:snapToGrid w:val="0"/>
                    <w:jc w:val="center"/>
                    <w:rPr>
                      <w:b/>
                      <w:szCs w:val="21"/>
                      <w:u w:val="wave"/>
                    </w:rPr>
                  </w:pPr>
                  <w:r>
                    <w:rPr>
                      <w:b/>
                      <w:szCs w:val="21"/>
                      <w:u w:val="wave"/>
                    </w:rPr>
                    <w:t>数量</w:t>
                  </w:r>
                </w:p>
              </w:tc>
              <w:tc>
                <w:tcPr>
                  <w:tcW w:w="1691" w:type="pct"/>
                  <w:vAlign w:val="center"/>
                </w:tcPr>
                <w:p w14:paraId="18A8D8B1">
                  <w:pPr>
                    <w:adjustRightInd w:val="0"/>
                    <w:snapToGrid w:val="0"/>
                    <w:jc w:val="center"/>
                    <w:rPr>
                      <w:b/>
                      <w:szCs w:val="21"/>
                      <w:u w:val="wave"/>
                    </w:rPr>
                  </w:pPr>
                  <w:r>
                    <w:rPr>
                      <w:b/>
                      <w:szCs w:val="21"/>
                      <w:u w:val="wave"/>
                    </w:rPr>
                    <w:t>备注</w:t>
                  </w:r>
                </w:p>
              </w:tc>
            </w:tr>
            <w:tr w14:paraId="07DFEE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38010792">
                  <w:pPr>
                    <w:adjustRightInd w:val="0"/>
                    <w:snapToGrid w:val="0"/>
                    <w:jc w:val="center"/>
                    <w:rPr>
                      <w:szCs w:val="21"/>
                      <w:u w:val="wave"/>
                    </w:rPr>
                  </w:pPr>
                  <w:r>
                    <w:rPr>
                      <w:szCs w:val="21"/>
                      <w:u w:val="wave"/>
                    </w:rPr>
                    <w:t>1</w:t>
                  </w:r>
                </w:p>
              </w:tc>
              <w:tc>
                <w:tcPr>
                  <w:tcW w:w="942" w:type="pct"/>
                  <w:vAlign w:val="center"/>
                </w:tcPr>
                <w:p w14:paraId="2A30C3D0">
                  <w:pPr>
                    <w:widowControl/>
                    <w:jc w:val="center"/>
                    <w:rPr>
                      <w:color w:val="000000"/>
                      <w:kern w:val="0"/>
                      <w:szCs w:val="21"/>
                      <w:u w:val="wave"/>
                    </w:rPr>
                  </w:pPr>
                  <w:bookmarkStart w:id="21" w:name="OLE_LINK13"/>
                  <w:bookmarkStart w:id="22" w:name="OLE_LINK14"/>
                  <w:r>
                    <w:rPr>
                      <w:color w:val="000000"/>
                      <w:kern w:val="0"/>
                      <w:szCs w:val="21"/>
                      <w:u w:val="wave"/>
                    </w:rPr>
                    <w:t>环辊磨</w:t>
                  </w:r>
                  <w:bookmarkEnd w:id="21"/>
                  <w:bookmarkEnd w:id="22"/>
                  <w:r>
                    <w:rPr>
                      <w:color w:val="000000"/>
                      <w:kern w:val="0"/>
                      <w:szCs w:val="21"/>
                      <w:u w:val="wave"/>
                    </w:rPr>
                    <w:t>（一体机）</w:t>
                  </w:r>
                </w:p>
              </w:tc>
              <w:tc>
                <w:tcPr>
                  <w:tcW w:w="835" w:type="pct"/>
                  <w:vAlign w:val="center"/>
                </w:tcPr>
                <w:p w14:paraId="5EFB60DC">
                  <w:pPr>
                    <w:widowControl/>
                    <w:jc w:val="center"/>
                    <w:rPr>
                      <w:color w:val="000000"/>
                      <w:kern w:val="0"/>
                      <w:szCs w:val="21"/>
                      <w:u w:val="wave"/>
                    </w:rPr>
                  </w:pPr>
                  <w:bookmarkStart w:id="23" w:name="OLE_LINK26"/>
                  <w:r>
                    <w:rPr>
                      <w:rFonts w:hint="eastAsia"/>
                      <w:color w:val="000000"/>
                      <w:kern w:val="0"/>
                      <w:szCs w:val="21"/>
                      <w:u w:val="wave"/>
                    </w:rPr>
                    <w:t>SHM-</w:t>
                  </w:r>
                  <w:r>
                    <w:rPr>
                      <w:color w:val="000000"/>
                      <w:kern w:val="0"/>
                      <w:szCs w:val="21"/>
                      <w:u w:val="wave"/>
                    </w:rPr>
                    <w:t>89</w:t>
                  </w:r>
                  <w:bookmarkEnd w:id="23"/>
                </w:p>
              </w:tc>
              <w:tc>
                <w:tcPr>
                  <w:tcW w:w="835" w:type="pct"/>
                  <w:vAlign w:val="center"/>
                </w:tcPr>
                <w:p w14:paraId="5293C500">
                  <w:pPr>
                    <w:widowControl/>
                    <w:jc w:val="center"/>
                    <w:rPr>
                      <w:color w:val="000000"/>
                      <w:kern w:val="0"/>
                      <w:szCs w:val="21"/>
                      <w:u w:val="wave"/>
                    </w:rPr>
                  </w:pPr>
                  <w:r>
                    <w:rPr>
                      <w:color w:val="000000"/>
                      <w:kern w:val="0"/>
                      <w:szCs w:val="21"/>
                      <w:u w:val="wave"/>
                    </w:rPr>
                    <w:t>2台</w:t>
                  </w:r>
                </w:p>
              </w:tc>
              <w:tc>
                <w:tcPr>
                  <w:tcW w:w="1691" w:type="pct"/>
                  <w:vAlign w:val="center"/>
                </w:tcPr>
                <w:p w14:paraId="53ED4B3B">
                  <w:pPr>
                    <w:widowControl/>
                    <w:jc w:val="center"/>
                    <w:rPr>
                      <w:color w:val="000000"/>
                      <w:kern w:val="0"/>
                      <w:szCs w:val="21"/>
                      <w:u w:val="wave"/>
                    </w:rPr>
                  </w:pPr>
                  <w:r>
                    <w:rPr>
                      <w:u w:val="wave"/>
                    </w:rPr>
                    <w:t>配套分级器、旋风集尘器、布袋除尘器</w:t>
                  </w:r>
                </w:p>
              </w:tc>
            </w:tr>
            <w:tr w14:paraId="265939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0BF2311A">
                  <w:pPr>
                    <w:adjustRightInd w:val="0"/>
                    <w:snapToGrid w:val="0"/>
                    <w:jc w:val="center"/>
                    <w:rPr>
                      <w:szCs w:val="21"/>
                      <w:u w:val="wave"/>
                    </w:rPr>
                  </w:pPr>
                  <w:r>
                    <w:rPr>
                      <w:szCs w:val="21"/>
                      <w:u w:val="wave"/>
                    </w:rPr>
                    <w:t>2</w:t>
                  </w:r>
                </w:p>
              </w:tc>
              <w:tc>
                <w:tcPr>
                  <w:tcW w:w="942" w:type="pct"/>
                  <w:vAlign w:val="center"/>
                </w:tcPr>
                <w:p w14:paraId="38B1EB94">
                  <w:pPr>
                    <w:widowControl/>
                    <w:jc w:val="center"/>
                    <w:rPr>
                      <w:color w:val="000000"/>
                      <w:kern w:val="0"/>
                      <w:szCs w:val="21"/>
                      <w:u w:val="wave"/>
                    </w:rPr>
                  </w:pPr>
                  <w:bookmarkStart w:id="24" w:name="OLE_LINK15"/>
                  <w:bookmarkStart w:id="25" w:name="OLE_LINK16"/>
                  <w:bookmarkStart w:id="26" w:name="OLE_LINK17"/>
                  <w:r>
                    <w:rPr>
                      <w:color w:val="000000"/>
                      <w:kern w:val="0"/>
                      <w:szCs w:val="21"/>
                      <w:u w:val="wave"/>
                    </w:rPr>
                    <w:t>雷蒙磨</w:t>
                  </w:r>
                  <w:bookmarkEnd w:id="24"/>
                  <w:bookmarkEnd w:id="25"/>
                  <w:bookmarkEnd w:id="26"/>
                  <w:r>
                    <w:rPr>
                      <w:color w:val="000000"/>
                      <w:kern w:val="0"/>
                      <w:szCs w:val="21"/>
                      <w:u w:val="wave"/>
                    </w:rPr>
                    <w:t>（一体机）</w:t>
                  </w:r>
                </w:p>
              </w:tc>
              <w:tc>
                <w:tcPr>
                  <w:tcW w:w="835" w:type="pct"/>
                  <w:vAlign w:val="center"/>
                </w:tcPr>
                <w:p w14:paraId="1EFA3594">
                  <w:pPr>
                    <w:widowControl/>
                    <w:jc w:val="center"/>
                    <w:rPr>
                      <w:color w:val="000000"/>
                      <w:kern w:val="0"/>
                      <w:szCs w:val="21"/>
                      <w:u w:val="wave"/>
                    </w:rPr>
                  </w:pPr>
                  <w:r>
                    <w:rPr>
                      <w:rFonts w:hint="eastAsia"/>
                      <w:color w:val="000000"/>
                      <w:kern w:val="0"/>
                      <w:szCs w:val="21"/>
                      <w:u w:val="wave"/>
                    </w:rPr>
                    <w:t>GK1280</w:t>
                  </w:r>
                </w:p>
              </w:tc>
              <w:tc>
                <w:tcPr>
                  <w:tcW w:w="835" w:type="pct"/>
                  <w:vAlign w:val="center"/>
                </w:tcPr>
                <w:p w14:paraId="20862ECF">
                  <w:pPr>
                    <w:widowControl/>
                    <w:jc w:val="center"/>
                    <w:rPr>
                      <w:color w:val="000000"/>
                      <w:kern w:val="0"/>
                      <w:szCs w:val="21"/>
                      <w:u w:val="wave"/>
                    </w:rPr>
                  </w:pPr>
                  <w:r>
                    <w:rPr>
                      <w:color w:val="000000"/>
                      <w:kern w:val="0"/>
                      <w:szCs w:val="21"/>
                      <w:u w:val="wave"/>
                    </w:rPr>
                    <w:t>1台</w:t>
                  </w:r>
                </w:p>
              </w:tc>
              <w:tc>
                <w:tcPr>
                  <w:tcW w:w="1691" w:type="pct"/>
                  <w:vAlign w:val="center"/>
                </w:tcPr>
                <w:p w14:paraId="7B341203">
                  <w:pPr>
                    <w:widowControl/>
                    <w:jc w:val="center"/>
                    <w:rPr>
                      <w:color w:val="000000"/>
                      <w:kern w:val="0"/>
                      <w:szCs w:val="21"/>
                      <w:u w:val="wave"/>
                    </w:rPr>
                  </w:pPr>
                  <w:r>
                    <w:rPr>
                      <w:u w:val="wave"/>
                    </w:rPr>
                    <w:t>配套分级器、旋风集尘器、布袋除尘器</w:t>
                  </w:r>
                </w:p>
              </w:tc>
            </w:tr>
            <w:tr w14:paraId="45D811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57E54EF7">
                  <w:pPr>
                    <w:adjustRightInd w:val="0"/>
                    <w:snapToGrid w:val="0"/>
                    <w:jc w:val="center"/>
                    <w:rPr>
                      <w:szCs w:val="21"/>
                      <w:u w:val="wave"/>
                    </w:rPr>
                  </w:pPr>
                  <w:r>
                    <w:rPr>
                      <w:szCs w:val="21"/>
                      <w:u w:val="wave"/>
                    </w:rPr>
                    <w:t>3</w:t>
                  </w:r>
                </w:p>
              </w:tc>
              <w:tc>
                <w:tcPr>
                  <w:tcW w:w="942" w:type="pct"/>
                  <w:vAlign w:val="center"/>
                </w:tcPr>
                <w:p w14:paraId="040F4765">
                  <w:pPr>
                    <w:widowControl/>
                    <w:jc w:val="center"/>
                    <w:rPr>
                      <w:color w:val="000000"/>
                      <w:kern w:val="0"/>
                      <w:szCs w:val="21"/>
                      <w:u w:val="wave"/>
                    </w:rPr>
                  </w:pPr>
                  <w:r>
                    <w:rPr>
                      <w:color w:val="000000"/>
                      <w:kern w:val="0"/>
                      <w:szCs w:val="21"/>
                      <w:u w:val="wave"/>
                    </w:rPr>
                    <w:t>破碎机</w:t>
                  </w:r>
                </w:p>
              </w:tc>
              <w:tc>
                <w:tcPr>
                  <w:tcW w:w="835" w:type="pct"/>
                  <w:vAlign w:val="center"/>
                </w:tcPr>
                <w:p w14:paraId="3B897728">
                  <w:pPr>
                    <w:widowControl/>
                    <w:jc w:val="center"/>
                    <w:rPr>
                      <w:color w:val="000000"/>
                      <w:kern w:val="0"/>
                      <w:szCs w:val="21"/>
                      <w:u w:val="wave"/>
                    </w:rPr>
                  </w:pPr>
                </w:p>
              </w:tc>
              <w:tc>
                <w:tcPr>
                  <w:tcW w:w="835" w:type="pct"/>
                  <w:vAlign w:val="center"/>
                </w:tcPr>
                <w:p w14:paraId="35F70C42">
                  <w:pPr>
                    <w:widowControl/>
                    <w:jc w:val="center"/>
                    <w:rPr>
                      <w:color w:val="000000"/>
                      <w:kern w:val="0"/>
                      <w:szCs w:val="21"/>
                      <w:u w:val="wave"/>
                    </w:rPr>
                  </w:pPr>
                  <w:r>
                    <w:rPr>
                      <w:rFonts w:hint="eastAsia"/>
                      <w:color w:val="000000"/>
                      <w:kern w:val="0"/>
                      <w:szCs w:val="21"/>
                      <w:u w:val="wave"/>
                    </w:rPr>
                    <w:t>1</w:t>
                  </w:r>
                  <w:r>
                    <w:rPr>
                      <w:color w:val="000000"/>
                      <w:kern w:val="0"/>
                      <w:szCs w:val="21"/>
                      <w:u w:val="wave"/>
                    </w:rPr>
                    <w:t>台</w:t>
                  </w:r>
                </w:p>
              </w:tc>
              <w:tc>
                <w:tcPr>
                  <w:tcW w:w="1691" w:type="pct"/>
                  <w:vAlign w:val="center"/>
                </w:tcPr>
                <w:p w14:paraId="418F01C8">
                  <w:pPr>
                    <w:widowControl/>
                    <w:jc w:val="center"/>
                    <w:rPr>
                      <w:color w:val="000000"/>
                      <w:kern w:val="0"/>
                      <w:szCs w:val="21"/>
                      <w:u w:val="wave"/>
                    </w:rPr>
                  </w:pPr>
                </w:p>
              </w:tc>
            </w:tr>
            <w:tr w14:paraId="36EEF0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33C2E595">
                  <w:pPr>
                    <w:adjustRightInd w:val="0"/>
                    <w:snapToGrid w:val="0"/>
                    <w:jc w:val="center"/>
                    <w:rPr>
                      <w:szCs w:val="21"/>
                      <w:u w:val="wave"/>
                    </w:rPr>
                  </w:pPr>
                  <w:r>
                    <w:rPr>
                      <w:szCs w:val="21"/>
                      <w:u w:val="wave"/>
                    </w:rPr>
                    <w:t>4</w:t>
                  </w:r>
                </w:p>
              </w:tc>
              <w:tc>
                <w:tcPr>
                  <w:tcW w:w="942" w:type="pct"/>
                  <w:vAlign w:val="center"/>
                </w:tcPr>
                <w:p w14:paraId="30DF47A0">
                  <w:pPr>
                    <w:widowControl/>
                    <w:jc w:val="center"/>
                    <w:rPr>
                      <w:color w:val="000000"/>
                      <w:kern w:val="0"/>
                      <w:szCs w:val="21"/>
                      <w:u w:val="wave"/>
                    </w:rPr>
                  </w:pPr>
                  <w:r>
                    <w:rPr>
                      <w:color w:val="000000"/>
                      <w:kern w:val="0"/>
                      <w:szCs w:val="21"/>
                      <w:u w:val="wave"/>
                    </w:rPr>
                    <w:t>电动叉车</w:t>
                  </w:r>
                </w:p>
              </w:tc>
              <w:tc>
                <w:tcPr>
                  <w:tcW w:w="835" w:type="pct"/>
                  <w:vAlign w:val="center"/>
                </w:tcPr>
                <w:p w14:paraId="3EA31334">
                  <w:pPr>
                    <w:widowControl/>
                    <w:jc w:val="center"/>
                    <w:rPr>
                      <w:color w:val="000000"/>
                      <w:kern w:val="0"/>
                      <w:szCs w:val="21"/>
                      <w:u w:val="wave"/>
                    </w:rPr>
                  </w:pPr>
                </w:p>
              </w:tc>
              <w:tc>
                <w:tcPr>
                  <w:tcW w:w="835" w:type="pct"/>
                  <w:vAlign w:val="center"/>
                </w:tcPr>
                <w:p w14:paraId="750CE223">
                  <w:pPr>
                    <w:widowControl/>
                    <w:jc w:val="center"/>
                    <w:rPr>
                      <w:color w:val="000000"/>
                      <w:kern w:val="0"/>
                      <w:szCs w:val="21"/>
                      <w:u w:val="wave"/>
                    </w:rPr>
                  </w:pPr>
                  <w:r>
                    <w:rPr>
                      <w:color w:val="000000"/>
                      <w:kern w:val="0"/>
                      <w:szCs w:val="21"/>
                      <w:u w:val="wave"/>
                    </w:rPr>
                    <w:t>1台</w:t>
                  </w:r>
                </w:p>
              </w:tc>
              <w:tc>
                <w:tcPr>
                  <w:tcW w:w="1691" w:type="pct"/>
                  <w:vMerge w:val="restart"/>
                  <w:vAlign w:val="center"/>
                </w:tcPr>
                <w:p w14:paraId="4D2855F2">
                  <w:pPr>
                    <w:widowControl/>
                    <w:jc w:val="center"/>
                    <w:rPr>
                      <w:color w:val="000000"/>
                      <w:kern w:val="0"/>
                      <w:szCs w:val="21"/>
                      <w:u w:val="wave"/>
                    </w:rPr>
                  </w:pPr>
                </w:p>
              </w:tc>
            </w:tr>
            <w:tr w14:paraId="613C5B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31144C7D">
                  <w:pPr>
                    <w:adjustRightInd w:val="0"/>
                    <w:snapToGrid w:val="0"/>
                    <w:jc w:val="center"/>
                    <w:rPr>
                      <w:szCs w:val="21"/>
                      <w:u w:val="wave"/>
                    </w:rPr>
                  </w:pPr>
                  <w:r>
                    <w:rPr>
                      <w:szCs w:val="21"/>
                      <w:u w:val="wave"/>
                    </w:rPr>
                    <w:t>5</w:t>
                  </w:r>
                </w:p>
              </w:tc>
              <w:tc>
                <w:tcPr>
                  <w:tcW w:w="942" w:type="pct"/>
                  <w:vAlign w:val="center"/>
                </w:tcPr>
                <w:p w14:paraId="16F979B6">
                  <w:pPr>
                    <w:widowControl/>
                    <w:jc w:val="center"/>
                    <w:rPr>
                      <w:color w:val="000000"/>
                      <w:kern w:val="0"/>
                      <w:szCs w:val="21"/>
                      <w:u w:val="wave"/>
                    </w:rPr>
                  </w:pPr>
                  <w:r>
                    <w:rPr>
                      <w:color w:val="000000"/>
                      <w:kern w:val="0"/>
                      <w:szCs w:val="21"/>
                      <w:u w:val="wave"/>
                    </w:rPr>
                    <w:t>电动铲车</w:t>
                  </w:r>
                </w:p>
              </w:tc>
              <w:tc>
                <w:tcPr>
                  <w:tcW w:w="835" w:type="pct"/>
                  <w:vAlign w:val="center"/>
                </w:tcPr>
                <w:p w14:paraId="0EB381C0">
                  <w:pPr>
                    <w:widowControl/>
                    <w:jc w:val="center"/>
                    <w:rPr>
                      <w:color w:val="000000"/>
                      <w:kern w:val="0"/>
                      <w:szCs w:val="21"/>
                      <w:u w:val="wave"/>
                    </w:rPr>
                  </w:pPr>
                </w:p>
              </w:tc>
              <w:tc>
                <w:tcPr>
                  <w:tcW w:w="835" w:type="pct"/>
                  <w:vAlign w:val="center"/>
                </w:tcPr>
                <w:p w14:paraId="56666354">
                  <w:pPr>
                    <w:widowControl/>
                    <w:jc w:val="center"/>
                    <w:rPr>
                      <w:color w:val="000000"/>
                      <w:kern w:val="0"/>
                      <w:szCs w:val="21"/>
                      <w:u w:val="wave"/>
                    </w:rPr>
                  </w:pPr>
                  <w:r>
                    <w:rPr>
                      <w:color w:val="000000"/>
                      <w:kern w:val="0"/>
                      <w:szCs w:val="21"/>
                      <w:u w:val="wave"/>
                    </w:rPr>
                    <w:t>1台</w:t>
                  </w:r>
                </w:p>
              </w:tc>
              <w:tc>
                <w:tcPr>
                  <w:tcW w:w="1691" w:type="pct"/>
                  <w:vMerge w:val="continue"/>
                  <w:vAlign w:val="center"/>
                </w:tcPr>
                <w:p w14:paraId="132E9604">
                  <w:pPr>
                    <w:widowControl/>
                    <w:jc w:val="center"/>
                    <w:rPr>
                      <w:color w:val="000000"/>
                      <w:kern w:val="0"/>
                      <w:szCs w:val="21"/>
                      <w:u w:val="wave"/>
                    </w:rPr>
                  </w:pPr>
                </w:p>
              </w:tc>
            </w:tr>
            <w:tr w14:paraId="25DC6B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Align w:val="center"/>
                </w:tcPr>
                <w:p w14:paraId="331F7788">
                  <w:pPr>
                    <w:adjustRightInd w:val="0"/>
                    <w:snapToGrid w:val="0"/>
                    <w:jc w:val="center"/>
                    <w:rPr>
                      <w:szCs w:val="21"/>
                      <w:u w:val="wave"/>
                    </w:rPr>
                  </w:pPr>
                  <w:r>
                    <w:rPr>
                      <w:szCs w:val="21"/>
                      <w:u w:val="wave"/>
                    </w:rPr>
                    <w:t>6</w:t>
                  </w:r>
                </w:p>
              </w:tc>
              <w:tc>
                <w:tcPr>
                  <w:tcW w:w="942" w:type="pct"/>
                  <w:vAlign w:val="center"/>
                </w:tcPr>
                <w:p w14:paraId="19C45447">
                  <w:pPr>
                    <w:widowControl/>
                    <w:jc w:val="center"/>
                    <w:rPr>
                      <w:color w:val="000000"/>
                      <w:kern w:val="0"/>
                      <w:szCs w:val="21"/>
                      <w:u w:val="wave"/>
                    </w:rPr>
                  </w:pPr>
                  <w:r>
                    <w:rPr>
                      <w:rFonts w:hint="eastAsia"/>
                      <w:color w:val="000000"/>
                      <w:kern w:val="0"/>
                      <w:szCs w:val="21"/>
                      <w:u w:val="wave"/>
                    </w:rPr>
                    <w:t>阀口袋自动计量包装机</w:t>
                  </w:r>
                </w:p>
              </w:tc>
              <w:tc>
                <w:tcPr>
                  <w:tcW w:w="835" w:type="pct"/>
                  <w:vAlign w:val="center"/>
                </w:tcPr>
                <w:p w14:paraId="15F54E4A">
                  <w:pPr>
                    <w:widowControl/>
                    <w:jc w:val="center"/>
                    <w:rPr>
                      <w:color w:val="000000"/>
                      <w:kern w:val="0"/>
                      <w:szCs w:val="21"/>
                      <w:u w:val="wave"/>
                    </w:rPr>
                  </w:pPr>
                </w:p>
              </w:tc>
              <w:tc>
                <w:tcPr>
                  <w:tcW w:w="835" w:type="pct"/>
                  <w:vAlign w:val="center"/>
                </w:tcPr>
                <w:p w14:paraId="53685F9D">
                  <w:pPr>
                    <w:widowControl/>
                    <w:jc w:val="center"/>
                    <w:rPr>
                      <w:color w:val="000000"/>
                      <w:kern w:val="0"/>
                      <w:szCs w:val="21"/>
                      <w:u w:val="wave"/>
                    </w:rPr>
                  </w:pPr>
                  <w:r>
                    <w:rPr>
                      <w:color w:val="000000"/>
                      <w:kern w:val="0"/>
                      <w:szCs w:val="21"/>
                      <w:u w:val="wave"/>
                    </w:rPr>
                    <w:t>3套</w:t>
                  </w:r>
                </w:p>
              </w:tc>
              <w:tc>
                <w:tcPr>
                  <w:tcW w:w="1691" w:type="pct"/>
                  <w:vAlign w:val="center"/>
                </w:tcPr>
                <w:p w14:paraId="68356102">
                  <w:pPr>
                    <w:widowControl/>
                    <w:jc w:val="center"/>
                    <w:rPr>
                      <w:color w:val="000000"/>
                      <w:kern w:val="0"/>
                      <w:szCs w:val="21"/>
                      <w:u w:val="wave"/>
                    </w:rPr>
                  </w:pPr>
                </w:p>
              </w:tc>
            </w:tr>
            <w:tr w14:paraId="1AD7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Merge w:val="restart"/>
                  <w:vAlign w:val="center"/>
                </w:tcPr>
                <w:p w14:paraId="1CFB81E4">
                  <w:pPr>
                    <w:adjustRightInd w:val="0"/>
                    <w:snapToGrid w:val="0"/>
                    <w:jc w:val="center"/>
                    <w:rPr>
                      <w:szCs w:val="21"/>
                      <w:u w:val="wave"/>
                    </w:rPr>
                  </w:pPr>
                  <w:r>
                    <w:rPr>
                      <w:szCs w:val="21"/>
                      <w:u w:val="wave"/>
                    </w:rPr>
                    <w:t>7</w:t>
                  </w:r>
                </w:p>
              </w:tc>
              <w:tc>
                <w:tcPr>
                  <w:tcW w:w="942" w:type="pct"/>
                  <w:vMerge w:val="restart"/>
                  <w:vAlign w:val="center"/>
                </w:tcPr>
                <w:p w14:paraId="0766571E">
                  <w:pPr>
                    <w:widowControl/>
                    <w:jc w:val="center"/>
                    <w:rPr>
                      <w:color w:val="000000"/>
                      <w:kern w:val="0"/>
                      <w:szCs w:val="21"/>
                      <w:u w:val="wave"/>
                    </w:rPr>
                  </w:pPr>
                  <w:r>
                    <w:rPr>
                      <w:rFonts w:hint="eastAsia"/>
                      <w:color w:val="000000"/>
                      <w:kern w:val="0"/>
                      <w:szCs w:val="21"/>
                      <w:u w:val="wave"/>
                    </w:rPr>
                    <w:t>成品筒仓</w:t>
                  </w:r>
                </w:p>
              </w:tc>
              <w:tc>
                <w:tcPr>
                  <w:tcW w:w="835" w:type="pct"/>
                  <w:vAlign w:val="center"/>
                </w:tcPr>
                <w:p w14:paraId="55621B13">
                  <w:pPr>
                    <w:widowControl/>
                    <w:jc w:val="center"/>
                    <w:rPr>
                      <w:color w:val="000000"/>
                      <w:kern w:val="0"/>
                      <w:szCs w:val="21"/>
                      <w:u w:val="wave"/>
                    </w:rPr>
                  </w:pPr>
                  <w:r>
                    <w:rPr>
                      <w:color w:val="000000"/>
                      <w:kern w:val="0"/>
                      <w:szCs w:val="21"/>
                      <w:u w:val="wave"/>
                    </w:rPr>
                    <w:t>23m</w:t>
                  </w:r>
                  <w:r>
                    <w:rPr>
                      <w:color w:val="000000"/>
                      <w:kern w:val="0"/>
                      <w:szCs w:val="21"/>
                      <w:u w:val="wave"/>
                      <w:vertAlign w:val="superscript"/>
                    </w:rPr>
                    <w:t>3</w:t>
                  </w:r>
                </w:p>
              </w:tc>
              <w:tc>
                <w:tcPr>
                  <w:tcW w:w="835" w:type="pct"/>
                  <w:vAlign w:val="center"/>
                </w:tcPr>
                <w:p w14:paraId="7D4A48EC">
                  <w:pPr>
                    <w:jc w:val="center"/>
                    <w:rPr>
                      <w:color w:val="000000"/>
                      <w:kern w:val="0"/>
                      <w:szCs w:val="21"/>
                      <w:u w:val="wave"/>
                    </w:rPr>
                  </w:pPr>
                  <w:r>
                    <w:rPr>
                      <w:color w:val="000000"/>
                      <w:kern w:val="0"/>
                      <w:szCs w:val="21"/>
                      <w:u w:val="wave"/>
                    </w:rPr>
                    <w:t>1个</w:t>
                  </w:r>
                </w:p>
              </w:tc>
              <w:tc>
                <w:tcPr>
                  <w:tcW w:w="1691" w:type="pct"/>
                  <w:vAlign w:val="center"/>
                </w:tcPr>
                <w:p w14:paraId="538E1284">
                  <w:pPr>
                    <w:widowControl/>
                    <w:jc w:val="center"/>
                    <w:rPr>
                      <w:color w:val="000000"/>
                      <w:kern w:val="0"/>
                      <w:szCs w:val="21"/>
                      <w:u w:val="wave"/>
                    </w:rPr>
                  </w:pPr>
                </w:p>
              </w:tc>
            </w:tr>
            <w:tr w14:paraId="0DC8D4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97" w:type="pct"/>
                  <w:vMerge w:val="continue"/>
                  <w:vAlign w:val="center"/>
                </w:tcPr>
                <w:p w14:paraId="0FA8F916">
                  <w:pPr>
                    <w:adjustRightInd w:val="0"/>
                    <w:snapToGrid w:val="0"/>
                    <w:jc w:val="center"/>
                    <w:rPr>
                      <w:szCs w:val="21"/>
                      <w:u w:val="wave"/>
                    </w:rPr>
                  </w:pPr>
                </w:p>
              </w:tc>
              <w:tc>
                <w:tcPr>
                  <w:tcW w:w="942" w:type="pct"/>
                  <w:vMerge w:val="continue"/>
                  <w:vAlign w:val="center"/>
                </w:tcPr>
                <w:p w14:paraId="2B34D37F">
                  <w:pPr>
                    <w:widowControl/>
                    <w:jc w:val="center"/>
                    <w:rPr>
                      <w:color w:val="000000"/>
                      <w:kern w:val="0"/>
                      <w:szCs w:val="21"/>
                      <w:u w:val="wave"/>
                    </w:rPr>
                  </w:pPr>
                </w:p>
              </w:tc>
              <w:tc>
                <w:tcPr>
                  <w:tcW w:w="835" w:type="pct"/>
                  <w:vAlign w:val="center"/>
                </w:tcPr>
                <w:p w14:paraId="5416C983">
                  <w:pPr>
                    <w:widowControl/>
                    <w:jc w:val="center"/>
                    <w:rPr>
                      <w:color w:val="000000"/>
                      <w:kern w:val="0"/>
                      <w:szCs w:val="21"/>
                      <w:u w:val="wave"/>
                    </w:rPr>
                  </w:pPr>
                  <w:r>
                    <w:rPr>
                      <w:color w:val="000000"/>
                      <w:kern w:val="0"/>
                      <w:szCs w:val="21"/>
                      <w:u w:val="wave"/>
                    </w:rPr>
                    <w:t>14m</w:t>
                  </w:r>
                  <w:r>
                    <w:rPr>
                      <w:color w:val="000000"/>
                      <w:kern w:val="0"/>
                      <w:szCs w:val="21"/>
                      <w:u w:val="wave"/>
                      <w:vertAlign w:val="superscript"/>
                    </w:rPr>
                    <w:t>3</w:t>
                  </w:r>
                </w:p>
              </w:tc>
              <w:tc>
                <w:tcPr>
                  <w:tcW w:w="835" w:type="pct"/>
                  <w:vAlign w:val="center"/>
                </w:tcPr>
                <w:p w14:paraId="73671DDF">
                  <w:pPr>
                    <w:jc w:val="center"/>
                    <w:rPr>
                      <w:color w:val="000000"/>
                      <w:kern w:val="0"/>
                      <w:szCs w:val="21"/>
                      <w:u w:val="wave"/>
                    </w:rPr>
                  </w:pPr>
                  <w:r>
                    <w:rPr>
                      <w:color w:val="000000"/>
                      <w:kern w:val="0"/>
                      <w:szCs w:val="21"/>
                      <w:u w:val="wave"/>
                    </w:rPr>
                    <w:t>2个</w:t>
                  </w:r>
                </w:p>
              </w:tc>
              <w:tc>
                <w:tcPr>
                  <w:tcW w:w="1691" w:type="pct"/>
                  <w:vAlign w:val="center"/>
                </w:tcPr>
                <w:p w14:paraId="6A921EBD">
                  <w:pPr>
                    <w:widowControl/>
                    <w:jc w:val="center"/>
                    <w:rPr>
                      <w:color w:val="000000"/>
                      <w:kern w:val="0"/>
                      <w:szCs w:val="21"/>
                      <w:u w:val="wave"/>
                    </w:rPr>
                  </w:pPr>
                </w:p>
              </w:tc>
            </w:tr>
          </w:tbl>
          <w:p w14:paraId="7B331A54">
            <w:pPr>
              <w:adjustRightInd w:val="0"/>
              <w:snapToGrid w:val="0"/>
              <w:spacing w:line="360" w:lineRule="auto"/>
              <w:ind w:firstLine="480" w:firstLineChars="200"/>
              <w:rPr>
                <w:sz w:val="24"/>
              </w:rPr>
            </w:pPr>
            <w:r>
              <w:rPr>
                <w:sz w:val="24"/>
              </w:rPr>
              <w:t>经查阅《产业结构调整指导目录（2024年本）》、《高耗能落后机电设备（产品）淘汰目录（全四批）》可知，项目选用生产设备均不在淘汰之列。环评要求设备应严格对照《产业结构调整指导目录（2024年本）》及《高耗能落后机电设备（产品）淘汰目录（全四批）》，选用符合产业政策设备，严禁使用淘汰落后设备。</w:t>
            </w:r>
          </w:p>
          <w:p w14:paraId="3AF68EE2">
            <w:pPr>
              <w:adjustRightInd w:val="0"/>
              <w:snapToGrid w:val="0"/>
              <w:spacing w:line="360" w:lineRule="auto"/>
              <w:ind w:firstLine="482" w:firstLineChars="200"/>
              <w:rPr>
                <w:b/>
                <w:bCs/>
                <w:sz w:val="24"/>
              </w:rPr>
            </w:pPr>
            <w:r>
              <w:rPr>
                <w:rFonts w:hint="eastAsia"/>
                <w:b/>
                <w:bCs/>
                <w:sz w:val="24"/>
              </w:rPr>
              <w:t>产能校核：</w:t>
            </w:r>
            <w:r>
              <w:rPr>
                <w:sz w:val="24"/>
              </w:rPr>
              <w:t>设备在一般生产压力情况下，</w:t>
            </w:r>
            <w:r>
              <w:rPr>
                <w:rFonts w:hint="eastAsia"/>
                <w:sz w:val="24"/>
              </w:rPr>
              <w:t>环辊磨</w:t>
            </w:r>
            <w:r>
              <w:rPr>
                <w:sz w:val="24"/>
              </w:rPr>
              <w:t>产能约</w:t>
            </w:r>
            <w:r>
              <w:rPr>
                <w:rFonts w:hint="eastAsia"/>
                <w:sz w:val="24"/>
              </w:rPr>
              <w:t>4</w:t>
            </w:r>
            <w:r>
              <w:rPr>
                <w:sz w:val="24"/>
              </w:rPr>
              <w:t>t/h，</w:t>
            </w:r>
            <w:r>
              <w:rPr>
                <w:rFonts w:hint="eastAsia"/>
                <w:sz w:val="24"/>
              </w:rPr>
              <w:t>雷蒙磨</w:t>
            </w:r>
            <w:r>
              <w:rPr>
                <w:sz w:val="24"/>
              </w:rPr>
              <w:t>产能约</w:t>
            </w:r>
            <w:r>
              <w:rPr>
                <w:rFonts w:hint="eastAsia"/>
                <w:sz w:val="24"/>
              </w:rPr>
              <w:t>10</w:t>
            </w:r>
            <w:r>
              <w:rPr>
                <w:sz w:val="24"/>
              </w:rPr>
              <w:t>t/h，</w:t>
            </w:r>
            <w:r>
              <w:rPr>
                <w:rFonts w:hint="eastAsia"/>
                <w:sz w:val="24"/>
              </w:rPr>
              <w:t>项目有环辊磨2台、雷蒙磨1台</w:t>
            </w:r>
            <w:r>
              <w:rPr>
                <w:sz w:val="24"/>
              </w:rPr>
              <w:t>，年工作</w:t>
            </w:r>
            <w:r>
              <w:rPr>
                <w:rFonts w:hint="eastAsia"/>
                <w:sz w:val="24"/>
              </w:rPr>
              <w:t>24</w:t>
            </w:r>
            <w:r>
              <w:rPr>
                <w:sz w:val="24"/>
              </w:rPr>
              <w:t>00h，可以生产</w:t>
            </w:r>
            <w:r>
              <w:rPr>
                <w:rFonts w:hint="eastAsia"/>
                <w:sz w:val="24"/>
              </w:rPr>
              <w:t>43200</w:t>
            </w:r>
            <w:r>
              <w:rPr>
                <w:sz w:val="24"/>
              </w:rPr>
              <w:t>t产品，生产规模定为年产钡粉</w:t>
            </w:r>
            <w:r>
              <w:rPr>
                <w:rFonts w:hint="eastAsia"/>
                <w:sz w:val="24"/>
              </w:rPr>
              <w:t>40000</w:t>
            </w:r>
            <w:r>
              <w:rPr>
                <w:sz w:val="24"/>
              </w:rPr>
              <w:t>t。该套生产设备能够满足企业生产的需求。</w:t>
            </w:r>
          </w:p>
          <w:p w14:paraId="026BC0C9">
            <w:pPr>
              <w:adjustRightInd w:val="0"/>
              <w:snapToGrid w:val="0"/>
              <w:spacing w:line="360" w:lineRule="auto"/>
              <w:ind w:firstLine="482" w:firstLineChars="200"/>
              <w:rPr>
                <w:b/>
                <w:bCs/>
                <w:sz w:val="24"/>
              </w:rPr>
            </w:pPr>
            <w:r>
              <w:rPr>
                <w:rFonts w:hint="eastAsia"/>
                <w:b/>
                <w:bCs/>
                <w:sz w:val="24"/>
              </w:rPr>
              <w:t>4、原辅材料</w:t>
            </w:r>
          </w:p>
          <w:p w14:paraId="0D09D7D1">
            <w:pPr>
              <w:pStyle w:val="140"/>
              <w:ind w:firstLine="480"/>
              <w:rPr>
                <w:rFonts w:cs="Times New Roman"/>
                <w:bCs w:val="0"/>
                <w:kern w:val="2"/>
                <w:szCs w:val="24"/>
                <w:u w:val="wave"/>
              </w:rPr>
            </w:pPr>
            <w:r>
              <w:rPr>
                <w:rFonts w:hint="eastAsia" w:cs="Times New Roman"/>
                <w:bCs w:val="0"/>
                <w:kern w:val="2"/>
                <w:szCs w:val="24"/>
                <w:u w:val="wave"/>
              </w:rPr>
              <w:t>本项目设计外购重晶石有两种：一种是经上游公司破碎成型的，满足粒径小于50mm，直接用于研磨；另一部分是极优质重晶石，主要作为配料使用，这类矿石约50%粒度大于50mm，需要在厂内进行破碎加工后再进行研磨。根据企业提供的原料供应方案，拟破碎的原料为0.4万吨/年。本项目主要原辅材料情况见下表。</w:t>
            </w:r>
          </w:p>
          <w:p w14:paraId="12D79106">
            <w:pPr>
              <w:autoSpaceDE w:val="0"/>
              <w:autoSpaceDN w:val="0"/>
              <w:adjustRightInd w:val="0"/>
              <w:spacing w:before="120" w:beforeLines="50"/>
              <w:jc w:val="center"/>
              <w:rPr>
                <w:b/>
                <w:kern w:val="0"/>
                <w:szCs w:val="21"/>
                <w:u w:val="wave"/>
              </w:rPr>
            </w:pPr>
            <w:r>
              <w:rPr>
                <w:b/>
                <w:kern w:val="0"/>
                <w:szCs w:val="21"/>
                <w:u w:val="wave"/>
              </w:rPr>
              <w:t>表</w:t>
            </w:r>
            <w:r>
              <w:rPr>
                <w:rFonts w:hint="eastAsia"/>
                <w:b/>
                <w:kern w:val="0"/>
                <w:szCs w:val="21"/>
                <w:u w:val="wave"/>
              </w:rPr>
              <w:t xml:space="preserve">2-5  </w:t>
            </w:r>
            <w:r>
              <w:rPr>
                <w:b/>
                <w:kern w:val="0"/>
                <w:szCs w:val="21"/>
                <w:u w:val="wave"/>
              </w:rPr>
              <w:t>本项目原辅材料</w:t>
            </w:r>
            <w:r>
              <w:rPr>
                <w:rFonts w:hint="eastAsia"/>
                <w:b/>
                <w:kern w:val="0"/>
                <w:szCs w:val="21"/>
                <w:u w:val="wave"/>
              </w:rPr>
              <w:t>及能耗</w:t>
            </w:r>
            <w:r>
              <w:rPr>
                <w:b/>
                <w:kern w:val="0"/>
                <w:szCs w:val="21"/>
                <w:u w:val="wave"/>
              </w:rPr>
              <w:t>一览表</w:t>
            </w:r>
          </w:p>
          <w:tbl>
            <w:tblPr>
              <w:tblStyle w:val="13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35"/>
              <w:gridCol w:w="1482"/>
              <w:gridCol w:w="993"/>
              <w:gridCol w:w="746"/>
              <w:gridCol w:w="2315"/>
              <w:gridCol w:w="2505"/>
            </w:tblGrid>
            <w:tr w14:paraId="38B181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Align w:val="center"/>
                </w:tcPr>
                <w:p w14:paraId="5F0CDCFC">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类型</w:t>
                  </w:r>
                </w:p>
              </w:tc>
              <w:tc>
                <w:tcPr>
                  <w:tcW w:w="799" w:type="pct"/>
                  <w:vAlign w:val="center"/>
                </w:tcPr>
                <w:p w14:paraId="27731797">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名称</w:t>
                  </w:r>
                </w:p>
              </w:tc>
              <w:tc>
                <w:tcPr>
                  <w:tcW w:w="535" w:type="pct"/>
                  <w:vAlign w:val="center"/>
                </w:tcPr>
                <w:p w14:paraId="01B5C2A1">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年用量</w:t>
                  </w:r>
                </w:p>
              </w:tc>
              <w:tc>
                <w:tcPr>
                  <w:tcW w:w="402" w:type="pct"/>
                  <w:vAlign w:val="center"/>
                </w:tcPr>
                <w:p w14:paraId="568F06E7">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单位</w:t>
                  </w:r>
                </w:p>
              </w:tc>
              <w:tc>
                <w:tcPr>
                  <w:tcW w:w="1248" w:type="pct"/>
                  <w:vAlign w:val="center"/>
                </w:tcPr>
                <w:p w14:paraId="3D113615">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规格</w:t>
                  </w:r>
                </w:p>
              </w:tc>
              <w:tc>
                <w:tcPr>
                  <w:tcW w:w="1350" w:type="pct"/>
                  <w:vAlign w:val="center"/>
                </w:tcPr>
                <w:p w14:paraId="711E740A">
                  <w:pPr>
                    <w:wordWrap/>
                    <w:adjustRightInd w:val="0"/>
                    <w:snapToGrid w:val="0"/>
                    <w:rPr>
                      <w:rFonts w:ascii="Times New Roman" w:hAnsi="Times New Roman" w:eastAsia="宋体"/>
                      <w:b/>
                      <w:i w:val="0"/>
                      <w:szCs w:val="21"/>
                      <w:u w:val="wave"/>
                    </w:rPr>
                  </w:pPr>
                  <w:r>
                    <w:rPr>
                      <w:rFonts w:hint="eastAsia" w:ascii="Times New Roman" w:hAnsi="Times New Roman" w:eastAsia="宋体"/>
                      <w:b/>
                      <w:i w:val="0"/>
                      <w:szCs w:val="21"/>
                      <w:u w:val="wave"/>
                    </w:rPr>
                    <w:t>来源</w:t>
                  </w:r>
                </w:p>
              </w:tc>
            </w:tr>
            <w:tr w14:paraId="71AB7B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6E20E4E0">
                  <w:pPr>
                    <w:adjustRightInd w:val="0"/>
                    <w:snapToGrid w:val="0"/>
                    <w:rPr>
                      <w:szCs w:val="21"/>
                      <w:u w:val="wave"/>
                    </w:rPr>
                  </w:pPr>
                  <w:r>
                    <w:rPr>
                      <w:rFonts w:hint="eastAsia"/>
                      <w:szCs w:val="21"/>
                      <w:u w:val="wave"/>
                    </w:rPr>
                    <w:t>原辅材料</w:t>
                  </w:r>
                </w:p>
              </w:tc>
              <w:tc>
                <w:tcPr>
                  <w:tcW w:w="799" w:type="pct"/>
                  <w:vAlign w:val="center"/>
                </w:tcPr>
                <w:p w14:paraId="02B69401">
                  <w:pPr>
                    <w:adjustRightInd w:val="0"/>
                    <w:snapToGrid w:val="0"/>
                    <w:rPr>
                      <w:szCs w:val="21"/>
                      <w:u w:val="wave"/>
                    </w:rPr>
                  </w:pPr>
                  <w:r>
                    <w:rPr>
                      <w:rFonts w:hint="eastAsia"/>
                      <w:szCs w:val="21"/>
                      <w:u w:val="wave"/>
                    </w:rPr>
                    <w:t>重晶石矿粉</w:t>
                  </w:r>
                </w:p>
              </w:tc>
              <w:tc>
                <w:tcPr>
                  <w:tcW w:w="535" w:type="pct"/>
                  <w:vAlign w:val="center"/>
                </w:tcPr>
                <w:p w14:paraId="0C85E0AD">
                  <w:pPr>
                    <w:adjustRightInd w:val="0"/>
                    <w:snapToGrid w:val="0"/>
                    <w:rPr>
                      <w:szCs w:val="21"/>
                      <w:u w:val="wave"/>
                    </w:rPr>
                  </w:pPr>
                  <w:r>
                    <w:rPr>
                      <w:rFonts w:hint="eastAsia"/>
                      <w:szCs w:val="21"/>
                      <w:u w:val="wave"/>
                    </w:rPr>
                    <w:t>36000</w:t>
                  </w:r>
                </w:p>
              </w:tc>
              <w:tc>
                <w:tcPr>
                  <w:tcW w:w="402" w:type="pct"/>
                  <w:vAlign w:val="center"/>
                </w:tcPr>
                <w:p w14:paraId="2F0B43EF">
                  <w:pPr>
                    <w:adjustRightInd w:val="0"/>
                    <w:snapToGrid w:val="0"/>
                    <w:rPr>
                      <w:szCs w:val="21"/>
                      <w:u w:val="wave"/>
                    </w:rPr>
                  </w:pPr>
                  <w:r>
                    <w:rPr>
                      <w:rFonts w:hint="eastAsia"/>
                      <w:szCs w:val="21"/>
                      <w:u w:val="wave"/>
                    </w:rPr>
                    <w:t>t</w:t>
                  </w:r>
                </w:p>
              </w:tc>
              <w:tc>
                <w:tcPr>
                  <w:tcW w:w="1248" w:type="pct"/>
                  <w:vAlign w:val="center"/>
                </w:tcPr>
                <w:p w14:paraId="01E7F075">
                  <w:pPr>
                    <w:adjustRightInd w:val="0"/>
                    <w:snapToGrid w:val="0"/>
                    <w:rPr>
                      <w:szCs w:val="21"/>
                      <w:u w:val="wave"/>
                    </w:rPr>
                  </w:pPr>
                  <w:r>
                    <w:rPr>
                      <w:rFonts w:hint="eastAsia"/>
                      <w:szCs w:val="21"/>
                      <w:u w:val="wave"/>
                    </w:rPr>
                    <w:t>＜50mm；含水率5%</w:t>
                  </w:r>
                </w:p>
              </w:tc>
              <w:tc>
                <w:tcPr>
                  <w:tcW w:w="1350" w:type="pct"/>
                  <w:vMerge w:val="restart"/>
                  <w:vAlign w:val="center"/>
                </w:tcPr>
                <w:p w14:paraId="53F77CE1">
                  <w:pPr>
                    <w:adjustRightInd w:val="0"/>
                    <w:snapToGrid w:val="0"/>
                    <w:rPr>
                      <w:szCs w:val="21"/>
                      <w:u w:val="wave"/>
                    </w:rPr>
                  </w:pPr>
                  <w:r>
                    <w:rPr>
                      <w:rFonts w:hint="eastAsia"/>
                      <w:szCs w:val="21"/>
                      <w:u w:val="wave"/>
                    </w:rPr>
                    <w:t>外购</w:t>
                  </w:r>
                </w:p>
              </w:tc>
            </w:tr>
            <w:tr w14:paraId="3A5726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3F834D52">
                  <w:pPr>
                    <w:adjustRightInd w:val="0"/>
                    <w:snapToGrid w:val="0"/>
                    <w:rPr>
                      <w:szCs w:val="21"/>
                      <w:u w:val="wave"/>
                    </w:rPr>
                  </w:pPr>
                </w:p>
              </w:tc>
              <w:tc>
                <w:tcPr>
                  <w:tcW w:w="799" w:type="pct"/>
                  <w:vAlign w:val="center"/>
                </w:tcPr>
                <w:p w14:paraId="7A264E04">
                  <w:pPr>
                    <w:adjustRightInd w:val="0"/>
                    <w:snapToGrid w:val="0"/>
                    <w:rPr>
                      <w:szCs w:val="21"/>
                      <w:u w:val="wave"/>
                    </w:rPr>
                  </w:pPr>
                  <w:r>
                    <w:rPr>
                      <w:rFonts w:hint="eastAsia"/>
                      <w:szCs w:val="21"/>
                      <w:u w:val="wave"/>
                    </w:rPr>
                    <w:t>重晶石矿粉</w:t>
                  </w:r>
                </w:p>
              </w:tc>
              <w:tc>
                <w:tcPr>
                  <w:tcW w:w="535" w:type="pct"/>
                  <w:vAlign w:val="center"/>
                </w:tcPr>
                <w:p w14:paraId="5B766091">
                  <w:pPr>
                    <w:adjustRightInd w:val="0"/>
                    <w:snapToGrid w:val="0"/>
                    <w:rPr>
                      <w:szCs w:val="21"/>
                      <w:u w:val="wave"/>
                    </w:rPr>
                  </w:pPr>
                  <w:r>
                    <w:rPr>
                      <w:rFonts w:hint="eastAsia"/>
                      <w:szCs w:val="21"/>
                      <w:u w:val="wave"/>
                    </w:rPr>
                    <w:t>4000</w:t>
                  </w:r>
                </w:p>
              </w:tc>
              <w:tc>
                <w:tcPr>
                  <w:tcW w:w="402" w:type="pct"/>
                  <w:vAlign w:val="center"/>
                </w:tcPr>
                <w:p w14:paraId="13078DA1">
                  <w:pPr>
                    <w:adjustRightInd w:val="0"/>
                    <w:snapToGrid w:val="0"/>
                    <w:rPr>
                      <w:szCs w:val="21"/>
                      <w:u w:val="wave"/>
                    </w:rPr>
                  </w:pPr>
                  <w:r>
                    <w:rPr>
                      <w:rFonts w:hint="eastAsia"/>
                      <w:szCs w:val="21"/>
                      <w:u w:val="wave"/>
                    </w:rPr>
                    <w:t>t</w:t>
                  </w:r>
                </w:p>
              </w:tc>
              <w:tc>
                <w:tcPr>
                  <w:tcW w:w="1248" w:type="pct"/>
                  <w:vAlign w:val="center"/>
                </w:tcPr>
                <w:p w14:paraId="2597A0C1">
                  <w:pPr>
                    <w:adjustRightInd w:val="0"/>
                    <w:snapToGrid w:val="0"/>
                    <w:rPr>
                      <w:szCs w:val="21"/>
                      <w:u w:val="wave"/>
                    </w:rPr>
                  </w:pPr>
                  <w:r>
                    <w:rPr>
                      <w:rFonts w:hint="eastAsia"/>
                      <w:szCs w:val="21"/>
                      <w:u w:val="wave"/>
                    </w:rPr>
                    <w:t>＞50mm；含水率5%</w:t>
                  </w:r>
                </w:p>
              </w:tc>
              <w:tc>
                <w:tcPr>
                  <w:tcW w:w="1350" w:type="pct"/>
                  <w:vMerge w:val="continue"/>
                  <w:vAlign w:val="center"/>
                </w:tcPr>
                <w:p w14:paraId="2A26F345">
                  <w:pPr>
                    <w:adjustRightInd w:val="0"/>
                    <w:snapToGrid w:val="0"/>
                    <w:rPr>
                      <w:szCs w:val="21"/>
                      <w:u w:val="wave"/>
                    </w:rPr>
                  </w:pPr>
                </w:p>
              </w:tc>
            </w:tr>
            <w:tr w14:paraId="51DAA3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13C0A5B8">
                  <w:pPr>
                    <w:adjustRightInd w:val="0"/>
                    <w:snapToGrid w:val="0"/>
                    <w:rPr>
                      <w:szCs w:val="21"/>
                      <w:u w:val="wave"/>
                    </w:rPr>
                  </w:pPr>
                </w:p>
              </w:tc>
              <w:tc>
                <w:tcPr>
                  <w:tcW w:w="799" w:type="pct"/>
                  <w:vAlign w:val="center"/>
                </w:tcPr>
                <w:p w14:paraId="521CB32C">
                  <w:pPr>
                    <w:adjustRightInd w:val="0"/>
                    <w:snapToGrid w:val="0"/>
                    <w:rPr>
                      <w:szCs w:val="21"/>
                      <w:u w:val="wave"/>
                    </w:rPr>
                  </w:pPr>
                  <w:r>
                    <w:rPr>
                      <w:rFonts w:hint="eastAsia"/>
                      <w:szCs w:val="21"/>
                      <w:u w:val="wave"/>
                    </w:rPr>
                    <w:t>润滑油</w:t>
                  </w:r>
                </w:p>
              </w:tc>
              <w:tc>
                <w:tcPr>
                  <w:tcW w:w="535" w:type="pct"/>
                  <w:vAlign w:val="center"/>
                </w:tcPr>
                <w:p w14:paraId="280B463F">
                  <w:pPr>
                    <w:adjustRightInd w:val="0"/>
                    <w:snapToGrid w:val="0"/>
                    <w:rPr>
                      <w:szCs w:val="21"/>
                      <w:u w:val="wave"/>
                    </w:rPr>
                  </w:pPr>
                  <w:r>
                    <w:rPr>
                      <w:szCs w:val="21"/>
                      <w:u w:val="wave"/>
                    </w:rPr>
                    <w:t>0.</w:t>
                  </w:r>
                  <w:r>
                    <w:rPr>
                      <w:rFonts w:hint="eastAsia"/>
                      <w:szCs w:val="21"/>
                      <w:u w:val="wave"/>
                    </w:rPr>
                    <w:t>3</w:t>
                  </w:r>
                </w:p>
              </w:tc>
              <w:tc>
                <w:tcPr>
                  <w:tcW w:w="402" w:type="pct"/>
                  <w:vAlign w:val="center"/>
                </w:tcPr>
                <w:p w14:paraId="7D0593C2">
                  <w:pPr>
                    <w:adjustRightInd w:val="0"/>
                    <w:snapToGrid w:val="0"/>
                    <w:rPr>
                      <w:szCs w:val="21"/>
                      <w:u w:val="wave"/>
                    </w:rPr>
                  </w:pPr>
                  <w:r>
                    <w:rPr>
                      <w:rFonts w:hint="eastAsia"/>
                      <w:szCs w:val="21"/>
                      <w:u w:val="wave"/>
                    </w:rPr>
                    <w:t>t</w:t>
                  </w:r>
                </w:p>
              </w:tc>
              <w:tc>
                <w:tcPr>
                  <w:tcW w:w="1248" w:type="pct"/>
                  <w:vAlign w:val="center"/>
                </w:tcPr>
                <w:p w14:paraId="017D2CCD">
                  <w:pPr>
                    <w:adjustRightInd w:val="0"/>
                    <w:snapToGrid w:val="0"/>
                    <w:rPr>
                      <w:szCs w:val="21"/>
                      <w:u w:val="wave"/>
                    </w:rPr>
                  </w:pPr>
                  <w:r>
                    <w:rPr>
                      <w:rFonts w:hint="eastAsia"/>
                      <w:szCs w:val="21"/>
                      <w:u w:val="wave"/>
                    </w:rPr>
                    <w:t>/</w:t>
                  </w:r>
                </w:p>
              </w:tc>
              <w:tc>
                <w:tcPr>
                  <w:tcW w:w="1350" w:type="pct"/>
                  <w:vAlign w:val="center"/>
                </w:tcPr>
                <w:p w14:paraId="3806FB1B">
                  <w:pPr>
                    <w:adjustRightInd w:val="0"/>
                    <w:snapToGrid w:val="0"/>
                    <w:rPr>
                      <w:szCs w:val="21"/>
                      <w:u w:val="wave"/>
                    </w:rPr>
                  </w:pPr>
                  <w:r>
                    <w:rPr>
                      <w:rFonts w:hint="eastAsia"/>
                      <w:szCs w:val="21"/>
                      <w:u w:val="wave"/>
                    </w:rPr>
                    <w:t>外购，现用现买，厂区内不暂存</w:t>
                  </w:r>
                </w:p>
              </w:tc>
            </w:tr>
            <w:tr w14:paraId="44D4EB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Merge w:val="restart"/>
                  <w:vAlign w:val="center"/>
                </w:tcPr>
                <w:p w14:paraId="3F7A9FCE">
                  <w:pPr>
                    <w:adjustRightInd w:val="0"/>
                    <w:snapToGrid w:val="0"/>
                    <w:rPr>
                      <w:szCs w:val="21"/>
                      <w:u w:val="wave"/>
                    </w:rPr>
                  </w:pPr>
                  <w:r>
                    <w:rPr>
                      <w:rFonts w:hint="eastAsia"/>
                      <w:szCs w:val="21"/>
                      <w:u w:val="wave"/>
                    </w:rPr>
                    <w:t>能源</w:t>
                  </w:r>
                </w:p>
              </w:tc>
              <w:tc>
                <w:tcPr>
                  <w:tcW w:w="799" w:type="pct"/>
                  <w:vAlign w:val="center"/>
                </w:tcPr>
                <w:p w14:paraId="4E6ABAED">
                  <w:pPr>
                    <w:adjustRightInd w:val="0"/>
                    <w:snapToGrid w:val="0"/>
                    <w:rPr>
                      <w:szCs w:val="21"/>
                      <w:u w:val="wave"/>
                    </w:rPr>
                  </w:pPr>
                  <w:r>
                    <w:rPr>
                      <w:rFonts w:hint="eastAsia"/>
                      <w:szCs w:val="21"/>
                      <w:u w:val="wave"/>
                    </w:rPr>
                    <w:t>电力</w:t>
                  </w:r>
                </w:p>
              </w:tc>
              <w:tc>
                <w:tcPr>
                  <w:tcW w:w="535" w:type="pct"/>
                  <w:vAlign w:val="center"/>
                </w:tcPr>
                <w:p w14:paraId="3CCD1DCF">
                  <w:pPr>
                    <w:adjustRightInd w:val="0"/>
                    <w:snapToGrid w:val="0"/>
                    <w:rPr>
                      <w:szCs w:val="21"/>
                      <w:u w:val="wave"/>
                    </w:rPr>
                  </w:pPr>
                  <w:r>
                    <w:rPr>
                      <w:rFonts w:hint="eastAsia"/>
                      <w:szCs w:val="21"/>
                      <w:u w:val="wave"/>
                    </w:rPr>
                    <w:t>60</w:t>
                  </w:r>
                </w:p>
              </w:tc>
              <w:tc>
                <w:tcPr>
                  <w:tcW w:w="402" w:type="pct"/>
                  <w:vAlign w:val="center"/>
                </w:tcPr>
                <w:p w14:paraId="34AC159C">
                  <w:pPr>
                    <w:adjustRightInd w:val="0"/>
                    <w:snapToGrid w:val="0"/>
                    <w:rPr>
                      <w:szCs w:val="21"/>
                      <w:u w:val="wave"/>
                    </w:rPr>
                  </w:pPr>
                  <w:r>
                    <w:rPr>
                      <w:rFonts w:hint="eastAsia"/>
                      <w:szCs w:val="21"/>
                      <w:u w:val="wave"/>
                    </w:rPr>
                    <w:t>万度</w:t>
                  </w:r>
                </w:p>
              </w:tc>
              <w:tc>
                <w:tcPr>
                  <w:tcW w:w="1248" w:type="pct"/>
                  <w:vAlign w:val="center"/>
                </w:tcPr>
                <w:p w14:paraId="08E88A95">
                  <w:pPr>
                    <w:adjustRightInd w:val="0"/>
                    <w:snapToGrid w:val="0"/>
                    <w:rPr>
                      <w:szCs w:val="21"/>
                      <w:u w:val="wave"/>
                    </w:rPr>
                  </w:pPr>
                  <w:r>
                    <w:rPr>
                      <w:rFonts w:hint="eastAsia"/>
                      <w:szCs w:val="21"/>
                      <w:u w:val="wave"/>
                    </w:rPr>
                    <w:t>/</w:t>
                  </w:r>
                </w:p>
              </w:tc>
              <w:tc>
                <w:tcPr>
                  <w:tcW w:w="1350" w:type="pct"/>
                  <w:vAlign w:val="center"/>
                </w:tcPr>
                <w:p w14:paraId="21F62AFC">
                  <w:pPr>
                    <w:adjustRightInd w:val="0"/>
                    <w:snapToGrid w:val="0"/>
                    <w:rPr>
                      <w:szCs w:val="21"/>
                      <w:u w:val="wave"/>
                    </w:rPr>
                  </w:pPr>
                  <w:r>
                    <w:rPr>
                      <w:rFonts w:hint="eastAsia"/>
                      <w:szCs w:val="21"/>
                      <w:u w:val="wave"/>
                    </w:rPr>
                    <w:t>市政电网</w:t>
                  </w:r>
                </w:p>
              </w:tc>
            </w:tr>
            <w:tr w14:paraId="4E1D12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66" w:type="pct"/>
                  <w:vMerge w:val="continue"/>
                  <w:vAlign w:val="center"/>
                </w:tcPr>
                <w:p w14:paraId="784BC5A4">
                  <w:pPr>
                    <w:adjustRightInd w:val="0"/>
                    <w:snapToGrid w:val="0"/>
                    <w:rPr>
                      <w:szCs w:val="21"/>
                      <w:u w:val="wave"/>
                    </w:rPr>
                  </w:pPr>
                </w:p>
              </w:tc>
              <w:tc>
                <w:tcPr>
                  <w:tcW w:w="799" w:type="pct"/>
                  <w:vAlign w:val="center"/>
                </w:tcPr>
                <w:p w14:paraId="22E66FC4">
                  <w:pPr>
                    <w:adjustRightInd w:val="0"/>
                    <w:snapToGrid w:val="0"/>
                    <w:rPr>
                      <w:szCs w:val="21"/>
                      <w:u w:val="wave"/>
                    </w:rPr>
                  </w:pPr>
                  <w:r>
                    <w:rPr>
                      <w:rFonts w:hint="eastAsia"/>
                      <w:szCs w:val="21"/>
                      <w:u w:val="wave"/>
                    </w:rPr>
                    <w:t>水</w:t>
                  </w:r>
                </w:p>
              </w:tc>
              <w:tc>
                <w:tcPr>
                  <w:tcW w:w="535" w:type="pct"/>
                  <w:vAlign w:val="center"/>
                </w:tcPr>
                <w:p w14:paraId="567777A2">
                  <w:pPr>
                    <w:adjustRightInd w:val="0"/>
                    <w:snapToGrid w:val="0"/>
                    <w:rPr>
                      <w:szCs w:val="21"/>
                      <w:u w:val="wave"/>
                    </w:rPr>
                  </w:pPr>
                  <w:r>
                    <w:rPr>
                      <w:rFonts w:hint="eastAsia"/>
                      <w:szCs w:val="21"/>
                      <w:u w:val="wave"/>
                    </w:rPr>
                    <w:t>680</w:t>
                  </w:r>
                </w:p>
              </w:tc>
              <w:tc>
                <w:tcPr>
                  <w:tcW w:w="402" w:type="pct"/>
                  <w:vAlign w:val="center"/>
                </w:tcPr>
                <w:p w14:paraId="534D6C3B">
                  <w:pPr>
                    <w:adjustRightInd w:val="0"/>
                    <w:snapToGrid w:val="0"/>
                    <w:rPr>
                      <w:szCs w:val="21"/>
                      <w:u w:val="wave"/>
                    </w:rPr>
                  </w:pPr>
                  <w:r>
                    <w:rPr>
                      <w:rFonts w:hint="eastAsia"/>
                      <w:szCs w:val="21"/>
                      <w:u w:val="wave"/>
                    </w:rPr>
                    <w:t>t</w:t>
                  </w:r>
                </w:p>
              </w:tc>
              <w:tc>
                <w:tcPr>
                  <w:tcW w:w="1248" w:type="pct"/>
                  <w:vAlign w:val="center"/>
                </w:tcPr>
                <w:p w14:paraId="1614A2FB">
                  <w:pPr>
                    <w:adjustRightInd w:val="0"/>
                    <w:snapToGrid w:val="0"/>
                    <w:rPr>
                      <w:szCs w:val="21"/>
                      <w:u w:val="wave"/>
                    </w:rPr>
                  </w:pPr>
                  <w:r>
                    <w:rPr>
                      <w:rFonts w:hint="eastAsia"/>
                      <w:szCs w:val="21"/>
                      <w:u w:val="wave"/>
                    </w:rPr>
                    <w:t>/</w:t>
                  </w:r>
                </w:p>
              </w:tc>
              <w:tc>
                <w:tcPr>
                  <w:tcW w:w="1350" w:type="pct"/>
                  <w:vAlign w:val="center"/>
                </w:tcPr>
                <w:p w14:paraId="030CC53E">
                  <w:pPr>
                    <w:adjustRightInd w:val="0"/>
                    <w:snapToGrid w:val="0"/>
                    <w:rPr>
                      <w:szCs w:val="21"/>
                      <w:u w:val="wave"/>
                    </w:rPr>
                  </w:pPr>
                  <w:r>
                    <w:rPr>
                      <w:rFonts w:hint="eastAsia"/>
                      <w:szCs w:val="21"/>
                      <w:u w:val="wave"/>
                    </w:rPr>
                    <w:t>自来水</w:t>
                  </w:r>
                </w:p>
              </w:tc>
            </w:tr>
          </w:tbl>
          <w:p w14:paraId="4FA53F6B">
            <w:pPr>
              <w:adjustRightInd w:val="0"/>
              <w:snapToGrid w:val="0"/>
              <w:spacing w:line="360" w:lineRule="auto"/>
              <w:ind w:firstLine="482" w:firstLineChars="200"/>
              <w:rPr>
                <w:b/>
                <w:bCs/>
                <w:sz w:val="24"/>
              </w:rPr>
            </w:pPr>
            <w:r>
              <w:rPr>
                <w:rFonts w:hint="eastAsia"/>
                <w:b/>
                <w:bCs/>
                <w:sz w:val="24"/>
              </w:rPr>
              <w:t>5</w:t>
            </w:r>
            <w:r>
              <w:rPr>
                <w:b/>
                <w:bCs/>
                <w:sz w:val="24"/>
              </w:rPr>
              <w:t>、公用工程</w:t>
            </w:r>
          </w:p>
          <w:p w14:paraId="555573A7">
            <w:pPr>
              <w:pStyle w:val="33"/>
              <w:adjustRightInd w:val="0"/>
              <w:snapToGrid w:val="0"/>
              <w:spacing w:after="0" w:line="360" w:lineRule="auto"/>
              <w:ind w:firstLine="480" w:firstLineChars="200"/>
              <w:rPr>
                <w:rFonts w:ascii="Times New Roman" w:hAnsi="Times New Roman" w:cs="宋体"/>
                <w:sz w:val="24"/>
              </w:rPr>
            </w:pPr>
            <w:r>
              <w:rPr>
                <w:rFonts w:hint="eastAsia" w:ascii="Times New Roman" w:hAnsi="Times New Roman" w:cs="宋体"/>
                <w:sz w:val="24"/>
              </w:rPr>
              <w:t>（1）给水工程</w:t>
            </w:r>
          </w:p>
          <w:p w14:paraId="5CC6E363">
            <w:pPr>
              <w:pStyle w:val="33"/>
              <w:adjustRightInd w:val="0"/>
              <w:snapToGrid w:val="0"/>
              <w:spacing w:after="0" w:line="360" w:lineRule="auto"/>
              <w:ind w:firstLine="480" w:firstLineChars="200"/>
              <w:rPr>
                <w:rFonts w:ascii="Times New Roman" w:hAnsi="Times New Roman"/>
                <w:sz w:val="24"/>
              </w:rPr>
            </w:pPr>
            <w:r>
              <w:rPr>
                <w:rFonts w:hint="eastAsia" w:ascii="Times New Roman" w:hAnsi="Times New Roman" w:cs="宋体"/>
                <w:sz w:val="24"/>
              </w:rPr>
              <w:t>项目主要进行重晶石粉生产，采取干式作业，厂区不涉及原料清洗、设备及地面冲洗等用水点。本项目主要用水为喷雾抑尘用水、员工生活用水</w:t>
            </w:r>
            <w:r>
              <w:rPr>
                <w:rFonts w:hint="eastAsia"/>
                <w:spacing w:val="-7"/>
                <w:sz w:val="24"/>
              </w:rPr>
              <w:t>。</w:t>
            </w:r>
          </w:p>
          <w:p w14:paraId="4171EAEB">
            <w:pPr>
              <w:pStyle w:val="33"/>
              <w:adjustRightInd w:val="0"/>
              <w:snapToGrid w:val="0"/>
              <w:spacing w:after="0" w:line="360" w:lineRule="auto"/>
              <w:ind w:firstLine="456" w:firstLineChars="200"/>
              <w:rPr>
                <w:rFonts w:ascii="Times New Roman"/>
                <w:spacing w:val="-6"/>
                <w:sz w:val="24"/>
              </w:rPr>
            </w:pPr>
            <w:r>
              <w:rPr>
                <w:rFonts w:hint="eastAsia" w:ascii="Times New Roman"/>
                <w:spacing w:val="-6"/>
                <w:sz w:val="24"/>
              </w:rPr>
              <w:t>①项目主要对运输、装卸、停产清扫等过程进行适当的喷雾、洒水抑尘，抑尘用水约为1.0m</w:t>
            </w:r>
            <w:r>
              <w:rPr>
                <w:rFonts w:hint="eastAsia" w:ascii="Times New Roman"/>
                <w:spacing w:val="-6"/>
                <w:sz w:val="24"/>
                <w:vertAlign w:val="superscript"/>
              </w:rPr>
              <w:t>3</w:t>
            </w:r>
            <w:r>
              <w:rPr>
                <w:rFonts w:hint="eastAsia" w:ascii="Times New Roman"/>
                <w:spacing w:val="-6"/>
                <w:sz w:val="24"/>
              </w:rPr>
              <w:t>/d、300m</w:t>
            </w:r>
            <w:r>
              <w:rPr>
                <w:rFonts w:hint="eastAsia" w:ascii="Times New Roman"/>
                <w:spacing w:val="-6"/>
                <w:sz w:val="24"/>
                <w:vertAlign w:val="superscript"/>
              </w:rPr>
              <w:t>3</w:t>
            </w:r>
            <w:r>
              <w:rPr>
                <w:rFonts w:hint="eastAsia" w:ascii="Times New Roman"/>
                <w:spacing w:val="-6"/>
                <w:sz w:val="24"/>
              </w:rPr>
              <w:t>/a。</w:t>
            </w:r>
            <w:r>
              <w:rPr>
                <w:rFonts w:hint="eastAsia"/>
                <w:kern w:val="0"/>
                <w:sz w:val="24"/>
              </w:rPr>
              <w:t>该部分水全部蒸发损耗或进入产品。</w:t>
            </w:r>
          </w:p>
          <w:p w14:paraId="3DAE0B1D">
            <w:pPr>
              <w:pStyle w:val="33"/>
              <w:adjustRightInd w:val="0"/>
              <w:snapToGrid w:val="0"/>
              <w:spacing w:after="0" w:line="360" w:lineRule="auto"/>
              <w:ind w:firstLine="456" w:firstLineChars="200"/>
              <w:rPr>
                <w:spacing w:val="-6"/>
                <w:sz w:val="24"/>
              </w:rPr>
            </w:pPr>
            <w:r>
              <w:rPr>
                <w:rFonts w:ascii="宋体" w:hAnsi="宋体"/>
                <w:spacing w:val="-6"/>
                <w:sz w:val="24"/>
              </w:rPr>
              <w:t>②</w:t>
            </w:r>
            <w:r>
              <w:rPr>
                <w:rFonts w:hint="eastAsia"/>
                <w:spacing w:val="-6"/>
                <w:sz w:val="24"/>
              </w:rPr>
              <w:t>生活用水</w:t>
            </w:r>
          </w:p>
          <w:p w14:paraId="54C69EEE">
            <w:pPr>
              <w:pStyle w:val="33"/>
              <w:adjustRightInd w:val="0"/>
              <w:snapToGrid w:val="0"/>
              <w:spacing w:after="0" w:line="360" w:lineRule="auto"/>
              <w:ind w:firstLine="456" w:firstLineChars="200"/>
              <w:rPr>
                <w:rFonts w:ascii="Times New Roman"/>
                <w:spacing w:val="-6"/>
                <w:sz w:val="24"/>
              </w:rPr>
            </w:pPr>
            <w:r>
              <w:rPr>
                <w:rFonts w:ascii="Times New Roman"/>
                <w:spacing w:val="-6"/>
                <w:sz w:val="24"/>
              </w:rPr>
              <w:t>本项目员工住宿办公生活过程中会产生一定量的污水，职工共</w:t>
            </w:r>
            <w:r>
              <w:rPr>
                <w:rFonts w:hint="eastAsia" w:ascii="Times New Roman"/>
                <w:spacing w:val="-6"/>
                <w:sz w:val="24"/>
              </w:rPr>
              <w:t>10</w:t>
            </w:r>
            <w:r>
              <w:rPr>
                <w:rFonts w:ascii="Times New Roman"/>
                <w:spacing w:val="-6"/>
                <w:sz w:val="24"/>
              </w:rPr>
              <w:t>人，</w:t>
            </w:r>
            <w:r>
              <w:rPr>
                <w:rFonts w:hint="eastAsia" w:ascii="Times New Roman"/>
                <w:spacing w:val="-6"/>
                <w:sz w:val="24"/>
              </w:rPr>
              <w:t>均不</w:t>
            </w:r>
            <w:r>
              <w:rPr>
                <w:rFonts w:ascii="Times New Roman"/>
                <w:spacing w:val="-6"/>
                <w:sz w:val="24"/>
              </w:rPr>
              <w:t>在厂区内食宿；项目生活用水量根据《湖南省地方标准</w:t>
            </w:r>
            <w:r>
              <w:rPr>
                <w:rFonts w:ascii="Times New Roman" w:hAnsi="Times New Roman"/>
                <w:spacing w:val="-6"/>
                <w:sz w:val="24"/>
              </w:rPr>
              <w:t xml:space="preserve"> </w:t>
            </w:r>
            <w:r>
              <w:rPr>
                <w:rFonts w:ascii="Times New Roman"/>
                <w:spacing w:val="-6"/>
                <w:sz w:val="24"/>
              </w:rPr>
              <w:t>用水定额》（</w:t>
            </w:r>
            <w:r>
              <w:rPr>
                <w:rFonts w:ascii="Times New Roman" w:hAnsi="Times New Roman"/>
                <w:spacing w:val="-6"/>
                <w:sz w:val="24"/>
              </w:rPr>
              <w:t>DB43/T388-2020</w:t>
            </w:r>
            <w:r>
              <w:rPr>
                <w:rFonts w:ascii="Times New Roman"/>
                <w:spacing w:val="-6"/>
                <w:sz w:val="24"/>
              </w:rPr>
              <w:t>）进行估算，</w:t>
            </w:r>
            <w:r>
              <w:rPr>
                <w:rFonts w:hint="eastAsia" w:ascii="Times New Roman"/>
                <w:sz w:val="24"/>
              </w:rPr>
              <w:t>用水量按38m</w:t>
            </w:r>
            <w:r>
              <w:rPr>
                <w:rFonts w:hint="eastAsia" w:ascii="Times New Roman"/>
                <w:sz w:val="24"/>
                <w:vertAlign w:val="superscript"/>
              </w:rPr>
              <w:t>3</w:t>
            </w:r>
            <w:r>
              <w:rPr>
                <w:rFonts w:hint="eastAsia" w:ascii="Times New Roman"/>
                <w:sz w:val="24"/>
              </w:rPr>
              <w:t>/人</w:t>
            </w:r>
            <w:r>
              <w:rPr>
                <w:rFonts w:hint="eastAsia" w:ascii="宋体" w:hAnsi="宋体" w:cs="宋体"/>
                <w:sz w:val="24"/>
              </w:rPr>
              <w:t>·</w:t>
            </w:r>
            <w:r>
              <w:rPr>
                <w:rFonts w:hint="eastAsia" w:ascii="Times New Roman"/>
                <w:sz w:val="24"/>
              </w:rPr>
              <w:t>a计</w:t>
            </w:r>
            <w:r>
              <w:rPr>
                <w:rFonts w:ascii="Times New Roman"/>
                <w:spacing w:val="-6"/>
                <w:sz w:val="24"/>
              </w:rPr>
              <w:t>，年工作</w:t>
            </w:r>
            <w:r>
              <w:rPr>
                <w:rFonts w:hint="eastAsia" w:ascii="Times New Roman" w:hAnsi="Times New Roman"/>
                <w:spacing w:val="-6"/>
                <w:sz w:val="24"/>
              </w:rPr>
              <w:t>300</w:t>
            </w:r>
            <w:r>
              <w:rPr>
                <w:rFonts w:ascii="Times New Roman"/>
                <w:spacing w:val="-6"/>
                <w:sz w:val="24"/>
              </w:rPr>
              <w:t>天。则项目员工生活用水量为</w:t>
            </w:r>
            <w:r>
              <w:rPr>
                <w:rFonts w:hint="eastAsia" w:ascii="Times New Roman"/>
                <w:spacing w:val="-6"/>
                <w:sz w:val="24"/>
              </w:rPr>
              <w:t>38</w:t>
            </w:r>
            <w:r>
              <w:rPr>
                <w:rFonts w:hint="eastAsia" w:ascii="Times New Roman" w:hAnsi="Times New Roman"/>
                <w:spacing w:val="-6"/>
                <w:sz w:val="24"/>
              </w:rPr>
              <w:t>0</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/a</w:t>
            </w:r>
            <w:r>
              <w:rPr>
                <w:rFonts w:ascii="Times New Roman"/>
                <w:spacing w:val="-6"/>
                <w:sz w:val="24"/>
              </w:rPr>
              <w:t>。</w:t>
            </w:r>
          </w:p>
          <w:p w14:paraId="629B3562">
            <w:pPr>
              <w:pStyle w:val="33"/>
              <w:adjustRightInd w:val="0"/>
              <w:snapToGrid w:val="0"/>
              <w:spacing w:after="0" w:line="360" w:lineRule="auto"/>
              <w:ind w:firstLine="480" w:firstLineChars="200"/>
              <w:rPr>
                <w:rFonts w:ascii="Times New Roman" w:hAnsi="Times New Roman"/>
                <w:sz w:val="24"/>
              </w:rPr>
            </w:pPr>
            <w:r>
              <w:rPr>
                <w:rFonts w:hint="eastAsia" w:ascii="Times New Roman" w:hAnsi="Times New Roman"/>
                <w:sz w:val="24"/>
              </w:rPr>
              <w:t>（2）排水工程</w:t>
            </w:r>
          </w:p>
          <w:p w14:paraId="69D833F9">
            <w:pPr>
              <w:pStyle w:val="33"/>
              <w:adjustRightInd w:val="0"/>
              <w:snapToGrid w:val="0"/>
              <w:spacing w:after="0" w:line="360" w:lineRule="auto"/>
              <w:ind w:firstLine="480" w:firstLineChars="200"/>
              <w:rPr>
                <w:rFonts w:ascii="Times New Roman" w:hAnsi="Times New Roman"/>
                <w:sz w:val="24"/>
              </w:rPr>
            </w:pPr>
            <w:r>
              <w:rPr>
                <w:rFonts w:hint="eastAsia" w:ascii="Times New Roman" w:hAnsi="Times New Roman"/>
                <w:sz w:val="24"/>
              </w:rPr>
              <w:t>本项目雨水、污水排水实行雨污分流制。厂房占满整个厂区，雨水为厂房顶棚雨水，通过立管排放至厂区外</w:t>
            </w:r>
            <w:r>
              <w:rPr>
                <w:rFonts w:ascii="Times New Roman" w:hAnsi="Times New Roman"/>
                <w:sz w:val="24"/>
              </w:rPr>
              <w:t>。</w:t>
            </w:r>
          </w:p>
          <w:p w14:paraId="366D05AF">
            <w:pPr>
              <w:pStyle w:val="33"/>
              <w:adjustRightInd w:val="0"/>
              <w:snapToGrid w:val="0"/>
              <w:spacing w:after="0" w:line="360" w:lineRule="auto"/>
              <w:ind w:firstLine="480" w:firstLineChars="200"/>
              <w:rPr>
                <w:rFonts w:ascii="Times New Roman" w:hAnsi="Times New Roman"/>
                <w:sz w:val="24"/>
              </w:rPr>
            </w:pPr>
            <w:r>
              <w:rPr>
                <w:rFonts w:ascii="Times New Roman" w:hAnsi="Times New Roman"/>
                <w:sz w:val="24"/>
              </w:rPr>
              <w:t>项目</w:t>
            </w:r>
            <w:r>
              <w:rPr>
                <w:rFonts w:hint="eastAsia" w:ascii="Times New Roman" w:hAnsi="Times New Roman"/>
                <w:sz w:val="24"/>
              </w:rPr>
              <w:t>无生产废水外排，</w:t>
            </w:r>
            <w:r>
              <w:rPr>
                <w:rFonts w:hint="eastAsia" w:ascii="Times New Roman"/>
                <w:spacing w:val="-6"/>
                <w:sz w:val="24"/>
              </w:rPr>
              <w:t>喷雾、洒水抑尘</w:t>
            </w:r>
            <w:r>
              <w:rPr>
                <w:rFonts w:hint="eastAsia"/>
                <w:kern w:val="0"/>
                <w:sz w:val="24"/>
              </w:rPr>
              <w:t>全部蒸发损耗或进入产品，不外排</w:t>
            </w:r>
            <w:r>
              <w:rPr>
                <w:rFonts w:hint="eastAsia" w:ascii="Times New Roman" w:hAnsi="Times New Roman"/>
                <w:sz w:val="24"/>
              </w:rPr>
              <w:t>。</w:t>
            </w:r>
          </w:p>
          <w:p w14:paraId="280CA996">
            <w:pPr>
              <w:pStyle w:val="33"/>
              <w:adjustRightInd w:val="0"/>
              <w:snapToGrid w:val="0"/>
              <w:spacing w:after="0" w:line="360" w:lineRule="auto"/>
              <w:ind w:firstLine="480" w:firstLineChars="200"/>
              <w:rPr>
                <w:rFonts w:ascii="Times New Roman" w:hAnsi="Times New Roman"/>
                <w:sz w:val="24"/>
              </w:rPr>
            </w:pPr>
            <w:r>
              <w:rPr>
                <w:rFonts w:ascii="Times New Roman" w:hAnsi="Times New Roman"/>
                <w:sz w:val="24"/>
              </w:rPr>
              <w:t>项目生活污水</w:t>
            </w:r>
            <w:r>
              <w:rPr>
                <w:rFonts w:hint="eastAsia" w:ascii="Times New Roman" w:hAnsi="Times New Roman"/>
                <w:sz w:val="24"/>
              </w:rPr>
              <w:t>按生活用水量的</w:t>
            </w:r>
            <w:r>
              <w:rPr>
                <w:rFonts w:ascii="Times New Roman" w:hAnsi="Times New Roman"/>
                <w:sz w:val="24"/>
              </w:rPr>
              <w:t>80%计，产生量为</w:t>
            </w:r>
            <w:r>
              <w:rPr>
                <w:rFonts w:hint="eastAsia" w:ascii="Times New Roman"/>
                <w:spacing w:val="-6"/>
                <w:sz w:val="24"/>
              </w:rPr>
              <w:t>1.01</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/d</w:t>
            </w:r>
            <w:r>
              <w:rPr>
                <w:rFonts w:ascii="Times New Roman"/>
                <w:spacing w:val="-6"/>
                <w:sz w:val="24"/>
              </w:rPr>
              <w:t>（</w:t>
            </w:r>
            <w:r>
              <w:rPr>
                <w:rFonts w:hint="eastAsia" w:ascii="Times New Roman" w:hAnsi="Times New Roman"/>
                <w:spacing w:val="-6"/>
                <w:sz w:val="24"/>
              </w:rPr>
              <w:t>304</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/a</w:t>
            </w:r>
            <w:r>
              <w:rPr>
                <w:rFonts w:ascii="Times New Roman"/>
                <w:spacing w:val="-6"/>
                <w:sz w:val="24"/>
              </w:rPr>
              <w:t>），</w:t>
            </w:r>
            <w:r>
              <w:rPr>
                <w:rFonts w:hint="eastAsia" w:ascii="Times New Roman" w:hAnsi="Times New Roman"/>
                <w:sz w:val="24"/>
              </w:rPr>
              <w:t>项目产生的生活污水</w:t>
            </w:r>
            <w:r>
              <w:rPr>
                <w:rFonts w:hAnsi="宋体"/>
                <w:kern w:val="0"/>
                <w:sz w:val="24"/>
              </w:rPr>
              <w:t>依托</w:t>
            </w:r>
            <w:r>
              <w:rPr>
                <w:rFonts w:hint="eastAsia"/>
                <w:kern w:val="0"/>
                <w:sz w:val="24"/>
                <w:szCs w:val="20"/>
              </w:rPr>
              <w:t>湖南衡利丰陶瓷有限公司现有</w:t>
            </w:r>
            <w:r>
              <w:rPr>
                <w:rFonts w:hAnsi="宋体"/>
                <w:kern w:val="0"/>
                <w:sz w:val="24"/>
              </w:rPr>
              <w:t>化粪池预处理后外排至市政管网，纳入</w:t>
            </w:r>
            <w:r>
              <w:rPr>
                <w:rFonts w:hint="eastAsia"/>
                <w:sz w:val="24"/>
              </w:rPr>
              <w:t>衡阳西渡高新区污水处理厂深度处理</w:t>
            </w:r>
            <w:r>
              <w:rPr>
                <w:rFonts w:hint="eastAsia"/>
                <w:bCs/>
                <w:sz w:val="24"/>
              </w:rPr>
              <w:t>后排入蒸水。</w:t>
            </w:r>
          </w:p>
          <w:p w14:paraId="324CA7F1">
            <w:pPr>
              <w:pStyle w:val="33"/>
              <w:adjustRightInd w:val="0"/>
              <w:snapToGrid w:val="0"/>
              <w:spacing w:after="0" w:line="360" w:lineRule="auto"/>
              <w:ind w:firstLine="480" w:firstLineChars="200"/>
              <w:rPr>
                <w:rFonts w:ascii="Times New Roman" w:hAnsi="Times New Roman"/>
                <w:sz w:val="24"/>
              </w:rPr>
            </w:pPr>
            <w:r>
              <w:rPr>
                <w:rFonts w:hint="eastAsia" w:ascii="Times New Roman" w:hAnsi="Times New Roman"/>
                <w:sz w:val="24"/>
              </w:rPr>
              <w:t>（3）供电工程</w:t>
            </w:r>
          </w:p>
          <w:p w14:paraId="5B31EF45">
            <w:pPr>
              <w:pStyle w:val="33"/>
              <w:adjustRightInd w:val="0"/>
              <w:snapToGrid w:val="0"/>
              <w:spacing w:after="0" w:line="360" w:lineRule="auto"/>
              <w:ind w:firstLine="480" w:firstLineChars="200"/>
              <w:rPr>
                <w:rFonts w:ascii="Times New Roman" w:hAnsi="Times New Roman"/>
                <w:sz w:val="24"/>
              </w:rPr>
            </w:pPr>
            <w:r>
              <w:rPr>
                <w:rFonts w:hint="eastAsia" w:ascii="Times New Roman" w:hAnsi="Times New Roman"/>
                <w:sz w:val="24"/>
              </w:rPr>
              <w:t>由市政电网供给，年耗电量约60万kWh。</w:t>
            </w:r>
          </w:p>
          <w:p w14:paraId="62EDBFB5">
            <w:pPr>
              <w:adjustRightInd w:val="0"/>
              <w:snapToGrid w:val="0"/>
              <w:spacing w:line="360" w:lineRule="auto"/>
              <w:ind w:firstLine="482" w:firstLineChars="200"/>
              <w:rPr>
                <w:b/>
                <w:bCs/>
                <w:sz w:val="24"/>
              </w:rPr>
            </w:pPr>
            <w:r>
              <w:rPr>
                <w:rFonts w:hint="eastAsia"/>
                <w:b/>
                <w:bCs/>
                <w:sz w:val="24"/>
              </w:rPr>
              <w:t>6</w:t>
            </w:r>
            <w:r>
              <w:rPr>
                <w:b/>
                <w:bCs/>
                <w:sz w:val="24"/>
              </w:rPr>
              <w:t>、劳动定员及工作制度</w:t>
            </w:r>
          </w:p>
          <w:p w14:paraId="7C0841E4">
            <w:pPr>
              <w:adjustRightInd w:val="0"/>
              <w:snapToGrid w:val="0"/>
              <w:spacing w:line="360" w:lineRule="auto"/>
              <w:ind w:firstLine="480" w:firstLineChars="200"/>
              <w:rPr>
                <w:bCs/>
                <w:sz w:val="24"/>
              </w:rPr>
            </w:pPr>
            <w:r>
              <w:rPr>
                <w:rFonts w:hint="eastAsia"/>
                <w:kern w:val="0"/>
                <w:sz w:val="24"/>
              </w:rPr>
              <w:t>项目劳动定员10人，年工作日300天，采用一班制，每天工作8小时</w:t>
            </w:r>
            <w:r>
              <w:rPr>
                <w:rFonts w:hint="eastAsia"/>
                <w:bCs/>
                <w:sz w:val="24"/>
              </w:rPr>
              <w:t>。</w:t>
            </w:r>
          </w:p>
          <w:p w14:paraId="1DA65273">
            <w:pPr>
              <w:adjustRightInd w:val="0"/>
              <w:snapToGrid w:val="0"/>
              <w:spacing w:line="360" w:lineRule="auto"/>
              <w:ind w:firstLine="482" w:firstLineChars="200"/>
              <w:rPr>
                <w:b/>
                <w:bCs/>
                <w:sz w:val="24"/>
              </w:rPr>
            </w:pPr>
            <w:r>
              <w:rPr>
                <w:rFonts w:hint="eastAsia"/>
                <w:b/>
                <w:bCs/>
                <w:sz w:val="24"/>
              </w:rPr>
              <w:t>7、厂区总平面布置</w:t>
            </w:r>
          </w:p>
          <w:p w14:paraId="391C430A">
            <w:pPr>
              <w:adjustRightInd w:val="0"/>
              <w:snapToGrid w:val="0"/>
              <w:spacing w:line="360" w:lineRule="auto"/>
              <w:ind w:firstLine="480" w:firstLineChars="200"/>
              <w:rPr>
                <w:kern w:val="0"/>
                <w:sz w:val="24"/>
                <w:szCs w:val="20"/>
              </w:rPr>
            </w:pPr>
            <w:r>
              <w:rPr>
                <w:rFonts w:hint="eastAsia"/>
                <w:kern w:val="0"/>
                <w:sz w:val="24"/>
                <w:szCs w:val="20"/>
              </w:rPr>
              <w:t>本项目根据厂区“分区合理、工艺流畅、物流短捷、突出环保与安全”的原则，结合场地的用地条件及生产工艺，综合考虑环保、消防、绿化、劳动卫生等要求，对厂区布置进行了统筹安排。</w:t>
            </w:r>
          </w:p>
          <w:p w14:paraId="300304C9">
            <w:pPr>
              <w:adjustRightInd w:val="0"/>
              <w:snapToGrid w:val="0"/>
              <w:spacing w:line="360" w:lineRule="auto"/>
              <w:ind w:firstLine="480" w:firstLineChars="200"/>
              <w:rPr>
                <w:kern w:val="0"/>
                <w:sz w:val="24"/>
                <w:szCs w:val="20"/>
                <w:u w:val="wave"/>
              </w:rPr>
            </w:pPr>
            <w:r>
              <w:rPr>
                <w:rFonts w:hint="eastAsia"/>
                <w:kern w:val="0"/>
                <w:sz w:val="24"/>
                <w:szCs w:val="20"/>
                <w:u w:val="wave"/>
              </w:rPr>
              <w:t>本项目厂房北侧、东南侧均有车辆出入口，方便车辆和行人出入，项目原料堆场紧邻生产区，方便原料的取用，缩短了物料运输距离，从而减少了物料运输粉尘的产生；重晶石粉储存罐、袋装成品堆场，紧靠重晶石粉生产区，便于加工后的产品储存与输送且与厂区道路、乡镇道路相连，方便运输。本项目生产厂房为密闭彩钢棚结构，设备位于生产区中心位置，远离厂房，对周围声环境影响较小。本项目工艺流程顺畅，工段布置合理，功能分区明确，布置集中较紧凑；人流物流流向明确；整个生产过程从原料到产品输送顺畅便利，物流短截，人流和物流互不交叉干扰，节约输送能源。</w:t>
            </w:r>
          </w:p>
          <w:p w14:paraId="0BDFAB7F">
            <w:pPr>
              <w:adjustRightInd w:val="0"/>
              <w:snapToGrid w:val="0"/>
              <w:spacing w:line="360" w:lineRule="auto"/>
              <w:ind w:firstLine="480" w:firstLineChars="200"/>
              <w:rPr>
                <w:sz w:val="24"/>
              </w:rPr>
            </w:pPr>
            <w:r>
              <w:rPr>
                <w:rFonts w:hint="eastAsia"/>
                <w:kern w:val="0"/>
                <w:sz w:val="24"/>
                <w:szCs w:val="20"/>
              </w:rPr>
              <w:t>综上，项目总平面布置合理，对用地充分利用。平面布置简洁，交通路线明确，且各个功能单元互不影响。项目平面布置详情见附图</w:t>
            </w:r>
            <w:r>
              <w:rPr>
                <w:rFonts w:hint="eastAsia"/>
                <w:sz w:val="24"/>
              </w:rPr>
              <w:t>。</w:t>
            </w:r>
          </w:p>
        </w:tc>
      </w:tr>
      <w:tr w14:paraId="6F4704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84" w:type="dxa"/>
            <w:vAlign w:val="center"/>
          </w:tcPr>
          <w:p w14:paraId="27BBB8B5">
            <w:pPr>
              <w:pStyle w:val="31"/>
              <w:adjustRightInd w:val="0"/>
              <w:snapToGrid w:val="0"/>
              <w:spacing w:before="0" w:beforeAutospacing="0" w:after="0" w:afterAutospacing="0"/>
              <w:jc w:val="center"/>
              <w:rPr>
                <w:rFonts w:cs="宋体"/>
                <w:b/>
                <w:szCs w:val="24"/>
              </w:rPr>
            </w:pPr>
            <w:r>
              <w:rPr>
                <w:rFonts w:hint="eastAsia" w:cs="宋体"/>
                <w:b/>
                <w:szCs w:val="24"/>
              </w:rPr>
              <w:t>工艺流程和产排污环节</w:t>
            </w:r>
          </w:p>
        </w:tc>
        <w:tc>
          <w:tcPr>
            <w:tcW w:w="9522" w:type="dxa"/>
          </w:tcPr>
          <w:p w14:paraId="2027AE1C">
            <w:pPr>
              <w:adjustRightInd w:val="0"/>
              <w:snapToGrid w:val="0"/>
              <w:spacing w:line="360" w:lineRule="auto"/>
              <w:ind w:firstLine="482" w:firstLineChars="200"/>
              <w:rPr>
                <w:b/>
                <w:bCs/>
                <w:kern w:val="0"/>
                <w:sz w:val="24"/>
              </w:rPr>
            </w:pPr>
            <w:r>
              <w:rPr>
                <w:rFonts w:hint="eastAsia"/>
                <w:b/>
                <w:bCs/>
                <w:kern w:val="0"/>
                <w:sz w:val="24"/>
              </w:rPr>
              <w:t>一、施工期</w:t>
            </w:r>
          </w:p>
          <w:p w14:paraId="3F8D6100">
            <w:pPr>
              <w:adjustRightInd w:val="0"/>
              <w:snapToGrid w:val="0"/>
              <w:spacing w:line="360" w:lineRule="auto"/>
              <w:ind w:firstLine="480" w:firstLineChars="200"/>
              <w:rPr>
                <w:b/>
                <w:bCs/>
                <w:kern w:val="0"/>
                <w:sz w:val="24"/>
              </w:rPr>
            </w:pPr>
            <w:r>
              <w:rPr>
                <w:bCs/>
                <w:sz w:val="24"/>
              </w:rPr>
              <w:t>本项目租赁</w:t>
            </w:r>
            <w:r>
              <w:rPr>
                <w:rFonts w:hint="eastAsia"/>
                <w:kern w:val="0"/>
                <w:sz w:val="24"/>
                <w:szCs w:val="20"/>
              </w:rPr>
              <w:t>湖南衡利丰陶瓷有限公司闲置厂房的部分区域</w:t>
            </w:r>
            <w:r>
              <w:rPr>
                <w:rFonts w:hint="eastAsia" w:hAnsiTheme="minorEastAsia" w:eastAsiaTheme="minorEastAsia"/>
                <w:sz w:val="24"/>
                <w:szCs w:val="22"/>
              </w:rPr>
              <w:t>进行生产</w:t>
            </w:r>
            <w:r>
              <w:rPr>
                <w:bCs/>
                <w:sz w:val="24"/>
              </w:rPr>
              <w:t>，</w:t>
            </w:r>
            <w:r>
              <w:rPr>
                <w:rFonts w:hint="eastAsia"/>
                <w:bCs/>
                <w:sz w:val="24"/>
              </w:rPr>
              <w:t>施工期仅进行设备安装，产生的污染物较小，因此本项目不再对施工期进行分析</w:t>
            </w:r>
            <w:r>
              <w:rPr>
                <w:rFonts w:hint="eastAsia"/>
                <w:sz w:val="24"/>
              </w:rPr>
              <w:t>。</w:t>
            </w:r>
          </w:p>
          <w:p w14:paraId="523A5289">
            <w:pPr>
              <w:adjustRightInd w:val="0"/>
              <w:snapToGrid w:val="0"/>
              <w:spacing w:line="360" w:lineRule="auto"/>
              <w:ind w:firstLine="482" w:firstLineChars="200"/>
              <w:rPr>
                <w:b/>
                <w:sz w:val="24"/>
              </w:rPr>
            </w:pPr>
            <w:r>
              <w:rPr>
                <w:rFonts w:hint="eastAsia"/>
                <w:b/>
                <w:sz w:val="24"/>
              </w:rPr>
              <w:t>二、运营期</w:t>
            </w:r>
          </w:p>
          <w:p w14:paraId="30835FE6">
            <w:pPr>
              <w:adjustRightInd w:val="0"/>
              <w:snapToGrid w:val="0"/>
              <w:spacing w:line="360" w:lineRule="auto"/>
              <w:ind w:firstLine="480" w:firstLineChars="200"/>
              <w:rPr>
                <w:bCs/>
                <w:sz w:val="24"/>
              </w:rPr>
            </w:pPr>
            <w:r>
              <w:rPr>
                <w:rFonts w:hint="eastAsia"/>
                <w:bCs/>
                <w:sz w:val="24"/>
              </w:rPr>
              <w:t>本项目生产规模确定原料供应量为4万吨/年，原料为外购，主要由湖南衡雁创新物资有限公司供给，均为经洗选、破碎后的重晶石。原料供应方案主要由两部分组成，一是可直接用于磨粉加工的，其粒径构成为2mm到50mm，呈正态分布，能满足磨粉机加工要求，在厂内无需进行破碎处理，这部分原料占重晶石原料的90%。另外还需10%的原料为极优质重晶石，无需洗选，由于数量少、价格昂贵，购入主要是用作配料使用。这类优质矿中约50%粒度大于50mm，需在厂内进行破碎处理。根据企业提供的原料供应方案，拟破碎的原料为4000吨/年。生产工艺流程及产污环节如下图所示</w:t>
            </w:r>
            <w:r>
              <w:rPr>
                <w:bCs/>
                <w:sz w:val="24"/>
              </w:rPr>
              <w:t>运营期生产工艺及产污环节如下所示：</w:t>
            </w:r>
          </w:p>
          <w:p w14:paraId="1D8AE2D4">
            <w:pPr>
              <w:adjustRightInd w:val="0"/>
              <w:snapToGrid w:val="0"/>
              <w:spacing w:line="360" w:lineRule="auto"/>
              <w:jc w:val="center"/>
              <w:rPr>
                <w:sz w:val="24"/>
              </w:rPr>
            </w:pPr>
            <w:r>
              <w:object>
                <v:shape id="_x0000_i1025" o:spt="75" type="#_x0000_t75" style="height:261.75pt;width:315pt;" o:ole="t" filled="f" o:preferrelative="t" stroked="f" coordsize="21600,21600">
                  <v:path/>
                  <v:fill on="f" focussize="0,0"/>
                  <v:stroke on="f" joinstyle="miter"/>
                  <v:imagedata r:id="rId10" o:title=""/>
                  <o:lock v:ext="edit" aspectratio="t"/>
                  <w10:wrap type="none"/>
                  <w10:anchorlock/>
                </v:shape>
                <o:OLEObject Type="Embed" ProgID="Visio.Drawing.15" ShapeID="_x0000_i1025" DrawAspect="Content" ObjectID="_1468075725" r:id="rId9">
                  <o:LockedField>false</o:LockedField>
                </o:OLEObject>
              </w:object>
            </w:r>
          </w:p>
          <w:p w14:paraId="0D657121">
            <w:pPr>
              <w:widowControl/>
              <w:spacing w:after="120" w:afterLines="50"/>
              <w:jc w:val="center"/>
              <w:rPr>
                <w:b/>
                <w:bCs/>
                <w:u w:val="wave"/>
              </w:rPr>
            </w:pPr>
            <w:r>
              <w:rPr>
                <w:rFonts w:hint="eastAsia"/>
                <w:b/>
                <w:bCs/>
                <w:u w:val="wave"/>
              </w:rPr>
              <w:t>图2-1  项目运营期硫酸钡粉生产工艺及产污节点图</w:t>
            </w:r>
          </w:p>
          <w:p w14:paraId="0FCD7058">
            <w:pPr>
              <w:adjustRightInd w:val="0"/>
              <w:snapToGrid w:val="0"/>
              <w:spacing w:line="360" w:lineRule="auto"/>
              <w:ind w:firstLine="482" w:firstLineChars="200"/>
              <w:rPr>
                <w:b/>
                <w:sz w:val="24"/>
              </w:rPr>
            </w:pPr>
            <w:r>
              <w:rPr>
                <w:rFonts w:hint="eastAsia"/>
                <w:b/>
                <w:sz w:val="24"/>
              </w:rPr>
              <w:t>工艺流程简述：</w:t>
            </w:r>
          </w:p>
          <w:p w14:paraId="00F2A872">
            <w:pPr>
              <w:pStyle w:val="140"/>
              <w:ind w:firstLine="480"/>
            </w:pPr>
            <w:r>
              <w:rPr>
                <w:rFonts w:hint="eastAsia"/>
              </w:rPr>
              <w:t>本项目将外购重晶石原料进行破碎、磨粉加工成粒度更细的重晶石粉产品。采用干法研磨，无水洗、筛分工序，主要工艺介绍如下：</w:t>
            </w:r>
          </w:p>
          <w:p w14:paraId="29FA0417">
            <w:pPr>
              <w:pStyle w:val="140"/>
              <w:ind w:firstLine="482"/>
              <w:rPr>
                <w:b/>
                <w:bCs w:val="0"/>
              </w:rPr>
            </w:pPr>
            <w:r>
              <w:rPr>
                <w:rFonts w:hint="eastAsia"/>
                <w:b/>
                <w:bCs w:val="0"/>
              </w:rPr>
              <w:t>原料堆存：</w:t>
            </w:r>
          </w:p>
          <w:p w14:paraId="00AC8B1A">
            <w:pPr>
              <w:pStyle w:val="140"/>
              <w:ind w:firstLine="480"/>
            </w:pPr>
            <w:r>
              <w:rPr>
                <w:rFonts w:hint="eastAsia"/>
              </w:rPr>
              <w:t>原料为散装重晶石，通过货车运至厂内，采用自卸方式堆放于原料堆场。原料堆场位于密闭厂房西北部，占地面积约</w:t>
            </w:r>
            <w:r>
              <w:rPr>
                <w:rFonts w:hint="eastAsia" w:cs="Times New Roman"/>
                <w:bCs w:val="0"/>
                <w:color w:val="000000"/>
                <w:kern w:val="2"/>
                <w:szCs w:val="24"/>
              </w:rPr>
              <w:t>1000</w:t>
            </w:r>
            <w:r>
              <w:rPr>
                <w:rFonts w:cs="Times New Roman"/>
                <w:bCs w:val="0"/>
                <w:color w:val="000000"/>
                <w:kern w:val="2"/>
                <w:szCs w:val="24"/>
              </w:rPr>
              <w:t>m</w:t>
            </w:r>
            <w:r>
              <w:rPr>
                <w:rFonts w:cs="Times New Roman"/>
                <w:bCs w:val="0"/>
                <w:color w:val="000000"/>
                <w:kern w:val="2"/>
                <w:szCs w:val="24"/>
                <w:vertAlign w:val="superscript"/>
              </w:rPr>
              <w:t>2</w:t>
            </w:r>
            <w:r>
              <w:rPr>
                <w:rFonts w:hint="eastAsia"/>
              </w:rPr>
              <w:t>。</w:t>
            </w:r>
          </w:p>
          <w:p w14:paraId="641CFD25">
            <w:pPr>
              <w:pStyle w:val="140"/>
              <w:ind w:firstLine="480"/>
            </w:pPr>
            <w:r>
              <w:t>此工序产生的污染物包括：粉尘、噪声。</w:t>
            </w:r>
          </w:p>
          <w:p w14:paraId="2D143F50">
            <w:pPr>
              <w:pStyle w:val="140"/>
              <w:ind w:firstLine="482"/>
              <w:rPr>
                <w:b/>
                <w:bCs w:val="0"/>
                <w:u w:val="wave"/>
              </w:rPr>
            </w:pPr>
            <w:r>
              <w:rPr>
                <w:rFonts w:hint="eastAsia"/>
                <w:b/>
                <w:bCs w:val="0"/>
                <w:u w:val="wave"/>
              </w:rPr>
              <w:t>装卸：</w:t>
            </w:r>
          </w:p>
          <w:p w14:paraId="1D1CA436">
            <w:pPr>
              <w:pStyle w:val="140"/>
              <w:ind w:firstLine="480"/>
              <w:rPr>
                <w:u w:val="wave"/>
              </w:rPr>
            </w:pPr>
            <w:r>
              <w:rPr>
                <w:rFonts w:hint="eastAsia"/>
                <w:u w:val="wave"/>
              </w:rPr>
              <w:t>原料由货车运抵本场后自卸料堆放在原料堆场（视为卸料过程）；生产时由装载机将原料装入自身斗中运出（视为装料过程）；粒径小于50mm的原料由装载机直接从原料堆场转运至磨粉机储料斗，粒径大于50mm的原料经破碎后存放于原料破碎堆场，由装载机从原料破碎堆场装运至磨粉机储料斗，投料方式为上方投料（视为投料过程）。</w:t>
            </w:r>
          </w:p>
          <w:p w14:paraId="3336D9FC">
            <w:pPr>
              <w:pStyle w:val="140"/>
              <w:ind w:firstLine="480"/>
              <w:rPr>
                <w:u w:val="wave"/>
              </w:rPr>
            </w:pPr>
            <w:r>
              <w:rPr>
                <w:u w:val="wave"/>
              </w:rPr>
              <w:t>此工序产生的污染物包括：粉尘、噪声。</w:t>
            </w:r>
          </w:p>
          <w:p w14:paraId="7971C806">
            <w:pPr>
              <w:pStyle w:val="140"/>
              <w:ind w:firstLine="482"/>
              <w:rPr>
                <w:b/>
                <w:u w:val="wave"/>
              </w:rPr>
            </w:pPr>
            <w:r>
              <w:rPr>
                <w:rFonts w:hint="eastAsia"/>
                <w:b/>
                <w:u w:val="wave"/>
              </w:rPr>
              <w:t>破碎：</w:t>
            </w:r>
          </w:p>
          <w:p w14:paraId="0E10287D">
            <w:pPr>
              <w:pStyle w:val="140"/>
              <w:ind w:firstLine="480"/>
              <w:rPr>
                <w:rFonts w:ascii="宋体" w:hAnsi="宋体" w:cs="宋体"/>
                <w:color w:val="000000"/>
                <w:kern w:val="0"/>
                <w:szCs w:val="24"/>
                <w:u w:val="wave"/>
                <w:lang w:bidi="ar"/>
              </w:rPr>
            </w:pPr>
            <w:r>
              <w:rPr>
                <w:rFonts w:hint="eastAsia"/>
                <w:bCs w:val="0"/>
                <w:u w:val="wave"/>
              </w:rPr>
              <w:t>只用于</w:t>
            </w:r>
            <w:r>
              <w:rPr>
                <w:rFonts w:hint="eastAsia" w:ascii="宋体" w:hAnsi="宋体" w:cs="宋体"/>
                <w:color w:val="000000"/>
                <w:kern w:val="0"/>
                <w:szCs w:val="24"/>
                <w:u w:val="wave"/>
                <w:lang w:bidi="ar"/>
              </w:rPr>
              <w:t>将粒径大于</w:t>
            </w:r>
            <w:r>
              <w:rPr>
                <w:rFonts w:hint="eastAsia" w:cs="Times New Roman"/>
                <w:color w:val="000000"/>
                <w:kern w:val="0"/>
                <w:szCs w:val="24"/>
                <w:u w:val="wave"/>
                <w:lang w:bidi="ar"/>
              </w:rPr>
              <w:t>50mm</w:t>
            </w:r>
            <w:r>
              <w:rPr>
                <w:rFonts w:hint="eastAsia" w:ascii="宋体" w:hAnsi="宋体" w:cs="宋体"/>
                <w:color w:val="000000"/>
                <w:kern w:val="0"/>
                <w:szCs w:val="24"/>
                <w:u w:val="wave"/>
                <w:lang w:bidi="ar"/>
              </w:rPr>
              <w:t>的重晶石矿石原料破碎成小于</w:t>
            </w:r>
            <w:r>
              <w:rPr>
                <w:rFonts w:hint="eastAsia" w:cs="Times New Roman"/>
                <w:color w:val="000000"/>
                <w:kern w:val="0"/>
                <w:szCs w:val="24"/>
                <w:u w:val="wave"/>
                <w:lang w:bidi="ar"/>
              </w:rPr>
              <w:t>5</w:t>
            </w:r>
            <w:r>
              <w:rPr>
                <w:rFonts w:cs="Times New Roman"/>
                <w:color w:val="000000"/>
                <w:kern w:val="0"/>
                <w:szCs w:val="24"/>
                <w:u w:val="wave"/>
                <w:lang w:bidi="ar"/>
              </w:rPr>
              <w:t>0mm</w:t>
            </w:r>
            <w:r>
              <w:rPr>
                <w:rFonts w:hint="eastAsia" w:ascii="宋体" w:hAnsi="宋体" w:cs="宋体"/>
                <w:color w:val="000000"/>
                <w:kern w:val="0"/>
                <w:szCs w:val="24"/>
                <w:u w:val="wave"/>
                <w:lang w:bidi="ar"/>
              </w:rPr>
              <w:t>的颗粒。大粒径原料由装载机从原料区装运至破碎机料斗后经破碎机进行破碎，原料经破碎后通过传送带输送至</w:t>
            </w:r>
            <w:r>
              <w:rPr>
                <w:rFonts w:hint="eastAsia"/>
                <w:bCs w:val="0"/>
                <w:u w:val="wave"/>
              </w:rPr>
              <w:t>原料破碎堆场。</w:t>
            </w:r>
            <w:r>
              <w:rPr>
                <w:u w:val="wave"/>
              </w:rPr>
              <w:t>为减少扬尘，破碎前对待加工钡矿喷洒水，仅使其表面湿润，减少破碎和投料产生扬尘。</w:t>
            </w:r>
          </w:p>
          <w:p w14:paraId="1011AFDD">
            <w:pPr>
              <w:pStyle w:val="140"/>
              <w:ind w:firstLine="480"/>
              <w:rPr>
                <w:u w:val="wave"/>
              </w:rPr>
            </w:pPr>
            <w:r>
              <w:rPr>
                <w:u w:val="wave"/>
              </w:rPr>
              <w:t>此工序产生的污染物包括：粉尘、噪声。</w:t>
            </w:r>
          </w:p>
          <w:p w14:paraId="33B0949F">
            <w:pPr>
              <w:pStyle w:val="140"/>
              <w:ind w:firstLine="482"/>
              <w:rPr>
                <w:b/>
                <w:bCs w:val="0"/>
                <w:u w:val="wave"/>
              </w:rPr>
            </w:pPr>
            <w:r>
              <w:rPr>
                <w:rFonts w:hint="eastAsia"/>
                <w:b/>
                <w:bCs w:val="0"/>
                <w:u w:val="wave"/>
              </w:rPr>
              <w:t>磨粉：</w:t>
            </w:r>
          </w:p>
          <w:p w14:paraId="2A31DD96">
            <w:pPr>
              <w:pStyle w:val="140"/>
              <w:ind w:firstLine="480"/>
              <w:rPr>
                <w:u w:val="wave"/>
              </w:rPr>
            </w:pPr>
            <w:r>
              <w:rPr>
                <w:rFonts w:hint="eastAsia"/>
                <w:u w:val="wave"/>
              </w:rPr>
              <w:t>储料斗中的原料通过电磁振动给料方式进入磨粉机进行研磨，</w:t>
            </w:r>
            <w:r>
              <w:rPr>
                <w:rFonts w:cs="Times New Roman"/>
                <w:color w:val="000000"/>
                <w:szCs w:val="24"/>
                <w:u w:val="wave"/>
              </w:rPr>
              <w:t>研磨成粉的物料之后在选粉机的作用下被吹起来，达不到要求的</w:t>
            </w:r>
            <w:r>
              <w:rPr>
                <w:rFonts w:hint="eastAsia" w:cs="Times New Roman"/>
                <w:color w:val="000000"/>
                <w:szCs w:val="24"/>
                <w:u w:val="wave"/>
              </w:rPr>
              <w:t>返回</w:t>
            </w:r>
            <w:r>
              <w:rPr>
                <w:rFonts w:cs="Times New Roman"/>
                <w:color w:val="000000"/>
                <w:szCs w:val="24"/>
                <w:u w:val="wave"/>
              </w:rPr>
              <w:t>粉磨机继续研磨。通过选粉机的物料进入双旋风收集器进行分离收集，符合细度的粉料随气流经管道进入旋风收集器内，进行分离收集，经自由落体落下来后，再经粉管排出即为成品（</w:t>
            </w:r>
            <w:r>
              <w:rPr>
                <w:rFonts w:hint="eastAsia"/>
                <w:u w:val="wave"/>
              </w:rPr>
              <w:t>粒径325~1200目左右</w:t>
            </w:r>
            <w:r>
              <w:rPr>
                <w:rFonts w:cs="Times New Roman"/>
                <w:color w:val="000000"/>
                <w:szCs w:val="24"/>
                <w:u w:val="wave"/>
              </w:rPr>
              <w:t>）。气流再由旋风收集器上端回风管吸入鼓风机，部分余风进入脉冲除尘器，整个风路系统是密闭循环的。微量不符合细度要求的细粉随风流进入脉冲除尘器收集后掺入成品中外售。</w:t>
            </w:r>
          </w:p>
          <w:p w14:paraId="05D4B8EC">
            <w:pPr>
              <w:pStyle w:val="140"/>
              <w:ind w:firstLine="480"/>
              <w:rPr>
                <w:u w:val="wave"/>
              </w:rPr>
            </w:pPr>
            <w:r>
              <w:rPr>
                <w:u w:val="wave"/>
              </w:rPr>
              <w:t>此工序产生的污染物包括：粉尘、噪声。</w:t>
            </w:r>
          </w:p>
          <w:p w14:paraId="542A9402">
            <w:pPr>
              <w:pStyle w:val="140"/>
              <w:ind w:firstLine="482"/>
              <w:rPr>
                <w:u w:val="wave"/>
              </w:rPr>
            </w:pPr>
            <w:r>
              <w:rPr>
                <w:b/>
                <w:u w:val="wave"/>
              </w:rPr>
              <w:t>磨粉机原理：</w:t>
            </w:r>
            <w:r>
              <w:fldChar w:fldCharType="begin"/>
            </w:r>
            <w:r>
              <w:instrText xml:space="preserve"> HYPERLINK "https://www.lm-china.org/tgmmofenji/" \t "https://www.lm-china.org/mtwmofenji/_blank" </w:instrText>
            </w:r>
            <w:r>
              <w:fldChar w:fldCharType="separate"/>
            </w:r>
            <w:r>
              <w:rPr>
                <w:rFonts w:cs="Times New Roman"/>
                <w:color w:val="000000"/>
                <w:szCs w:val="24"/>
                <w:u w:val="wave"/>
              </w:rPr>
              <w:t>磨粉机</w:t>
            </w:r>
            <w:r>
              <w:rPr>
                <w:rFonts w:cs="Times New Roman"/>
                <w:color w:val="000000"/>
                <w:szCs w:val="24"/>
                <w:u w:val="wave"/>
              </w:rPr>
              <w:fldChar w:fldCharType="end"/>
            </w:r>
            <w:r>
              <w:rPr>
                <w:rFonts w:cs="Times New Roman"/>
                <w:color w:val="000000"/>
                <w:szCs w:val="24"/>
                <w:u w:val="wave"/>
              </w:rPr>
              <w:t>主机工作过程是通过锥齿轮整体传动装置带动中心轴转动，轴的上端联结着磨辊吊架，架上装有磨辊装置并形成摆动支点。磨辊装置不仅围绕中心轴回转，还围绕着磨环公转，磨辊本身因摩擦作用而自转。磨辊吊架下装有铲刀，其位置处于磨辊下端，铲刀与磨辊同转过程中把物料抛起喂入磨辊磨环之间，形成垫料层，该料层受磨辊旋转产生向外的离心力（即挤压力）将物料碾碎，由此而达到制粉目的</w:t>
            </w:r>
            <w:r>
              <w:rPr>
                <w:u w:val="wave"/>
              </w:rPr>
              <w:t>。</w:t>
            </w:r>
          </w:p>
          <w:p w14:paraId="08F10CB8">
            <w:pPr>
              <w:pStyle w:val="140"/>
              <w:ind w:firstLine="0" w:firstLineChars="0"/>
              <w:jc w:val="center"/>
            </w:pPr>
            <w:r>
              <w:drawing>
                <wp:inline distT="0" distB="0" distL="0" distR="0">
                  <wp:extent cx="3009265" cy="3456940"/>
                  <wp:effectExtent l="0" t="0" r="63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009524" cy="3457143"/>
                          </a:xfrm>
                          <a:prstGeom prst="rect">
                            <a:avLst/>
                          </a:prstGeom>
                        </pic:spPr>
                      </pic:pic>
                    </a:graphicData>
                  </a:graphic>
                </wp:inline>
              </w:drawing>
            </w:r>
          </w:p>
          <w:p w14:paraId="31B25F20">
            <w:pPr>
              <w:widowControl/>
              <w:spacing w:after="120" w:afterLines="50"/>
              <w:jc w:val="center"/>
              <w:rPr>
                <w:b/>
                <w:bCs/>
              </w:rPr>
            </w:pPr>
            <w:r>
              <w:rPr>
                <w:rFonts w:hint="eastAsia"/>
                <w:b/>
                <w:bCs/>
              </w:rPr>
              <w:t>图2-2  磨粉机结构示意图</w:t>
            </w:r>
          </w:p>
          <w:p w14:paraId="3CD11C08">
            <w:pPr>
              <w:pStyle w:val="140"/>
              <w:ind w:firstLine="482"/>
              <w:rPr>
                <w:b/>
              </w:rPr>
            </w:pPr>
            <w:r>
              <w:rPr>
                <w:rFonts w:hint="eastAsia"/>
                <w:b/>
              </w:rPr>
              <w:t>成品包装、入库、外售：</w:t>
            </w:r>
          </w:p>
          <w:p w14:paraId="2332CFDE">
            <w:pPr>
              <w:pStyle w:val="140"/>
              <w:ind w:firstLine="480"/>
            </w:pPr>
            <w:r>
              <w:rPr>
                <w:rFonts w:hint="eastAsia"/>
              </w:rPr>
              <w:t>经研磨合格的产品经管道输送（绞龙输送）到成品筒仓（自带仓顶除尘器，留进出口），成品经落料口下料，采用包装机对产品进行包装。</w:t>
            </w:r>
            <w:r>
              <w:rPr>
                <w:rFonts w:hint="eastAsia"/>
                <w:u w:val="wave"/>
              </w:rPr>
              <w:t>包装机采用</w:t>
            </w:r>
            <w:bookmarkStart w:id="27" w:name="OLE_LINK72"/>
            <w:r>
              <w:rPr>
                <w:rFonts w:hint="eastAsia"/>
                <w:u w:val="wave"/>
              </w:rPr>
              <w:t>阀口包装机</w:t>
            </w:r>
            <w:bookmarkEnd w:id="27"/>
            <w:r>
              <w:rPr>
                <w:rFonts w:hint="eastAsia"/>
                <w:u w:val="wave"/>
              </w:rPr>
              <w:t>形式，阀口袋的进料口套在包装机的出料管上，当重晶石粉进入包装袋且达到设定的重量后停止装袋，倒袋时袋内的物料反向流动封闭袋口处的舌型口，避免物料外泄。</w:t>
            </w:r>
            <w:r>
              <w:rPr>
                <w:rFonts w:hint="eastAsia"/>
              </w:rPr>
              <w:t>包装后的袋装成品，由叉车转运至成品区码垛堆存后外售。该过程主要污染物为粉尘和噪声、废包装袋。</w:t>
            </w:r>
          </w:p>
          <w:p w14:paraId="766249AC">
            <w:pPr>
              <w:pStyle w:val="140"/>
              <w:ind w:firstLine="480"/>
            </w:pPr>
            <w:r>
              <w:t>此工序产生的污染物包括：噪声</w:t>
            </w:r>
            <w:r>
              <w:rPr>
                <w:rFonts w:hint="eastAsia"/>
              </w:rPr>
              <w:t>。</w:t>
            </w:r>
          </w:p>
        </w:tc>
      </w:tr>
      <w:tr w14:paraId="2048D2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81" w:type="dxa"/>
            <w:vAlign w:val="center"/>
          </w:tcPr>
          <w:p w14:paraId="46D4DD06">
            <w:pPr>
              <w:adjustRightInd w:val="0"/>
              <w:snapToGrid w:val="0"/>
              <w:jc w:val="center"/>
              <w:rPr>
                <w:rFonts w:eastAsiaTheme="minorEastAsia"/>
                <w:sz w:val="24"/>
              </w:rPr>
            </w:pPr>
            <w:r>
              <w:rPr>
                <w:rFonts w:hint="eastAsia" w:ascii="宋体" w:hAnsi="宋体" w:cs="宋体"/>
                <w:b/>
                <w:kern w:val="0"/>
                <w:sz w:val="24"/>
              </w:rPr>
              <w:t>与项目有关的原有环境污染问题</w:t>
            </w:r>
          </w:p>
        </w:tc>
        <w:tc>
          <w:tcPr>
            <w:tcW w:w="9525" w:type="dxa"/>
          </w:tcPr>
          <w:p w14:paraId="55CA2475">
            <w:pPr>
              <w:autoSpaceDE w:val="0"/>
              <w:autoSpaceDN w:val="0"/>
              <w:adjustRightInd w:val="0"/>
              <w:spacing w:line="360" w:lineRule="auto"/>
              <w:ind w:firstLine="480" w:firstLineChars="200"/>
              <w:rPr>
                <w:rFonts w:eastAsiaTheme="minorEastAsia"/>
                <w:sz w:val="24"/>
              </w:rPr>
            </w:pPr>
            <w:r>
              <w:rPr>
                <w:rFonts w:hint="eastAsia" w:eastAsiaTheme="minorEastAsia"/>
                <w:sz w:val="24"/>
              </w:rPr>
              <w:t>本项目租赁</w:t>
            </w:r>
            <w:r>
              <w:rPr>
                <w:bCs/>
                <w:sz w:val="24"/>
              </w:rPr>
              <w:t>租赁</w:t>
            </w:r>
            <w:r>
              <w:rPr>
                <w:rFonts w:hint="eastAsia"/>
                <w:kern w:val="0"/>
                <w:sz w:val="24"/>
                <w:szCs w:val="20"/>
              </w:rPr>
              <w:t>湖南衡利丰陶瓷有限公司闲置厂房的部分区域</w:t>
            </w:r>
            <w:r>
              <w:rPr>
                <w:rFonts w:hint="eastAsia" w:eastAsiaTheme="minorEastAsia"/>
                <w:sz w:val="24"/>
              </w:rPr>
              <w:t>进行生产，项目用电、用水、排水等基础工程均依托</w:t>
            </w:r>
            <w:r>
              <w:rPr>
                <w:rFonts w:hint="eastAsia"/>
                <w:kern w:val="0"/>
                <w:sz w:val="24"/>
                <w:szCs w:val="20"/>
              </w:rPr>
              <w:t>湖南衡利丰陶瓷有限公司</w:t>
            </w:r>
            <w:r>
              <w:rPr>
                <w:rFonts w:hint="eastAsia" w:eastAsiaTheme="minorEastAsia"/>
                <w:sz w:val="24"/>
              </w:rPr>
              <w:t>现有基础配套设施。本项目租赁厂房原用途为</w:t>
            </w:r>
            <w:r>
              <w:rPr>
                <w:rFonts w:hint="eastAsia"/>
                <w:kern w:val="0"/>
                <w:sz w:val="24"/>
                <w:szCs w:val="20"/>
              </w:rPr>
              <w:t>湖南衡利丰陶瓷有限公司</w:t>
            </w:r>
            <w:r>
              <w:rPr>
                <w:rFonts w:hint="eastAsia" w:eastAsiaTheme="minorEastAsia"/>
                <w:sz w:val="24"/>
              </w:rPr>
              <w:t>烧成车间，已于2020年前停止生产不再经营，并对各类建筑进行清扫、厂区地面环境进行清理、归整，原场地涉及废机油等均在原厂生产过程中委托相关处置单位有效处置，厂区不存在危险废物遗留等环境问题。目前现有场地闲置。</w:t>
            </w:r>
          </w:p>
          <w:p w14:paraId="23BE7A9A">
            <w:pPr>
              <w:autoSpaceDE w:val="0"/>
              <w:autoSpaceDN w:val="0"/>
              <w:adjustRightInd w:val="0"/>
              <w:spacing w:line="360" w:lineRule="auto"/>
              <w:ind w:firstLine="480" w:firstLineChars="200"/>
              <w:rPr>
                <w:rFonts w:eastAsiaTheme="minorEastAsia"/>
                <w:sz w:val="24"/>
              </w:rPr>
            </w:pPr>
            <w:r>
              <w:rPr>
                <w:rFonts w:hint="eastAsia" w:eastAsiaTheme="minorEastAsia"/>
                <w:sz w:val="24"/>
              </w:rPr>
              <w:t>本项目为新建项目，不存在与本项目相关的原有环境污染问题。</w:t>
            </w:r>
          </w:p>
          <w:p w14:paraId="339E9206">
            <w:pPr>
              <w:autoSpaceDE w:val="0"/>
              <w:autoSpaceDN w:val="0"/>
              <w:adjustRightInd w:val="0"/>
              <w:spacing w:line="360" w:lineRule="auto"/>
              <w:ind w:firstLine="480" w:firstLineChars="200"/>
              <w:rPr>
                <w:rFonts w:eastAsiaTheme="minorEastAsia"/>
                <w:sz w:val="24"/>
              </w:rPr>
            </w:pPr>
          </w:p>
          <w:p w14:paraId="5337E69C">
            <w:pPr>
              <w:autoSpaceDE w:val="0"/>
              <w:autoSpaceDN w:val="0"/>
              <w:adjustRightInd w:val="0"/>
              <w:spacing w:line="360" w:lineRule="auto"/>
              <w:ind w:firstLine="480" w:firstLineChars="200"/>
              <w:rPr>
                <w:rFonts w:eastAsiaTheme="minorEastAsia"/>
                <w:sz w:val="24"/>
              </w:rPr>
            </w:pPr>
          </w:p>
          <w:p w14:paraId="2A8D4524">
            <w:pPr>
              <w:autoSpaceDE w:val="0"/>
              <w:autoSpaceDN w:val="0"/>
              <w:adjustRightInd w:val="0"/>
              <w:spacing w:line="360" w:lineRule="auto"/>
              <w:ind w:firstLine="480" w:firstLineChars="200"/>
              <w:rPr>
                <w:rFonts w:eastAsiaTheme="minorEastAsia"/>
                <w:sz w:val="24"/>
              </w:rPr>
            </w:pPr>
          </w:p>
          <w:p w14:paraId="677EEF73">
            <w:pPr>
              <w:autoSpaceDE w:val="0"/>
              <w:autoSpaceDN w:val="0"/>
              <w:adjustRightInd w:val="0"/>
              <w:spacing w:line="360" w:lineRule="auto"/>
              <w:ind w:firstLine="480" w:firstLineChars="200"/>
              <w:rPr>
                <w:rFonts w:eastAsiaTheme="minorEastAsia"/>
                <w:sz w:val="24"/>
              </w:rPr>
            </w:pPr>
          </w:p>
          <w:p w14:paraId="1D674131"/>
          <w:p w14:paraId="0F6EB290"/>
          <w:p w14:paraId="199E61DB">
            <w:pPr>
              <w:pStyle w:val="2"/>
            </w:pPr>
          </w:p>
          <w:p w14:paraId="7DDC074D">
            <w:pPr>
              <w:pStyle w:val="4"/>
            </w:pPr>
          </w:p>
          <w:p w14:paraId="23EB9139"/>
          <w:p w14:paraId="3C1FD0EE">
            <w:pPr>
              <w:pStyle w:val="2"/>
            </w:pPr>
          </w:p>
          <w:p w14:paraId="37A503BE">
            <w:pPr>
              <w:pStyle w:val="4"/>
            </w:pPr>
          </w:p>
          <w:p w14:paraId="53FAECA3"/>
          <w:p w14:paraId="5BA5CD8A">
            <w:pPr>
              <w:pStyle w:val="2"/>
            </w:pPr>
          </w:p>
          <w:p w14:paraId="64B9D387">
            <w:pPr>
              <w:pStyle w:val="4"/>
            </w:pPr>
          </w:p>
          <w:p w14:paraId="6358EEE4"/>
          <w:p w14:paraId="7E0F5292">
            <w:pPr>
              <w:pStyle w:val="2"/>
            </w:pPr>
          </w:p>
          <w:p w14:paraId="77BFE626">
            <w:pPr>
              <w:pStyle w:val="4"/>
            </w:pPr>
          </w:p>
          <w:p w14:paraId="4EE9F147"/>
          <w:p w14:paraId="62C6FC94">
            <w:pPr>
              <w:pStyle w:val="2"/>
            </w:pPr>
          </w:p>
          <w:p w14:paraId="0799C5EA">
            <w:pPr>
              <w:pStyle w:val="4"/>
            </w:pPr>
          </w:p>
          <w:p w14:paraId="55BB8CCE"/>
          <w:p w14:paraId="0B30C7F5">
            <w:pPr>
              <w:pStyle w:val="2"/>
            </w:pPr>
          </w:p>
          <w:p w14:paraId="08B06D09">
            <w:pPr>
              <w:pStyle w:val="4"/>
            </w:pPr>
          </w:p>
          <w:p w14:paraId="40C727AC"/>
          <w:p w14:paraId="716C5601">
            <w:pPr>
              <w:pStyle w:val="2"/>
            </w:pPr>
          </w:p>
          <w:p w14:paraId="55608AE5">
            <w:pPr>
              <w:pStyle w:val="4"/>
            </w:pPr>
          </w:p>
          <w:p w14:paraId="63595628"/>
          <w:p w14:paraId="271B6115">
            <w:pPr>
              <w:pStyle w:val="2"/>
            </w:pPr>
          </w:p>
          <w:p w14:paraId="591CD20A">
            <w:pPr>
              <w:pStyle w:val="4"/>
            </w:pPr>
          </w:p>
          <w:p w14:paraId="5E61B37D"/>
          <w:p w14:paraId="15F55393">
            <w:pPr>
              <w:pStyle w:val="2"/>
            </w:pPr>
          </w:p>
          <w:p w14:paraId="2053DAA3">
            <w:pPr>
              <w:pStyle w:val="4"/>
            </w:pPr>
          </w:p>
          <w:p w14:paraId="58522CDB"/>
          <w:p w14:paraId="66CAE106">
            <w:pPr>
              <w:pStyle w:val="2"/>
            </w:pPr>
          </w:p>
          <w:p w14:paraId="026E4B73">
            <w:pPr>
              <w:pStyle w:val="4"/>
            </w:pPr>
          </w:p>
          <w:p w14:paraId="3D4EB8AE"/>
        </w:tc>
      </w:tr>
    </w:tbl>
    <w:p w14:paraId="0DB5F5F8">
      <w:pPr>
        <w:pStyle w:val="31"/>
        <w:jc w:val="center"/>
        <w:rPr>
          <w:rFonts w:ascii="黑体" w:hAnsi="黑体" w:eastAsia="黑体"/>
          <w:snapToGrid w:val="0"/>
          <w:sz w:val="36"/>
          <w:szCs w:val="36"/>
        </w:rPr>
        <w:sectPr>
          <w:pgSz w:w="11906" w:h="16838"/>
          <w:pgMar w:top="1701" w:right="1531" w:bottom="1701" w:left="1531" w:header="851" w:footer="851" w:gutter="0"/>
          <w:cols w:space="720" w:num="1"/>
          <w:docGrid w:linePitch="312" w:charSpace="0"/>
        </w:sectPr>
      </w:pPr>
    </w:p>
    <w:p w14:paraId="212FC0E2">
      <w:pPr>
        <w:pStyle w:val="31"/>
        <w:jc w:val="center"/>
        <w:outlineLvl w:val="0"/>
        <w:rPr>
          <w:rFonts w:ascii="黑体" w:hAnsi="黑体" w:eastAsia="黑体"/>
          <w:snapToGrid w:val="0"/>
          <w:sz w:val="30"/>
          <w:szCs w:val="30"/>
        </w:rPr>
      </w:pPr>
      <w:bookmarkStart w:id="28" w:name="_Toc111712328"/>
      <w:r>
        <w:rPr>
          <w:rFonts w:hint="eastAsia" w:ascii="黑体" w:hAnsi="黑体" w:eastAsia="黑体"/>
          <w:snapToGrid w:val="0"/>
          <w:sz w:val="30"/>
          <w:szCs w:val="30"/>
        </w:rPr>
        <w:t>三、区域环境质量现状、环境保护目标及评价标准</w:t>
      </w:r>
      <w:bookmarkEnd w:id="28"/>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76"/>
        <w:gridCol w:w="9630"/>
      </w:tblGrid>
      <w:tr w14:paraId="65BFC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2" w:type="pct"/>
            <w:vAlign w:val="center"/>
          </w:tcPr>
          <w:p w14:paraId="2E2F9934">
            <w:pPr>
              <w:adjustRightInd w:val="0"/>
              <w:snapToGrid w:val="0"/>
              <w:jc w:val="center"/>
              <w:rPr>
                <w:rFonts w:ascii="宋体" w:hAnsi="宋体" w:cs="宋体"/>
                <w:b/>
                <w:kern w:val="0"/>
                <w:sz w:val="24"/>
              </w:rPr>
            </w:pPr>
            <w:r>
              <w:rPr>
                <w:rFonts w:hint="eastAsia" w:ascii="宋体" w:hAnsi="宋体" w:cs="宋体"/>
                <w:b/>
                <w:kern w:val="0"/>
                <w:sz w:val="24"/>
              </w:rPr>
              <w:t>区域</w:t>
            </w:r>
          </w:p>
          <w:p w14:paraId="00C7BF11">
            <w:pPr>
              <w:adjustRightInd w:val="0"/>
              <w:snapToGrid w:val="0"/>
              <w:jc w:val="center"/>
              <w:rPr>
                <w:rFonts w:ascii="宋体" w:hAnsi="宋体" w:cs="宋体"/>
                <w:b/>
                <w:kern w:val="0"/>
                <w:sz w:val="24"/>
              </w:rPr>
            </w:pPr>
            <w:r>
              <w:rPr>
                <w:rFonts w:hint="eastAsia" w:ascii="宋体" w:hAnsi="宋体" w:cs="宋体"/>
                <w:b/>
                <w:kern w:val="0"/>
                <w:sz w:val="24"/>
              </w:rPr>
              <w:t>环境</w:t>
            </w:r>
          </w:p>
          <w:p w14:paraId="7FA456FD">
            <w:pPr>
              <w:adjustRightInd w:val="0"/>
              <w:snapToGrid w:val="0"/>
              <w:jc w:val="center"/>
              <w:rPr>
                <w:rFonts w:ascii="宋体" w:hAnsi="宋体" w:cs="宋体"/>
                <w:b/>
                <w:kern w:val="0"/>
                <w:sz w:val="24"/>
              </w:rPr>
            </w:pPr>
            <w:r>
              <w:rPr>
                <w:rFonts w:hint="eastAsia" w:ascii="宋体" w:hAnsi="宋体" w:cs="宋体"/>
                <w:b/>
                <w:kern w:val="0"/>
                <w:sz w:val="24"/>
              </w:rPr>
              <w:t>质量</w:t>
            </w:r>
          </w:p>
          <w:p w14:paraId="29E1EBF1">
            <w:pPr>
              <w:adjustRightInd w:val="0"/>
              <w:snapToGrid w:val="0"/>
              <w:jc w:val="center"/>
              <w:rPr>
                <w:rFonts w:ascii="宋体" w:hAnsi="宋体" w:cs="宋体"/>
                <w:b/>
                <w:kern w:val="0"/>
                <w:sz w:val="24"/>
              </w:rPr>
            </w:pPr>
            <w:r>
              <w:rPr>
                <w:rFonts w:hint="eastAsia" w:ascii="宋体" w:hAnsi="宋体" w:cs="宋体"/>
                <w:b/>
                <w:kern w:val="0"/>
                <w:sz w:val="24"/>
              </w:rPr>
              <w:t>现状</w:t>
            </w:r>
          </w:p>
        </w:tc>
        <w:tc>
          <w:tcPr>
            <w:tcW w:w="4718" w:type="pct"/>
            <w:vAlign w:val="center"/>
          </w:tcPr>
          <w:p w14:paraId="4CE9E4B4">
            <w:pPr>
              <w:adjustRightInd w:val="0"/>
              <w:snapToGrid w:val="0"/>
              <w:spacing w:line="360" w:lineRule="auto"/>
              <w:ind w:firstLine="482" w:firstLineChars="200"/>
              <w:rPr>
                <w:b/>
                <w:sz w:val="24"/>
              </w:rPr>
            </w:pPr>
            <w:r>
              <w:rPr>
                <w:b/>
                <w:sz w:val="24"/>
              </w:rPr>
              <w:t>一、环境空气质量现状</w:t>
            </w:r>
          </w:p>
          <w:p w14:paraId="17CA00B7">
            <w:pPr>
              <w:spacing w:line="360" w:lineRule="auto"/>
              <w:ind w:firstLine="482" w:firstLineChars="200"/>
              <w:jc w:val="left"/>
              <w:rPr>
                <w:b/>
                <w:sz w:val="24"/>
              </w:rPr>
            </w:pPr>
            <w:r>
              <w:rPr>
                <w:rFonts w:hint="eastAsia"/>
                <w:b/>
                <w:sz w:val="24"/>
              </w:rPr>
              <w:t>1、区域环境质量</w:t>
            </w:r>
          </w:p>
          <w:p w14:paraId="31F22AA3">
            <w:pPr>
              <w:tabs>
                <w:tab w:val="left" w:pos="3544"/>
              </w:tabs>
              <w:adjustRightInd w:val="0"/>
              <w:snapToGrid w:val="0"/>
              <w:spacing w:line="360" w:lineRule="auto"/>
              <w:ind w:firstLine="480" w:firstLineChars="200"/>
              <w:rPr>
                <w:b/>
                <w:bCs/>
                <w:sz w:val="24"/>
              </w:rPr>
            </w:pPr>
            <w:r>
              <w:rPr>
                <w:sz w:val="24"/>
              </w:rPr>
              <w:t>根据《环境影响评价技术导则</w:t>
            </w:r>
            <w:r>
              <w:rPr>
                <w:rFonts w:hint="eastAsia"/>
                <w:sz w:val="24"/>
              </w:rPr>
              <w:t xml:space="preserve">  </w:t>
            </w:r>
            <w:r>
              <w:rPr>
                <w:sz w:val="24"/>
              </w:rPr>
              <w:t>大气环境》（HJ2.2-2018）6.2.1基本污染物环境质量现状数据</w:t>
            </w:r>
            <w:r>
              <w:rPr>
                <w:rFonts w:hint="eastAsia" w:ascii="宋体" w:hAnsi="宋体"/>
                <w:sz w:val="24"/>
              </w:rPr>
              <w:t>“</w:t>
            </w:r>
            <w:r>
              <w:rPr>
                <w:sz w:val="24"/>
              </w:rPr>
              <w:t>采用评价范围内国家或地方环境空气质量监测网中评价基准年连续1年的监测数据，或采用生态环境主管部门公开发布的环境空气质量现状数据</w:t>
            </w:r>
            <w:r>
              <w:rPr>
                <w:rFonts w:hint="eastAsia" w:ascii="宋体" w:hAnsi="宋体"/>
                <w:sz w:val="24"/>
              </w:rPr>
              <w:t>”</w:t>
            </w:r>
            <w:r>
              <w:rPr>
                <w:sz w:val="24"/>
              </w:rPr>
              <w:t>的规定；引用的数据为近3年的数据，满足引用要求。故本次评价收集了项目评价范围内有环境质量标准的评价因子的环境质量监测数据，选取20</w:t>
            </w:r>
            <w:r>
              <w:rPr>
                <w:rFonts w:hint="eastAsia"/>
                <w:sz w:val="24"/>
              </w:rPr>
              <w:t>24</w:t>
            </w:r>
            <w:r>
              <w:rPr>
                <w:sz w:val="24"/>
              </w:rPr>
              <w:t>年为本评价的基准年，根据</w:t>
            </w:r>
            <w:r>
              <w:rPr>
                <w:rFonts w:hint="eastAsia" w:hAnsi="宋体"/>
                <w:kern w:val="0"/>
                <w:sz w:val="24"/>
              </w:rPr>
              <w:t>衡阳市生态环境局《</w:t>
            </w:r>
            <w:bookmarkStart w:id="29" w:name="OLE_LINK18"/>
            <w:r>
              <w:rPr>
                <w:rFonts w:hint="eastAsia" w:hAnsi="宋体"/>
                <w:kern w:val="0"/>
                <w:sz w:val="24"/>
              </w:rPr>
              <w:t>关于2024年12月份及1~12月份全市环境质量状况的通报</w:t>
            </w:r>
            <w:bookmarkEnd w:id="29"/>
            <w:r>
              <w:rPr>
                <w:rFonts w:hint="eastAsia" w:hAnsi="宋体"/>
                <w:kern w:val="0"/>
                <w:sz w:val="24"/>
              </w:rPr>
              <w:t>》</w:t>
            </w:r>
            <w:r>
              <w:rPr>
                <w:sz w:val="24"/>
              </w:rPr>
              <w:t>中相关数据进行判定，其判定结果如下。</w:t>
            </w:r>
          </w:p>
          <w:p w14:paraId="727DA30F">
            <w:pPr>
              <w:autoSpaceDE w:val="0"/>
              <w:autoSpaceDN w:val="0"/>
              <w:adjustRightInd w:val="0"/>
              <w:spacing w:before="120" w:beforeLines="50"/>
              <w:jc w:val="center"/>
              <w:rPr>
                <w:b/>
                <w:kern w:val="0"/>
                <w:szCs w:val="21"/>
              </w:rPr>
            </w:pPr>
            <w:bookmarkStart w:id="30" w:name="_Ref528415780"/>
            <w:r>
              <w:rPr>
                <w:b/>
                <w:kern w:val="0"/>
                <w:szCs w:val="21"/>
              </w:rPr>
              <w:t>表</w:t>
            </w:r>
            <w:bookmarkEnd w:id="30"/>
            <w:r>
              <w:rPr>
                <w:rFonts w:hint="eastAsia"/>
                <w:b/>
                <w:kern w:val="0"/>
                <w:szCs w:val="21"/>
              </w:rPr>
              <w:t>3</w:t>
            </w:r>
            <w:r>
              <w:rPr>
                <w:b/>
                <w:kern w:val="0"/>
                <w:szCs w:val="21"/>
              </w:rPr>
              <w:t>-1  区域空气质量现状评价表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6"/>
              <w:gridCol w:w="3052"/>
              <w:gridCol w:w="2098"/>
              <w:gridCol w:w="1924"/>
              <w:gridCol w:w="1334"/>
            </w:tblGrid>
            <w:tr w14:paraId="126B36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12" w:space="0"/>
                    <w:left w:val="single" w:color="auto" w:sz="12" w:space="0"/>
                    <w:bottom w:val="single" w:color="auto" w:sz="6" w:space="0"/>
                    <w:right w:val="single" w:color="auto" w:sz="6" w:space="0"/>
                  </w:tcBorders>
                  <w:vAlign w:val="center"/>
                </w:tcPr>
                <w:p w14:paraId="333C3B71">
                  <w:pPr>
                    <w:snapToGrid w:val="0"/>
                    <w:spacing w:line="0" w:lineRule="atLeast"/>
                    <w:jc w:val="center"/>
                    <w:rPr>
                      <w:b/>
                      <w:szCs w:val="21"/>
                    </w:rPr>
                  </w:pPr>
                  <w:r>
                    <w:rPr>
                      <w:b/>
                      <w:szCs w:val="21"/>
                    </w:rPr>
                    <w:t>污染物</w:t>
                  </w:r>
                </w:p>
              </w:tc>
              <w:tc>
                <w:tcPr>
                  <w:tcW w:w="1626" w:type="pct"/>
                  <w:tcBorders>
                    <w:top w:val="single" w:color="auto" w:sz="12" w:space="0"/>
                    <w:left w:val="single" w:color="auto" w:sz="6" w:space="0"/>
                    <w:bottom w:val="single" w:color="auto" w:sz="6" w:space="0"/>
                    <w:right w:val="single" w:color="auto" w:sz="6" w:space="0"/>
                  </w:tcBorders>
                  <w:vAlign w:val="center"/>
                </w:tcPr>
                <w:p w14:paraId="636FF91D">
                  <w:pPr>
                    <w:snapToGrid w:val="0"/>
                    <w:spacing w:line="0" w:lineRule="atLeast"/>
                    <w:jc w:val="center"/>
                    <w:rPr>
                      <w:b/>
                      <w:szCs w:val="21"/>
                    </w:rPr>
                  </w:pPr>
                  <w:r>
                    <w:rPr>
                      <w:b/>
                      <w:szCs w:val="21"/>
                    </w:rPr>
                    <w:t>年评价指标</w:t>
                  </w:r>
                </w:p>
              </w:tc>
              <w:tc>
                <w:tcPr>
                  <w:tcW w:w="1118" w:type="pct"/>
                  <w:tcBorders>
                    <w:top w:val="single" w:color="auto" w:sz="12" w:space="0"/>
                    <w:left w:val="single" w:color="auto" w:sz="6" w:space="0"/>
                    <w:bottom w:val="single" w:color="auto" w:sz="6" w:space="0"/>
                    <w:right w:val="single" w:color="auto" w:sz="6" w:space="0"/>
                  </w:tcBorders>
                  <w:vAlign w:val="center"/>
                </w:tcPr>
                <w:p w14:paraId="61597BEE">
                  <w:pPr>
                    <w:snapToGrid w:val="0"/>
                    <w:spacing w:line="0" w:lineRule="atLeast"/>
                    <w:jc w:val="center"/>
                    <w:rPr>
                      <w:b/>
                      <w:szCs w:val="21"/>
                    </w:rPr>
                  </w:pPr>
                  <w:r>
                    <w:rPr>
                      <w:b/>
                      <w:szCs w:val="21"/>
                    </w:rPr>
                    <w:t>现状浓度（</w:t>
                  </w:r>
                  <w:r>
                    <w:rPr>
                      <w:b/>
                    </w:rPr>
                    <w:t>µg/m</w:t>
                  </w:r>
                  <w:r>
                    <w:rPr>
                      <w:b/>
                      <w:vertAlign w:val="superscript"/>
                    </w:rPr>
                    <w:t>3</w:t>
                  </w:r>
                  <w:r>
                    <w:rPr>
                      <w:b/>
                      <w:szCs w:val="21"/>
                    </w:rPr>
                    <w:t>）</w:t>
                  </w:r>
                </w:p>
              </w:tc>
              <w:tc>
                <w:tcPr>
                  <w:tcW w:w="1025" w:type="pct"/>
                  <w:tcBorders>
                    <w:top w:val="single" w:color="auto" w:sz="12" w:space="0"/>
                    <w:left w:val="single" w:color="auto" w:sz="6" w:space="0"/>
                    <w:bottom w:val="single" w:color="auto" w:sz="6" w:space="0"/>
                    <w:right w:val="single" w:color="auto" w:sz="6" w:space="0"/>
                  </w:tcBorders>
                  <w:vAlign w:val="center"/>
                </w:tcPr>
                <w:p w14:paraId="0A182B6E">
                  <w:pPr>
                    <w:snapToGrid w:val="0"/>
                    <w:spacing w:line="0" w:lineRule="atLeast"/>
                    <w:jc w:val="center"/>
                    <w:rPr>
                      <w:b/>
                      <w:szCs w:val="21"/>
                    </w:rPr>
                  </w:pPr>
                  <w:r>
                    <w:rPr>
                      <w:b/>
                      <w:szCs w:val="21"/>
                    </w:rPr>
                    <w:t>标准值（</w:t>
                  </w:r>
                  <w:r>
                    <w:rPr>
                      <w:b/>
                    </w:rPr>
                    <w:t>µg/m</w:t>
                  </w:r>
                  <w:r>
                    <w:rPr>
                      <w:b/>
                      <w:vertAlign w:val="superscript"/>
                    </w:rPr>
                    <w:t>3</w:t>
                  </w:r>
                  <w:r>
                    <w:rPr>
                      <w:b/>
                      <w:szCs w:val="21"/>
                    </w:rPr>
                    <w:t>）</w:t>
                  </w:r>
                </w:p>
              </w:tc>
              <w:tc>
                <w:tcPr>
                  <w:tcW w:w="712" w:type="pct"/>
                  <w:tcBorders>
                    <w:top w:val="single" w:color="auto" w:sz="12" w:space="0"/>
                    <w:left w:val="single" w:color="auto" w:sz="6" w:space="0"/>
                    <w:bottom w:val="single" w:color="auto" w:sz="6" w:space="0"/>
                    <w:right w:val="single" w:color="auto" w:sz="12" w:space="0"/>
                  </w:tcBorders>
                  <w:vAlign w:val="center"/>
                </w:tcPr>
                <w:p w14:paraId="77780ED1">
                  <w:pPr>
                    <w:snapToGrid w:val="0"/>
                    <w:spacing w:line="0" w:lineRule="atLeast"/>
                    <w:jc w:val="center"/>
                    <w:rPr>
                      <w:b/>
                      <w:szCs w:val="21"/>
                    </w:rPr>
                  </w:pPr>
                  <w:r>
                    <w:rPr>
                      <w:b/>
                      <w:szCs w:val="21"/>
                    </w:rPr>
                    <w:t>达标情况</w:t>
                  </w:r>
                </w:p>
              </w:tc>
            </w:tr>
            <w:tr w14:paraId="447B35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6" w:space="0"/>
                    <w:left w:val="single" w:color="auto" w:sz="12" w:space="0"/>
                    <w:bottom w:val="single" w:color="auto" w:sz="6" w:space="0"/>
                    <w:right w:val="single" w:color="auto" w:sz="6" w:space="0"/>
                  </w:tcBorders>
                  <w:vAlign w:val="center"/>
                </w:tcPr>
                <w:p w14:paraId="2BA7994F">
                  <w:pPr>
                    <w:snapToGrid w:val="0"/>
                    <w:spacing w:line="0" w:lineRule="atLeast"/>
                    <w:jc w:val="center"/>
                    <w:rPr>
                      <w:szCs w:val="21"/>
                    </w:rPr>
                  </w:pPr>
                  <w:r>
                    <w:rPr>
                      <w:szCs w:val="21"/>
                    </w:rPr>
                    <w:t>SO</w:t>
                  </w:r>
                  <w:r>
                    <w:rPr>
                      <w:szCs w:val="21"/>
                      <w:vertAlign w:val="subscript"/>
                    </w:rPr>
                    <w:t>2</w:t>
                  </w:r>
                </w:p>
              </w:tc>
              <w:tc>
                <w:tcPr>
                  <w:tcW w:w="1626" w:type="pct"/>
                  <w:tcBorders>
                    <w:top w:val="single" w:color="auto" w:sz="6" w:space="0"/>
                    <w:left w:val="single" w:color="auto" w:sz="6" w:space="0"/>
                    <w:bottom w:val="single" w:color="auto" w:sz="6" w:space="0"/>
                    <w:right w:val="single" w:color="auto" w:sz="6" w:space="0"/>
                  </w:tcBorders>
                  <w:vAlign w:val="center"/>
                </w:tcPr>
                <w:p w14:paraId="138FF028">
                  <w:pPr>
                    <w:jc w:val="center"/>
                    <w:rPr>
                      <w:bCs/>
                      <w:szCs w:val="21"/>
                    </w:rPr>
                  </w:pPr>
                  <w:r>
                    <w:rPr>
                      <w:bCs/>
                      <w:szCs w:val="21"/>
                    </w:rPr>
                    <w:t>年平均质量浓度</w:t>
                  </w:r>
                </w:p>
              </w:tc>
              <w:tc>
                <w:tcPr>
                  <w:tcW w:w="1118" w:type="pct"/>
                  <w:tcBorders>
                    <w:top w:val="single" w:color="auto" w:sz="6" w:space="0"/>
                    <w:left w:val="single" w:color="auto" w:sz="6" w:space="0"/>
                    <w:bottom w:val="single" w:color="auto" w:sz="6" w:space="0"/>
                    <w:right w:val="single" w:color="auto" w:sz="6" w:space="0"/>
                  </w:tcBorders>
                  <w:vAlign w:val="center"/>
                </w:tcPr>
                <w:p w14:paraId="0B1C2AB7">
                  <w:pPr>
                    <w:jc w:val="center"/>
                    <w:rPr>
                      <w:bCs/>
                      <w:szCs w:val="21"/>
                    </w:rPr>
                  </w:pPr>
                  <w:r>
                    <w:rPr>
                      <w:rFonts w:hint="eastAsia"/>
                      <w:bCs/>
                      <w:szCs w:val="21"/>
                    </w:rPr>
                    <w:t>6</w:t>
                  </w:r>
                </w:p>
              </w:tc>
              <w:tc>
                <w:tcPr>
                  <w:tcW w:w="1025" w:type="pct"/>
                  <w:tcBorders>
                    <w:top w:val="single" w:color="auto" w:sz="6" w:space="0"/>
                    <w:left w:val="single" w:color="auto" w:sz="6" w:space="0"/>
                    <w:bottom w:val="single" w:color="auto" w:sz="6" w:space="0"/>
                    <w:right w:val="single" w:color="auto" w:sz="6" w:space="0"/>
                  </w:tcBorders>
                  <w:vAlign w:val="center"/>
                </w:tcPr>
                <w:p w14:paraId="39F0EA04">
                  <w:pPr>
                    <w:jc w:val="center"/>
                    <w:rPr>
                      <w:bCs/>
                      <w:szCs w:val="21"/>
                    </w:rPr>
                  </w:pPr>
                  <w:r>
                    <w:rPr>
                      <w:bCs/>
                      <w:szCs w:val="21"/>
                    </w:rPr>
                    <w:t>60</w:t>
                  </w:r>
                </w:p>
              </w:tc>
              <w:tc>
                <w:tcPr>
                  <w:tcW w:w="712" w:type="pct"/>
                  <w:tcBorders>
                    <w:top w:val="single" w:color="auto" w:sz="6" w:space="0"/>
                    <w:left w:val="single" w:color="auto" w:sz="6" w:space="0"/>
                    <w:bottom w:val="single" w:color="auto" w:sz="6" w:space="0"/>
                    <w:right w:val="single" w:color="auto" w:sz="12" w:space="0"/>
                  </w:tcBorders>
                  <w:vAlign w:val="center"/>
                </w:tcPr>
                <w:p w14:paraId="3DB92FD9">
                  <w:pPr>
                    <w:jc w:val="center"/>
                    <w:rPr>
                      <w:bCs/>
                      <w:szCs w:val="21"/>
                    </w:rPr>
                  </w:pPr>
                  <w:r>
                    <w:rPr>
                      <w:bCs/>
                      <w:szCs w:val="21"/>
                    </w:rPr>
                    <w:t>达标</w:t>
                  </w:r>
                </w:p>
              </w:tc>
            </w:tr>
            <w:tr w14:paraId="043314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6" w:space="0"/>
                    <w:left w:val="single" w:color="auto" w:sz="12" w:space="0"/>
                    <w:bottom w:val="single" w:color="auto" w:sz="6" w:space="0"/>
                    <w:right w:val="single" w:color="auto" w:sz="6" w:space="0"/>
                  </w:tcBorders>
                  <w:vAlign w:val="center"/>
                </w:tcPr>
                <w:p w14:paraId="408925F5">
                  <w:pPr>
                    <w:snapToGrid w:val="0"/>
                    <w:spacing w:line="0" w:lineRule="atLeast"/>
                    <w:jc w:val="center"/>
                    <w:rPr>
                      <w:szCs w:val="21"/>
                    </w:rPr>
                  </w:pPr>
                  <w:r>
                    <w:rPr>
                      <w:szCs w:val="21"/>
                    </w:rPr>
                    <w:t>NO</w:t>
                  </w:r>
                  <w:r>
                    <w:rPr>
                      <w:szCs w:val="21"/>
                      <w:vertAlign w:val="subscript"/>
                    </w:rPr>
                    <w:t>2</w:t>
                  </w:r>
                </w:p>
              </w:tc>
              <w:tc>
                <w:tcPr>
                  <w:tcW w:w="1626" w:type="pct"/>
                  <w:tcBorders>
                    <w:top w:val="single" w:color="auto" w:sz="6" w:space="0"/>
                    <w:left w:val="single" w:color="auto" w:sz="6" w:space="0"/>
                    <w:bottom w:val="single" w:color="auto" w:sz="6" w:space="0"/>
                    <w:right w:val="single" w:color="auto" w:sz="6" w:space="0"/>
                  </w:tcBorders>
                  <w:vAlign w:val="center"/>
                </w:tcPr>
                <w:p w14:paraId="438ECA10">
                  <w:pPr>
                    <w:jc w:val="center"/>
                    <w:rPr>
                      <w:bCs/>
                      <w:szCs w:val="21"/>
                    </w:rPr>
                  </w:pPr>
                  <w:r>
                    <w:rPr>
                      <w:bCs/>
                      <w:szCs w:val="21"/>
                    </w:rPr>
                    <w:t>年平均质量浓度</w:t>
                  </w:r>
                </w:p>
              </w:tc>
              <w:tc>
                <w:tcPr>
                  <w:tcW w:w="1118" w:type="pct"/>
                  <w:tcBorders>
                    <w:top w:val="single" w:color="auto" w:sz="6" w:space="0"/>
                    <w:left w:val="single" w:color="auto" w:sz="6" w:space="0"/>
                    <w:bottom w:val="single" w:color="auto" w:sz="6" w:space="0"/>
                    <w:right w:val="single" w:color="auto" w:sz="6" w:space="0"/>
                  </w:tcBorders>
                  <w:vAlign w:val="center"/>
                </w:tcPr>
                <w:p w14:paraId="48E3F47B">
                  <w:pPr>
                    <w:jc w:val="center"/>
                    <w:rPr>
                      <w:bCs/>
                      <w:szCs w:val="21"/>
                    </w:rPr>
                  </w:pPr>
                  <w:r>
                    <w:rPr>
                      <w:rFonts w:hint="eastAsia"/>
                      <w:bCs/>
                      <w:szCs w:val="21"/>
                    </w:rPr>
                    <w:t>11</w:t>
                  </w:r>
                </w:p>
              </w:tc>
              <w:tc>
                <w:tcPr>
                  <w:tcW w:w="1025" w:type="pct"/>
                  <w:tcBorders>
                    <w:top w:val="single" w:color="auto" w:sz="6" w:space="0"/>
                    <w:left w:val="single" w:color="auto" w:sz="6" w:space="0"/>
                    <w:bottom w:val="single" w:color="auto" w:sz="6" w:space="0"/>
                    <w:right w:val="single" w:color="auto" w:sz="6" w:space="0"/>
                  </w:tcBorders>
                  <w:vAlign w:val="center"/>
                </w:tcPr>
                <w:p w14:paraId="4E06B831">
                  <w:pPr>
                    <w:jc w:val="center"/>
                    <w:rPr>
                      <w:bCs/>
                      <w:szCs w:val="21"/>
                    </w:rPr>
                  </w:pPr>
                  <w:r>
                    <w:rPr>
                      <w:bCs/>
                      <w:szCs w:val="21"/>
                    </w:rPr>
                    <w:t>40</w:t>
                  </w:r>
                </w:p>
              </w:tc>
              <w:tc>
                <w:tcPr>
                  <w:tcW w:w="712" w:type="pct"/>
                  <w:tcBorders>
                    <w:top w:val="single" w:color="auto" w:sz="6" w:space="0"/>
                    <w:left w:val="single" w:color="auto" w:sz="6" w:space="0"/>
                    <w:bottom w:val="single" w:color="auto" w:sz="6" w:space="0"/>
                    <w:right w:val="single" w:color="auto" w:sz="12" w:space="0"/>
                  </w:tcBorders>
                  <w:vAlign w:val="center"/>
                </w:tcPr>
                <w:p w14:paraId="57412053">
                  <w:pPr>
                    <w:jc w:val="center"/>
                    <w:rPr>
                      <w:bCs/>
                      <w:szCs w:val="21"/>
                    </w:rPr>
                  </w:pPr>
                  <w:r>
                    <w:rPr>
                      <w:bCs/>
                      <w:szCs w:val="21"/>
                    </w:rPr>
                    <w:t>达标</w:t>
                  </w:r>
                </w:p>
              </w:tc>
            </w:tr>
            <w:tr w14:paraId="0B4ED1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520" w:type="pct"/>
                  <w:tcBorders>
                    <w:top w:val="single" w:color="auto" w:sz="6" w:space="0"/>
                    <w:left w:val="single" w:color="auto" w:sz="12" w:space="0"/>
                    <w:bottom w:val="single" w:color="auto" w:sz="6" w:space="0"/>
                    <w:right w:val="single" w:color="auto" w:sz="6" w:space="0"/>
                  </w:tcBorders>
                  <w:vAlign w:val="center"/>
                </w:tcPr>
                <w:p w14:paraId="3C8255A4">
                  <w:pPr>
                    <w:snapToGrid w:val="0"/>
                    <w:spacing w:line="0" w:lineRule="atLeast"/>
                    <w:jc w:val="center"/>
                    <w:rPr>
                      <w:szCs w:val="21"/>
                    </w:rPr>
                  </w:pPr>
                  <w:r>
                    <w:rPr>
                      <w:szCs w:val="21"/>
                    </w:rPr>
                    <w:t>CO</w:t>
                  </w:r>
                </w:p>
              </w:tc>
              <w:tc>
                <w:tcPr>
                  <w:tcW w:w="1626" w:type="pct"/>
                  <w:tcBorders>
                    <w:top w:val="single" w:color="auto" w:sz="6" w:space="0"/>
                    <w:left w:val="single" w:color="auto" w:sz="6" w:space="0"/>
                    <w:bottom w:val="single" w:color="auto" w:sz="6" w:space="0"/>
                    <w:right w:val="single" w:color="auto" w:sz="6" w:space="0"/>
                  </w:tcBorders>
                  <w:vAlign w:val="center"/>
                </w:tcPr>
                <w:p w14:paraId="12D70EBD">
                  <w:pPr>
                    <w:spacing w:line="280" w:lineRule="exact"/>
                    <w:jc w:val="center"/>
                    <w:rPr>
                      <w:szCs w:val="21"/>
                    </w:rPr>
                  </w:pPr>
                  <w:r>
                    <w:rPr>
                      <w:kern w:val="0"/>
                      <w:szCs w:val="21"/>
                    </w:rPr>
                    <w:t>24小时平均第95百分位数浓度</w:t>
                  </w:r>
                </w:p>
              </w:tc>
              <w:tc>
                <w:tcPr>
                  <w:tcW w:w="1118" w:type="pct"/>
                  <w:tcBorders>
                    <w:top w:val="single" w:color="auto" w:sz="6" w:space="0"/>
                    <w:left w:val="single" w:color="auto" w:sz="6" w:space="0"/>
                    <w:bottom w:val="single" w:color="auto" w:sz="6" w:space="0"/>
                    <w:right w:val="single" w:color="auto" w:sz="6" w:space="0"/>
                  </w:tcBorders>
                  <w:vAlign w:val="center"/>
                </w:tcPr>
                <w:p w14:paraId="07816352">
                  <w:pPr>
                    <w:jc w:val="center"/>
                    <w:rPr>
                      <w:szCs w:val="21"/>
                    </w:rPr>
                  </w:pPr>
                  <w:r>
                    <w:rPr>
                      <w:rFonts w:hint="eastAsia"/>
                      <w:szCs w:val="21"/>
                    </w:rPr>
                    <w:t>1100</w:t>
                  </w:r>
                </w:p>
              </w:tc>
              <w:tc>
                <w:tcPr>
                  <w:tcW w:w="1025" w:type="pct"/>
                  <w:tcBorders>
                    <w:top w:val="single" w:color="auto" w:sz="6" w:space="0"/>
                    <w:left w:val="single" w:color="auto" w:sz="6" w:space="0"/>
                    <w:bottom w:val="single" w:color="auto" w:sz="6" w:space="0"/>
                    <w:right w:val="single" w:color="auto" w:sz="6" w:space="0"/>
                  </w:tcBorders>
                  <w:vAlign w:val="center"/>
                </w:tcPr>
                <w:p w14:paraId="0F8B929F">
                  <w:pPr>
                    <w:jc w:val="center"/>
                    <w:rPr>
                      <w:szCs w:val="21"/>
                    </w:rPr>
                  </w:pPr>
                  <w:r>
                    <w:rPr>
                      <w:szCs w:val="21"/>
                    </w:rPr>
                    <w:t>4000</w:t>
                  </w:r>
                </w:p>
              </w:tc>
              <w:tc>
                <w:tcPr>
                  <w:tcW w:w="712" w:type="pct"/>
                  <w:tcBorders>
                    <w:top w:val="single" w:color="auto" w:sz="6" w:space="0"/>
                    <w:left w:val="single" w:color="auto" w:sz="6" w:space="0"/>
                    <w:bottom w:val="single" w:color="auto" w:sz="6" w:space="0"/>
                    <w:right w:val="single" w:color="auto" w:sz="12" w:space="0"/>
                  </w:tcBorders>
                  <w:vAlign w:val="center"/>
                </w:tcPr>
                <w:p w14:paraId="70472202">
                  <w:pPr>
                    <w:jc w:val="center"/>
                    <w:rPr>
                      <w:szCs w:val="21"/>
                    </w:rPr>
                  </w:pPr>
                  <w:r>
                    <w:rPr>
                      <w:bCs/>
                      <w:szCs w:val="21"/>
                    </w:rPr>
                    <w:t>达标</w:t>
                  </w:r>
                </w:p>
              </w:tc>
            </w:tr>
            <w:tr w14:paraId="0A1539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6" w:space="0"/>
                    <w:left w:val="single" w:color="auto" w:sz="12" w:space="0"/>
                    <w:bottom w:val="single" w:color="auto" w:sz="6" w:space="0"/>
                    <w:right w:val="single" w:color="auto" w:sz="6" w:space="0"/>
                  </w:tcBorders>
                  <w:vAlign w:val="center"/>
                </w:tcPr>
                <w:p w14:paraId="79F8594F">
                  <w:pPr>
                    <w:snapToGrid w:val="0"/>
                    <w:spacing w:line="0" w:lineRule="atLeast"/>
                    <w:jc w:val="center"/>
                    <w:rPr>
                      <w:szCs w:val="21"/>
                    </w:rPr>
                  </w:pPr>
                  <w:r>
                    <w:rPr>
                      <w:szCs w:val="21"/>
                    </w:rPr>
                    <w:t>O</w:t>
                  </w:r>
                  <w:r>
                    <w:rPr>
                      <w:szCs w:val="21"/>
                      <w:vertAlign w:val="subscript"/>
                    </w:rPr>
                    <w:t>3</w:t>
                  </w:r>
                </w:p>
              </w:tc>
              <w:tc>
                <w:tcPr>
                  <w:tcW w:w="1626" w:type="pct"/>
                  <w:tcBorders>
                    <w:top w:val="single" w:color="auto" w:sz="6" w:space="0"/>
                    <w:left w:val="single" w:color="auto" w:sz="6" w:space="0"/>
                    <w:bottom w:val="single" w:color="auto" w:sz="6" w:space="0"/>
                    <w:right w:val="single" w:color="auto" w:sz="6" w:space="0"/>
                  </w:tcBorders>
                  <w:vAlign w:val="center"/>
                </w:tcPr>
                <w:p w14:paraId="672595DA">
                  <w:pPr>
                    <w:spacing w:line="280" w:lineRule="exact"/>
                    <w:jc w:val="center"/>
                    <w:rPr>
                      <w:szCs w:val="21"/>
                    </w:rPr>
                  </w:pPr>
                  <w:r>
                    <w:rPr>
                      <w:szCs w:val="21"/>
                    </w:rPr>
                    <w:t>日最大8h滑动平均值的</w:t>
                  </w:r>
                  <w:r>
                    <w:rPr>
                      <w:kern w:val="0"/>
                      <w:szCs w:val="21"/>
                    </w:rPr>
                    <w:t>第90百分位数浓度</w:t>
                  </w:r>
                </w:p>
              </w:tc>
              <w:tc>
                <w:tcPr>
                  <w:tcW w:w="1118" w:type="pct"/>
                  <w:tcBorders>
                    <w:top w:val="single" w:color="auto" w:sz="6" w:space="0"/>
                    <w:left w:val="single" w:color="auto" w:sz="6" w:space="0"/>
                    <w:bottom w:val="single" w:color="auto" w:sz="6" w:space="0"/>
                    <w:right w:val="single" w:color="auto" w:sz="6" w:space="0"/>
                  </w:tcBorders>
                  <w:vAlign w:val="center"/>
                </w:tcPr>
                <w:p w14:paraId="0323B563">
                  <w:pPr>
                    <w:jc w:val="center"/>
                    <w:rPr>
                      <w:szCs w:val="21"/>
                    </w:rPr>
                  </w:pPr>
                  <w:r>
                    <w:rPr>
                      <w:rFonts w:hint="eastAsia"/>
                      <w:szCs w:val="21"/>
                    </w:rPr>
                    <w:t>112</w:t>
                  </w:r>
                </w:p>
              </w:tc>
              <w:tc>
                <w:tcPr>
                  <w:tcW w:w="1025" w:type="pct"/>
                  <w:tcBorders>
                    <w:top w:val="single" w:color="auto" w:sz="6" w:space="0"/>
                    <w:left w:val="single" w:color="auto" w:sz="6" w:space="0"/>
                    <w:bottom w:val="single" w:color="auto" w:sz="6" w:space="0"/>
                    <w:right w:val="single" w:color="auto" w:sz="6" w:space="0"/>
                  </w:tcBorders>
                  <w:vAlign w:val="center"/>
                </w:tcPr>
                <w:p w14:paraId="0EC88B58">
                  <w:pPr>
                    <w:jc w:val="center"/>
                    <w:rPr>
                      <w:szCs w:val="21"/>
                    </w:rPr>
                  </w:pPr>
                  <w:r>
                    <w:rPr>
                      <w:szCs w:val="21"/>
                    </w:rPr>
                    <w:t>160</w:t>
                  </w:r>
                </w:p>
              </w:tc>
              <w:tc>
                <w:tcPr>
                  <w:tcW w:w="712" w:type="pct"/>
                  <w:tcBorders>
                    <w:top w:val="single" w:color="auto" w:sz="6" w:space="0"/>
                    <w:left w:val="single" w:color="auto" w:sz="6" w:space="0"/>
                    <w:bottom w:val="single" w:color="auto" w:sz="6" w:space="0"/>
                    <w:right w:val="single" w:color="auto" w:sz="12" w:space="0"/>
                  </w:tcBorders>
                  <w:vAlign w:val="center"/>
                </w:tcPr>
                <w:p w14:paraId="5431399E">
                  <w:pPr>
                    <w:jc w:val="center"/>
                    <w:rPr>
                      <w:szCs w:val="21"/>
                    </w:rPr>
                  </w:pPr>
                  <w:r>
                    <w:rPr>
                      <w:bCs/>
                      <w:szCs w:val="21"/>
                    </w:rPr>
                    <w:t>达标</w:t>
                  </w:r>
                </w:p>
              </w:tc>
            </w:tr>
            <w:tr w14:paraId="114D8B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6" w:space="0"/>
                    <w:left w:val="single" w:color="auto" w:sz="12" w:space="0"/>
                    <w:bottom w:val="single" w:color="auto" w:sz="6" w:space="0"/>
                    <w:right w:val="single" w:color="auto" w:sz="6" w:space="0"/>
                  </w:tcBorders>
                  <w:vAlign w:val="center"/>
                </w:tcPr>
                <w:p w14:paraId="346A18BB">
                  <w:pPr>
                    <w:snapToGrid w:val="0"/>
                    <w:spacing w:line="0" w:lineRule="atLeast"/>
                    <w:jc w:val="center"/>
                    <w:rPr>
                      <w:szCs w:val="21"/>
                      <w:vertAlign w:val="subscript"/>
                    </w:rPr>
                  </w:pPr>
                  <w:r>
                    <w:rPr>
                      <w:szCs w:val="21"/>
                    </w:rPr>
                    <w:t>PM</w:t>
                  </w:r>
                  <w:r>
                    <w:rPr>
                      <w:szCs w:val="21"/>
                      <w:vertAlign w:val="subscript"/>
                    </w:rPr>
                    <w:t>10</w:t>
                  </w:r>
                </w:p>
              </w:tc>
              <w:tc>
                <w:tcPr>
                  <w:tcW w:w="1626" w:type="pct"/>
                  <w:tcBorders>
                    <w:top w:val="single" w:color="auto" w:sz="6" w:space="0"/>
                    <w:left w:val="single" w:color="auto" w:sz="6" w:space="0"/>
                    <w:bottom w:val="single" w:color="auto" w:sz="6" w:space="0"/>
                    <w:right w:val="single" w:color="auto" w:sz="6" w:space="0"/>
                  </w:tcBorders>
                  <w:vAlign w:val="center"/>
                </w:tcPr>
                <w:p w14:paraId="6F660FD3">
                  <w:pPr>
                    <w:jc w:val="center"/>
                    <w:rPr>
                      <w:szCs w:val="21"/>
                    </w:rPr>
                  </w:pPr>
                  <w:r>
                    <w:rPr>
                      <w:bCs/>
                      <w:szCs w:val="21"/>
                    </w:rPr>
                    <w:t>年平均质量浓度</w:t>
                  </w:r>
                </w:p>
              </w:tc>
              <w:tc>
                <w:tcPr>
                  <w:tcW w:w="1118" w:type="pct"/>
                  <w:tcBorders>
                    <w:top w:val="single" w:color="auto" w:sz="6" w:space="0"/>
                    <w:left w:val="single" w:color="auto" w:sz="6" w:space="0"/>
                    <w:bottom w:val="single" w:color="auto" w:sz="6" w:space="0"/>
                    <w:right w:val="single" w:color="auto" w:sz="6" w:space="0"/>
                  </w:tcBorders>
                  <w:vAlign w:val="center"/>
                </w:tcPr>
                <w:p w14:paraId="038A838F">
                  <w:pPr>
                    <w:jc w:val="center"/>
                    <w:rPr>
                      <w:szCs w:val="21"/>
                    </w:rPr>
                  </w:pPr>
                  <w:r>
                    <w:rPr>
                      <w:rFonts w:hint="eastAsia"/>
                      <w:szCs w:val="21"/>
                    </w:rPr>
                    <w:t>38</w:t>
                  </w:r>
                </w:p>
              </w:tc>
              <w:tc>
                <w:tcPr>
                  <w:tcW w:w="1025" w:type="pct"/>
                  <w:tcBorders>
                    <w:top w:val="single" w:color="auto" w:sz="6" w:space="0"/>
                    <w:left w:val="single" w:color="auto" w:sz="6" w:space="0"/>
                    <w:bottom w:val="single" w:color="auto" w:sz="6" w:space="0"/>
                    <w:right w:val="single" w:color="auto" w:sz="6" w:space="0"/>
                  </w:tcBorders>
                  <w:vAlign w:val="center"/>
                </w:tcPr>
                <w:p w14:paraId="314ABDE0">
                  <w:pPr>
                    <w:jc w:val="center"/>
                    <w:rPr>
                      <w:szCs w:val="21"/>
                    </w:rPr>
                  </w:pPr>
                  <w:r>
                    <w:rPr>
                      <w:szCs w:val="21"/>
                    </w:rPr>
                    <w:t>70</w:t>
                  </w:r>
                </w:p>
              </w:tc>
              <w:tc>
                <w:tcPr>
                  <w:tcW w:w="712" w:type="pct"/>
                  <w:tcBorders>
                    <w:top w:val="single" w:color="auto" w:sz="6" w:space="0"/>
                    <w:left w:val="single" w:color="auto" w:sz="6" w:space="0"/>
                    <w:bottom w:val="single" w:color="auto" w:sz="6" w:space="0"/>
                    <w:right w:val="single" w:color="auto" w:sz="12" w:space="0"/>
                  </w:tcBorders>
                  <w:vAlign w:val="center"/>
                </w:tcPr>
                <w:p w14:paraId="4E87E4C4">
                  <w:pPr>
                    <w:jc w:val="center"/>
                    <w:rPr>
                      <w:szCs w:val="21"/>
                    </w:rPr>
                  </w:pPr>
                  <w:r>
                    <w:rPr>
                      <w:szCs w:val="21"/>
                    </w:rPr>
                    <w:t>达标</w:t>
                  </w:r>
                </w:p>
              </w:tc>
            </w:tr>
            <w:tr w14:paraId="618F4C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20" w:type="pct"/>
                  <w:tcBorders>
                    <w:top w:val="single" w:color="auto" w:sz="6" w:space="0"/>
                    <w:left w:val="single" w:color="auto" w:sz="12" w:space="0"/>
                    <w:bottom w:val="single" w:color="auto" w:sz="12" w:space="0"/>
                    <w:right w:val="single" w:color="auto" w:sz="6" w:space="0"/>
                  </w:tcBorders>
                  <w:vAlign w:val="center"/>
                </w:tcPr>
                <w:p w14:paraId="1D732403">
                  <w:pPr>
                    <w:snapToGrid w:val="0"/>
                    <w:spacing w:line="0" w:lineRule="atLeast"/>
                    <w:jc w:val="center"/>
                    <w:rPr>
                      <w:szCs w:val="21"/>
                      <w:vertAlign w:val="subscript"/>
                    </w:rPr>
                  </w:pPr>
                  <w:r>
                    <w:rPr>
                      <w:szCs w:val="21"/>
                    </w:rPr>
                    <w:t>PM</w:t>
                  </w:r>
                  <w:r>
                    <w:rPr>
                      <w:szCs w:val="21"/>
                      <w:vertAlign w:val="subscript"/>
                    </w:rPr>
                    <w:t>2.5</w:t>
                  </w:r>
                </w:p>
              </w:tc>
              <w:tc>
                <w:tcPr>
                  <w:tcW w:w="1626" w:type="pct"/>
                  <w:tcBorders>
                    <w:top w:val="single" w:color="auto" w:sz="6" w:space="0"/>
                    <w:left w:val="single" w:color="auto" w:sz="6" w:space="0"/>
                    <w:bottom w:val="single" w:color="auto" w:sz="12" w:space="0"/>
                    <w:right w:val="single" w:color="auto" w:sz="6" w:space="0"/>
                  </w:tcBorders>
                  <w:vAlign w:val="center"/>
                </w:tcPr>
                <w:p w14:paraId="1F4F4877">
                  <w:pPr>
                    <w:snapToGrid w:val="0"/>
                    <w:spacing w:line="0" w:lineRule="atLeast"/>
                    <w:jc w:val="center"/>
                    <w:rPr>
                      <w:szCs w:val="21"/>
                      <w:vertAlign w:val="subscript"/>
                    </w:rPr>
                  </w:pPr>
                  <w:r>
                    <w:rPr>
                      <w:bCs/>
                      <w:szCs w:val="21"/>
                    </w:rPr>
                    <w:t>年平均质量浓度</w:t>
                  </w:r>
                </w:p>
              </w:tc>
              <w:tc>
                <w:tcPr>
                  <w:tcW w:w="1118" w:type="pct"/>
                  <w:tcBorders>
                    <w:top w:val="single" w:color="auto" w:sz="6" w:space="0"/>
                    <w:left w:val="single" w:color="auto" w:sz="6" w:space="0"/>
                    <w:bottom w:val="single" w:color="auto" w:sz="12" w:space="0"/>
                    <w:right w:val="single" w:color="auto" w:sz="6" w:space="0"/>
                  </w:tcBorders>
                  <w:vAlign w:val="center"/>
                </w:tcPr>
                <w:p w14:paraId="086E8D66">
                  <w:pPr>
                    <w:jc w:val="center"/>
                    <w:rPr>
                      <w:szCs w:val="21"/>
                    </w:rPr>
                  </w:pPr>
                  <w:r>
                    <w:rPr>
                      <w:rFonts w:hint="eastAsia"/>
                      <w:szCs w:val="21"/>
                    </w:rPr>
                    <w:t>30</w:t>
                  </w:r>
                </w:p>
              </w:tc>
              <w:tc>
                <w:tcPr>
                  <w:tcW w:w="1025" w:type="pct"/>
                  <w:tcBorders>
                    <w:top w:val="single" w:color="auto" w:sz="6" w:space="0"/>
                    <w:left w:val="single" w:color="auto" w:sz="6" w:space="0"/>
                    <w:bottom w:val="single" w:color="auto" w:sz="12" w:space="0"/>
                    <w:right w:val="single" w:color="auto" w:sz="6" w:space="0"/>
                  </w:tcBorders>
                  <w:vAlign w:val="center"/>
                </w:tcPr>
                <w:p w14:paraId="489AAF80">
                  <w:pPr>
                    <w:jc w:val="center"/>
                    <w:rPr>
                      <w:szCs w:val="21"/>
                    </w:rPr>
                  </w:pPr>
                  <w:r>
                    <w:rPr>
                      <w:szCs w:val="21"/>
                    </w:rPr>
                    <w:t>35</w:t>
                  </w:r>
                </w:p>
              </w:tc>
              <w:tc>
                <w:tcPr>
                  <w:tcW w:w="712" w:type="pct"/>
                  <w:tcBorders>
                    <w:top w:val="single" w:color="auto" w:sz="6" w:space="0"/>
                    <w:left w:val="single" w:color="auto" w:sz="6" w:space="0"/>
                    <w:bottom w:val="single" w:color="auto" w:sz="12" w:space="0"/>
                    <w:right w:val="single" w:color="auto" w:sz="12" w:space="0"/>
                  </w:tcBorders>
                  <w:vAlign w:val="center"/>
                </w:tcPr>
                <w:p w14:paraId="369E99D6">
                  <w:pPr>
                    <w:jc w:val="center"/>
                    <w:rPr>
                      <w:szCs w:val="21"/>
                    </w:rPr>
                  </w:pPr>
                  <w:r>
                    <w:rPr>
                      <w:szCs w:val="21"/>
                    </w:rPr>
                    <w:t>达标</w:t>
                  </w:r>
                </w:p>
              </w:tc>
            </w:tr>
          </w:tbl>
          <w:p w14:paraId="73E793B7">
            <w:pPr>
              <w:tabs>
                <w:tab w:val="left" w:pos="3544"/>
              </w:tabs>
              <w:adjustRightInd w:val="0"/>
              <w:snapToGrid w:val="0"/>
              <w:spacing w:line="360" w:lineRule="auto"/>
              <w:ind w:firstLine="480" w:firstLineChars="200"/>
              <w:rPr>
                <w:sz w:val="24"/>
              </w:rPr>
            </w:pPr>
            <w:r>
              <w:rPr>
                <w:rFonts w:hint="eastAsia"/>
                <w:sz w:val="24"/>
              </w:rPr>
              <w:t>由上表可知，衡阳县2024年度环境空气各因子平均浓度满足《环境空气质量标准》（GB3095-2012）中二级标准限值，判定为达标区。</w:t>
            </w:r>
          </w:p>
          <w:p w14:paraId="616673F9">
            <w:pPr>
              <w:spacing w:line="360" w:lineRule="auto"/>
              <w:ind w:firstLine="482" w:firstLineChars="200"/>
              <w:rPr>
                <w:rFonts w:hAnsi="宋体"/>
                <w:b/>
                <w:kern w:val="0"/>
                <w:sz w:val="24"/>
              </w:rPr>
            </w:pPr>
            <w:r>
              <w:rPr>
                <w:rFonts w:hint="eastAsia" w:hAnsi="宋体"/>
                <w:b/>
                <w:kern w:val="0"/>
                <w:sz w:val="24"/>
              </w:rPr>
              <w:t>2、特征监测因子</w:t>
            </w:r>
          </w:p>
          <w:p w14:paraId="22F96395">
            <w:pPr>
              <w:tabs>
                <w:tab w:val="left" w:pos="3544"/>
              </w:tabs>
              <w:adjustRightInd w:val="0"/>
              <w:snapToGrid w:val="0"/>
              <w:spacing w:line="360" w:lineRule="auto"/>
              <w:ind w:firstLine="480" w:firstLineChars="200"/>
              <w:rPr>
                <w:sz w:val="24"/>
              </w:rPr>
            </w:pPr>
            <w:r>
              <w:rPr>
                <w:rFonts w:hint="eastAsia"/>
                <w:sz w:val="24"/>
              </w:rPr>
              <w:t>为进一步了解本项目特征污染物TSP环境质量现状，本次环境影响评价特征污染物TSP引用《</w:t>
            </w:r>
            <w:r>
              <w:rPr>
                <w:rFonts w:hint="eastAsia" w:hAnsi="宋体"/>
                <w:color w:val="000000"/>
                <w:kern w:val="24"/>
                <w:sz w:val="24"/>
              </w:rPr>
              <w:t>衡阳康豪环保科技有限公司危险废物收集经营贮存改扩建项目环境影响报告表</w:t>
            </w:r>
            <w:r>
              <w:rPr>
                <w:rFonts w:hint="eastAsia"/>
                <w:sz w:val="24"/>
              </w:rPr>
              <w:t>》中环境质量现状检测数据，监测点位</w:t>
            </w:r>
            <w:r>
              <w:rPr>
                <w:rFonts w:hint="eastAsia" w:hAnsi="宋体"/>
                <w:color w:val="000000"/>
                <w:kern w:val="24"/>
                <w:sz w:val="24"/>
              </w:rPr>
              <w:t>衡阳康豪环保科技有限公司</w:t>
            </w:r>
            <w:r>
              <w:rPr>
                <w:rFonts w:hint="eastAsia"/>
                <w:sz w:val="24"/>
              </w:rPr>
              <w:t>厂址西南侧（位于项目厂址西南侧2.23km），监测时间为2024年8月16日~8月19日，引用点位检测时间未超过3年，位于本项目2.5km范围内，根据现场调查，该项目周边近期变化较少，区域污染结构未发生明显改变，项目区域自然及社会环境未发生重大变化，因此，引用数据可以代表区域环境空气状况。</w:t>
            </w:r>
          </w:p>
          <w:p w14:paraId="5D3FD4EC">
            <w:pPr>
              <w:spacing w:before="120" w:beforeLines="50"/>
              <w:jc w:val="center"/>
              <w:rPr>
                <w:b/>
                <w:bCs/>
                <w:szCs w:val="21"/>
                <w:vertAlign w:val="superscript"/>
              </w:rPr>
            </w:pPr>
            <w:r>
              <w:rPr>
                <w:b/>
                <w:bCs/>
                <w:szCs w:val="21"/>
              </w:rPr>
              <w:t>表</w:t>
            </w:r>
            <w:r>
              <w:rPr>
                <w:rFonts w:hint="eastAsia"/>
                <w:b/>
                <w:bCs/>
                <w:szCs w:val="21"/>
              </w:rPr>
              <w:t>3</w:t>
            </w:r>
            <w:r>
              <w:rPr>
                <w:b/>
                <w:bCs/>
                <w:szCs w:val="21"/>
              </w:rPr>
              <w:t>-</w:t>
            </w:r>
            <w:r>
              <w:rPr>
                <w:rFonts w:hint="eastAsia"/>
                <w:b/>
                <w:bCs/>
                <w:szCs w:val="21"/>
              </w:rPr>
              <w:t>2</w:t>
            </w:r>
            <w:r>
              <w:rPr>
                <w:b/>
                <w:bCs/>
                <w:szCs w:val="21"/>
              </w:rPr>
              <w:t xml:space="preserve">  </w:t>
            </w:r>
            <w:r>
              <w:rPr>
                <w:rFonts w:hint="eastAsia"/>
                <w:b/>
                <w:bCs/>
                <w:szCs w:val="21"/>
              </w:rPr>
              <w:t>特征</w:t>
            </w:r>
            <w:r>
              <w:rPr>
                <w:b/>
                <w:bCs/>
                <w:szCs w:val="21"/>
              </w:rPr>
              <w:t>污染物</w:t>
            </w:r>
            <w:r>
              <w:rPr>
                <w:rFonts w:hint="eastAsia"/>
                <w:b/>
                <w:bCs/>
                <w:szCs w:val="21"/>
              </w:rPr>
              <w:t>监测结果  单位：</w:t>
            </w:r>
            <w:r>
              <w:rPr>
                <w:b/>
                <w:bCs/>
                <w:szCs w:val="21"/>
              </w:rPr>
              <w:t>μ</w:t>
            </w:r>
            <w:r>
              <w:rPr>
                <w:rFonts w:hint="eastAsia"/>
                <w:b/>
                <w:bCs/>
                <w:szCs w:val="21"/>
              </w:rPr>
              <w:t>g/m</w:t>
            </w:r>
            <w:r>
              <w:rPr>
                <w:rFonts w:hint="eastAsia"/>
                <w:b/>
                <w:bCs/>
                <w:szCs w:val="21"/>
                <w:vertAlign w:val="superscript"/>
              </w:rPr>
              <w:t>3</w:t>
            </w:r>
          </w:p>
          <w:tbl>
            <w:tblPr>
              <w:tblStyle w:val="34"/>
              <w:tblW w:w="4997"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83"/>
              <w:gridCol w:w="1560"/>
              <w:gridCol w:w="1701"/>
              <w:gridCol w:w="1255"/>
              <w:gridCol w:w="1296"/>
              <w:gridCol w:w="1060"/>
              <w:gridCol w:w="823"/>
            </w:tblGrid>
            <w:tr w14:paraId="66EE4B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97" w:type="pct"/>
                  <w:vAlign w:val="center"/>
                </w:tcPr>
                <w:p w14:paraId="7217767F">
                  <w:pPr>
                    <w:pStyle w:val="110"/>
                    <w:rPr>
                      <w:b/>
                      <w:bCs/>
                      <w:color w:val="auto"/>
                      <w:szCs w:val="21"/>
                    </w:rPr>
                  </w:pPr>
                  <w:r>
                    <w:rPr>
                      <w:b/>
                      <w:bCs/>
                      <w:color w:val="auto"/>
                      <w:szCs w:val="21"/>
                    </w:rPr>
                    <w:t>点位</w:t>
                  </w:r>
                </w:p>
              </w:tc>
              <w:tc>
                <w:tcPr>
                  <w:tcW w:w="832" w:type="pct"/>
                  <w:vAlign w:val="center"/>
                </w:tcPr>
                <w:p w14:paraId="46ED4EF9">
                  <w:pPr>
                    <w:pStyle w:val="110"/>
                    <w:rPr>
                      <w:b/>
                      <w:bCs/>
                      <w:color w:val="auto"/>
                      <w:szCs w:val="21"/>
                    </w:rPr>
                  </w:pPr>
                  <w:r>
                    <w:rPr>
                      <w:rFonts w:hint="eastAsia"/>
                      <w:b/>
                      <w:bCs/>
                      <w:color w:val="auto"/>
                      <w:szCs w:val="21"/>
                    </w:rPr>
                    <w:t>采样时间</w:t>
                  </w:r>
                </w:p>
              </w:tc>
              <w:tc>
                <w:tcPr>
                  <w:tcW w:w="907" w:type="pct"/>
                  <w:noWrap/>
                  <w:vAlign w:val="center"/>
                </w:tcPr>
                <w:p w14:paraId="677EC680">
                  <w:pPr>
                    <w:pStyle w:val="110"/>
                    <w:rPr>
                      <w:b/>
                      <w:bCs/>
                      <w:color w:val="auto"/>
                      <w:szCs w:val="21"/>
                    </w:rPr>
                  </w:pPr>
                  <w:r>
                    <w:rPr>
                      <w:rFonts w:hint="eastAsia"/>
                      <w:b/>
                      <w:bCs/>
                      <w:color w:val="auto"/>
                      <w:szCs w:val="21"/>
                    </w:rPr>
                    <w:t>检测</w:t>
                  </w:r>
                  <w:r>
                    <w:rPr>
                      <w:b/>
                      <w:bCs/>
                      <w:color w:val="auto"/>
                      <w:szCs w:val="21"/>
                    </w:rPr>
                    <w:t>项目</w:t>
                  </w:r>
                </w:p>
              </w:tc>
              <w:tc>
                <w:tcPr>
                  <w:tcW w:w="669" w:type="pct"/>
                  <w:noWrap/>
                  <w:vAlign w:val="center"/>
                </w:tcPr>
                <w:p w14:paraId="5CDC2711">
                  <w:pPr>
                    <w:pStyle w:val="110"/>
                    <w:rPr>
                      <w:b/>
                      <w:bCs/>
                      <w:color w:val="auto"/>
                      <w:szCs w:val="21"/>
                    </w:rPr>
                  </w:pPr>
                  <w:r>
                    <w:rPr>
                      <w:rFonts w:hint="eastAsia"/>
                      <w:b/>
                      <w:bCs/>
                      <w:color w:val="auto"/>
                      <w:szCs w:val="21"/>
                    </w:rPr>
                    <w:t>检测</w:t>
                  </w:r>
                  <w:r>
                    <w:rPr>
                      <w:b/>
                      <w:bCs/>
                      <w:color w:val="auto"/>
                      <w:szCs w:val="21"/>
                    </w:rPr>
                    <w:t>结果</w:t>
                  </w:r>
                </w:p>
              </w:tc>
              <w:tc>
                <w:tcPr>
                  <w:tcW w:w="691" w:type="pct"/>
                  <w:noWrap/>
                  <w:vAlign w:val="center"/>
                </w:tcPr>
                <w:p w14:paraId="2AE17DE1">
                  <w:pPr>
                    <w:pStyle w:val="110"/>
                    <w:rPr>
                      <w:b/>
                      <w:bCs/>
                      <w:color w:val="auto"/>
                      <w:szCs w:val="21"/>
                    </w:rPr>
                  </w:pPr>
                  <w:r>
                    <w:rPr>
                      <w:b/>
                      <w:bCs/>
                      <w:color w:val="auto"/>
                      <w:szCs w:val="21"/>
                    </w:rPr>
                    <w:t>最大占标率</w:t>
                  </w:r>
                </w:p>
              </w:tc>
              <w:tc>
                <w:tcPr>
                  <w:tcW w:w="565" w:type="pct"/>
                  <w:noWrap/>
                  <w:vAlign w:val="center"/>
                </w:tcPr>
                <w:p w14:paraId="66442824">
                  <w:pPr>
                    <w:pStyle w:val="110"/>
                    <w:rPr>
                      <w:b/>
                      <w:bCs/>
                      <w:color w:val="auto"/>
                      <w:szCs w:val="21"/>
                    </w:rPr>
                  </w:pPr>
                  <w:r>
                    <w:rPr>
                      <w:b/>
                      <w:bCs/>
                      <w:color w:val="auto"/>
                      <w:szCs w:val="21"/>
                    </w:rPr>
                    <w:t>达标情况</w:t>
                  </w:r>
                </w:p>
              </w:tc>
              <w:tc>
                <w:tcPr>
                  <w:tcW w:w="439" w:type="pct"/>
                  <w:vAlign w:val="center"/>
                </w:tcPr>
                <w:p w14:paraId="67A98379">
                  <w:pPr>
                    <w:pStyle w:val="110"/>
                    <w:rPr>
                      <w:b/>
                      <w:bCs/>
                      <w:color w:val="auto"/>
                      <w:szCs w:val="21"/>
                    </w:rPr>
                  </w:pPr>
                  <w:r>
                    <w:rPr>
                      <w:b/>
                      <w:bCs/>
                      <w:color w:val="auto"/>
                      <w:szCs w:val="21"/>
                    </w:rPr>
                    <w:t>标准值</w:t>
                  </w:r>
                </w:p>
              </w:tc>
            </w:tr>
            <w:tr w14:paraId="681A75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97" w:type="pct"/>
                  <w:vAlign w:val="center"/>
                </w:tcPr>
                <w:p w14:paraId="34113A5F">
                  <w:pPr>
                    <w:pStyle w:val="110"/>
                    <w:rPr>
                      <w:color w:val="auto"/>
                      <w:szCs w:val="21"/>
                    </w:rPr>
                  </w:pPr>
                  <w:r>
                    <w:rPr>
                      <w:color w:val="auto"/>
                      <w:szCs w:val="21"/>
                    </w:rPr>
                    <w:t>G1</w:t>
                  </w:r>
                  <w:r>
                    <w:rPr>
                      <w:rFonts w:hint="eastAsia"/>
                      <w:color w:val="auto"/>
                      <w:szCs w:val="21"/>
                    </w:rPr>
                    <w:t>衡阳康豪环保科技有限公司厂址西南侧</w:t>
                  </w:r>
                </w:p>
              </w:tc>
              <w:tc>
                <w:tcPr>
                  <w:tcW w:w="832" w:type="pct"/>
                  <w:vAlign w:val="center"/>
                </w:tcPr>
                <w:p w14:paraId="56DE8008">
                  <w:pPr>
                    <w:pStyle w:val="110"/>
                    <w:rPr>
                      <w:color w:val="auto"/>
                      <w:szCs w:val="21"/>
                    </w:rPr>
                  </w:pPr>
                  <w:r>
                    <w:rPr>
                      <w:rFonts w:hint="eastAsia"/>
                      <w:color w:val="auto"/>
                      <w:szCs w:val="21"/>
                    </w:rPr>
                    <w:t>2024年8月16日~8月19日</w:t>
                  </w:r>
                </w:p>
              </w:tc>
              <w:tc>
                <w:tcPr>
                  <w:tcW w:w="907" w:type="pct"/>
                  <w:noWrap/>
                  <w:vAlign w:val="center"/>
                </w:tcPr>
                <w:p w14:paraId="707E96BA">
                  <w:pPr>
                    <w:pStyle w:val="110"/>
                    <w:rPr>
                      <w:color w:val="auto"/>
                      <w:szCs w:val="21"/>
                    </w:rPr>
                  </w:pPr>
                  <w:r>
                    <w:rPr>
                      <w:rFonts w:hint="eastAsia"/>
                      <w:color w:val="auto"/>
                      <w:szCs w:val="21"/>
                    </w:rPr>
                    <w:t>TSP（日均值）</w:t>
                  </w:r>
                </w:p>
              </w:tc>
              <w:tc>
                <w:tcPr>
                  <w:tcW w:w="669" w:type="pct"/>
                  <w:noWrap/>
                  <w:vAlign w:val="center"/>
                </w:tcPr>
                <w:p w14:paraId="23DDA1A6">
                  <w:pPr>
                    <w:pStyle w:val="110"/>
                    <w:rPr>
                      <w:color w:val="auto"/>
                      <w:szCs w:val="21"/>
                    </w:rPr>
                  </w:pPr>
                  <w:r>
                    <w:rPr>
                      <w:rFonts w:hint="eastAsia"/>
                      <w:color w:val="auto"/>
                      <w:szCs w:val="21"/>
                    </w:rPr>
                    <w:t>53~58</w:t>
                  </w:r>
                </w:p>
              </w:tc>
              <w:tc>
                <w:tcPr>
                  <w:tcW w:w="691" w:type="pct"/>
                  <w:noWrap/>
                  <w:vAlign w:val="center"/>
                </w:tcPr>
                <w:p w14:paraId="3717642F">
                  <w:pPr>
                    <w:pStyle w:val="110"/>
                    <w:rPr>
                      <w:color w:val="auto"/>
                      <w:szCs w:val="21"/>
                    </w:rPr>
                  </w:pPr>
                  <w:r>
                    <w:rPr>
                      <w:rFonts w:hint="eastAsia"/>
                      <w:color w:val="auto"/>
                      <w:szCs w:val="21"/>
                    </w:rPr>
                    <w:t>19.33%</w:t>
                  </w:r>
                </w:p>
              </w:tc>
              <w:tc>
                <w:tcPr>
                  <w:tcW w:w="565" w:type="pct"/>
                  <w:noWrap/>
                  <w:vAlign w:val="center"/>
                </w:tcPr>
                <w:p w14:paraId="71F1355D">
                  <w:pPr>
                    <w:pStyle w:val="110"/>
                    <w:rPr>
                      <w:color w:val="auto"/>
                      <w:szCs w:val="21"/>
                    </w:rPr>
                  </w:pPr>
                  <w:r>
                    <w:rPr>
                      <w:color w:val="auto"/>
                      <w:szCs w:val="21"/>
                    </w:rPr>
                    <w:t>达标</w:t>
                  </w:r>
                </w:p>
              </w:tc>
              <w:tc>
                <w:tcPr>
                  <w:tcW w:w="439" w:type="pct"/>
                  <w:vAlign w:val="center"/>
                </w:tcPr>
                <w:p w14:paraId="3518A693">
                  <w:pPr>
                    <w:pStyle w:val="110"/>
                    <w:rPr>
                      <w:color w:val="auto"/>
                      <w:szCs w:val="21"/>
                    </w:rPr>
                  </w:pPr>
                  <w:r>
                    <w:rPr>
                      <w:rFonts w:hint="eastAsia"/>
                      <w:color w:val="auto"/>
                      <w:szCs w:val="21"/>
                    </w:rPr>
                    <w:t>300</w:t>
                  </w:r>
                </w:p>
              </w:tc>
            </w:tr>
          </w:tbl>
          <w:p w14:paraId="37A695AD">
            <w:pPr>
              <w:spacing w:line="360" w:lineRule="auto"/>
              <w:ind w:firstLine="480" w:firstLineChars="200"/>
              <w:rPr>
                <w:rFonts w:hAnsi="宋体"/>
                <w:kern w:val="0"/>
                <w:sz w:val="24"/>
              </w:rPr>
            </w:pPr>
            <w:r>
              <w:rPr>
                <w:rFonts w:hint="eastAsia"/>
                <w:sz w:val="24"/>
              </w:rPr>
              <w:t>由上表可知，在监测期间TSP日均浓度可满足</w:t>
            </w:r>
            <w:bookmarkStart w:id="31" w:name="OLE_LINK20"/>
            <w:r>
              <w:rPr>
                <w:rFonts w:hint="eastAsia"/>
                <w:sz w:val="24"/>
              </w:rPr>
              <w:t>《环境空气质量标准》（GB3095-2012）</w:t>
            </w:r>
            <w:bookmarkEnd w:id="31"/>
            <w:r>
              <w:rPr>
                <w:rFonts w:hint="eastAsia"/>
                <w:sz w:val="24"/>
              </w:rPr>
              <w:t>中二级标准要求。</w:t>
            </w:r>
          </w:p>
          <w:p w14:paraId="3D96A031">
            <w:pPr>
              <w:pStyle w:val="61"/>
              <w:ind w:firstLine="514"/>
              <w:rPr>
                <w:b/>
              </w:rPr>
            </w:pPr>
            <w:r>
              <w:rPr>
                <w:b/>
                <w:spacing w:val="8"/>
                <w:szCs w:val="24"/>
              </w:rPr>
              <w:t>二、</w:t>
            </w:r>
            <w:r>
              <w:rPr>
                <w:b/>
              </w:rPr>
              <w:t>地表水质量现状</w:t>
            </w:r>
          </w:p>
          <w:p w14:paraId="4A456C76">
            <w:pPr>
              <w:spacing w:line="360" w:lineRule="auto"/>
              <w:ind w:firstLine="480" w:firstLineChars="200"/>
              <w:rPr>
                <w:sz w:val="24"/>
                <w:lang w:val="zh-CN"/>
              </w:rPr>
            </w:pPr>
            <w:r>
              <w:rPr>
                <w:rFonts w:hint="eastAsia"/>
                <w:sz w:val="24"/>
              </w:rPr>
              <w:t>根据《环境影响评价技术导则  地表水环境》（HJ2.3-2018）：“6.6.3.2环境现状调查与评价应优先采用国务院生态环境保护主管部门统一发布的水环境状况信息”。</w:t>
            </w:r>
            <w:r>
              <w:rPr>
                <w:rFonts w:hint="eastAsia"/>
                <w:sz w:val="24"/>
                <w:lang w:val="zh-CN"/>
              </w:rPr>
              <w:t>本次地表水环境质量现状评价引用衡阳市生态环境局《关于202</w:t>
            </w:r>
            <w:r>
              <w:rPr>
                <w:rFonts w:hint="eastAsia"/>
                <w:sz w:val="24"/>
              </w:rPr>
              <w:t>4</w:t>
            </w:r>
            <w:r>
              <w:rPr>
                <w:rFonts w:hint="eastAsia"/>
                <w:sz w:val="24"/>
                <w:lang w:val="zh-CN"/>
              </w:rPr>
              <w:t>年12月份及1~12月份全市环境质量状况的通报》中结论，公报中湘江流域湘江蒸水共设置5个监测断面，分别为洪市镇断面、西渡水厂断面、新华村断面、鸡市村断面和蒸水入湘江口断面。5个断面水质均满足《地表水环境质量标准》（GB3838-2002）II、Ⅲ类水质标准，水质状况为良好。距离项目最近的地表水监测断面为西渡水厂断面，其水质监测情况如图3-1所示。</w:t>
            </w:r>
          </w:p>
          <w:p w14:paraId="2C76D590">
            <w:pPr>
              <w:pStyle w:val="2"/>
              <w:jc w:val="center"/>
              <w:rPr>
                <w:lang w:val="zh-CN"/>
              </w:rPr>
            </w:pPr>
            <w:r>
              <w:drawing>
                <wp:inline distT="0" distB="0" distL="0" distR="0">
                  <wp:extent cx="5486400" cy="3423285"/>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486400" cy="3423285"/>
                          </a:xfrm>
                          <a:prstGeom prst="rect">
                            <a:avLst/>
                          </a:prstGeom>
                        </pic:spPr>
                      </pic:pic>
                    </a:graphicData>
                  </a:graphic>
                </wp:inline>
              </w:drawing>
            </w:r>
          </w:p>
          <w:p w14:paraId="493DE788">
            <w:pPr>
              <w:adjustRightInd w:val="0"/>
              <w:snapToGrid w:val="0"/>
              <w:spacing w:after="120" w:afterLines="50"/>
              <w:jc w:val="center"/>
              <w:rPr>
                <w:b/>
                <w:bCs/>
                <w:szCs w:val="21"/>
              </w:rPr>
            </w:pPr>
            <w:r>
              <w:rPr>
                <w:b/>
                <w:bCs/>
                <w:szCs w:val="21"/>
              </w:rPr>
              <w:t>图</w:t>
            </w:r>
            <w:r>
              <w:rPr>
                <w:rFonts w:hint="eastAsia"/>
                <w:b/>
                <w:bCs/>
                <w:szCs w:val="21"/>
              </w:rPr>
              <w:t>3-1</w:t>
            </w:r>
            <w:r>
              <w:rPr>
                <w:b/>
                <w:bCs/>
                <w:szCs w:val="21"/>
              </w:rPr>
              <w:t xml:space="preserve"> </w:t>
            </w:r>
            <w:r>
              <w:rPr>
                <w:rFonts w:hint="eastAsia"/>
                <w:b/>
                <w:bCs/>
                <w:szCs w:val="21"/>
              </w:rPr>
              <w:t xml:space="preserve"> 2024年1~12月衡阳市地表水水质情况</w:t>
            </w:r>
          </w:p>
          <w:p w14:paraId="09E0F60B">
            <w:pPr>
              <w:spacing w:line="360" w:lineRule="auto"/>
              <w:ind w:firstLine="480" w:firstLineChars="200"/>
              <w:rPr>
                <w:sz w:val="24"/>
                <w:lang w:val="zh-CN"/>
              </w:rPr>
            </w:pPr>
            <w:r>
              <w:rPr>
                <w:rFonts w:hint="eastAsia"/>
                <w:sz w:val="24"/>
                <w:lang w:val="zh-CN"/>
              </w:rPr>
              <w:t>监测数据表明：蒸水西渡水厂断面</w:t>
            </w:r>
            <w:r>
              <w:rPr>
                <w:sz w:val="24"/>
                <w:lang w:val="zh-CN"/>
              </w:rPr>
              <w:t>水质</w:t>
            </w:r>
            <w:r>
              <w:rPr>
                <w:rFonts w:hint="eastAsia"/>
                <w:sz w:val="24"/>
                <w:lang w:val="zh-CN"/>
              </w:rPr>
              <w:t>满足</w:t>
            </w:r>
            <w:r>
              <w:rPr>
                <w:sz w:val="24"/>
                <w:lang w:val="zh-CN"/>
              </w:rPr>
              <w:t>《地表水环境质量标准》（GB3838-2002）中的II类标准要求</w:t>
            </w:r>
            <w:r>
              <w:rPr>
                <w:rFonts w:hint="eastAsia"/>
                <w:sz w:val="24"/>
                <w:lang w:val="zh-CN"/>
              </w:rPr>
              <w:t>，</w:t>
            </w:r>
            <w:r>
              <w:rPr>
                <w:sz w:val="24"/>
                <w:lang w:val="zh-CN"/>
              </w:rPr>
              <w:t>区域地表水环境质量现状良好。</w:t>
            </w:r>
          </w:p>
          <w:p w14:paraId="30E07808">
            <w:pPr>
              <w:pStyle w:val="61"/>
              <w:ind w:firstLine="514"/>
              <w:rPr>
                <w:b/>
              </w:rPr>
            </w:pPr>
            <w:r>
              <w:rPr>
                <w:b/>
                <w:spacing w:val="8"/>
                <w:szCs w:val="24"/>
              </w:rPr>
              <w:t>三、噪声环境</w:t>
            </w:r>
            <w:r>
              <w:rPr>
                <w:b/>
              </w:rPr>
              <w:t>质量现状</w:t>
            </w:r>
          </w:p>
          <w:p w14:paraId="76BE0920">
            <w:pPr>
              <w:pStyle w:val="2"/>
              <w:spacing w:line="360" w:lineRule="auto"/>
              <w:ind w:firstLine="480" w:firstLineChars="200"/>
              <w:jc w:val="both"/>
              <w:rPr>
                <w:rFonts w:ascii="Times New Roman" w:hAnsi="宋体" w:cs="Times New Roman"/>
                <w:bCs/>
                <w:color w:val="auto"/>
              </w:rPr>
            </w:pPr>
            <w:r>
              <w:rPr>
                <w:rFonts w:ascii="Times New Roman" w:hAnsi="宋体" w:cs="Times New Roman"/>
                <w:bCs/>
                <w:color w:val="auto"/>
              </w:rPr>
              <w:t>根据《建设项目环境影响报告表编制技术指南（污染影响类）（试行）》，厂界外周边50米范围内存在声环境保护目标的建设项目，应监测保护目标声环境质量现状并评价达标情况。</w:t>
            </w:r>
          </w:p>
          <w:p w14:paraId="51FF15A5">
            <w:pPr>
              <w:pStyle w:val="2"/>
              <w:spacing w:line="360" w:lineRule="auto"/>
              <w:ind w:firstLine="480" w:firstLineChars="200"/>
              <w:jc w:val="both"/>
              <w:rPr>
                <w:rFonts w:ascii="Times New Roman" w:hAnsi="宋体" w:cs="Times New Roman"/>
                <w:bCs/>
                <w:color w:val="auto"/>
              </w:rPr>
            </w:pPr>
            <w:r>
              <w:rPr>
                <w:rFonts w:hint="eastAsia"/>
              </w:rPr>
              <w:t>经现场踏勘，</w:t>
            </w:r>
            <w:r>
              <w:rPr>
                <w:rFonts w:hint="eastAsia" w:ascii="Times New Roman" w:hAnsi="宋体" w:cs="Times New Roman"/>
                <w:bCs/>
                <w:color w:val="auto"/>
              </w:rPr>
              <w:t>项目用地</w:t>
            </w:r>
            <w:r>
              <w:rPr>
                <w:rFonts w:ascii="Times New Roman" w:hAnsi="宋体" w:cs="Times New Roman"/>
                <w:bCs/>
                <w:color w:val="auto"/>
              </w:rPr>
              <w:t>周边50m范围内无声环境保护目标，因此无需开展声环境质量现状监测与评价。</w:t>
            </w:r>
          </w:p>
          <w:p w14:paraId="3722A9D1">
            <w:pPr>
              <w:pStyle w:val="61"/>
              <w:ind w:firstLine="514"/>
              <w:rPr>
                <w:b/>
              </w:rPr>
            </w:pPr>
            <w:r>
              <w:rPr>
                <w:b/>
                <w:spacing w:val="8"/>
                <w:szCs w:val="24"/>
              </w:rPr>
              <w:t>四、</w:t>
            </w:r>
            <w:r>
              <w:rPr>
                <w:rFonts w:hint="eastAsia"/>
                <w:b/>
              </w:rPr>
              <w:t>生态环境现状</w:t>
            </w:r>
          </w:p>
          <w:p w14:paraId="673030D5">
            <w:pPr>
              <w:snapToGrid w:val="0"/>
              <w:spacing w:line="360" w:lineRule="auto"/>
              <w:ind w:firstLine="480" w:firstLineChars="200"/>
              <w:rPr>
                <w:sz w:val="24"/>
              </w:rPr>
            </w:pPr>
            <w:r>
              <w:rPr>
                <w:rFonts w:hint="eastAsia"/>
                <w:sz w:val="24"/>
              </w:rPr>
              <w:t>根据《建设项目环境影响报告表编制技术指南（污染影响类）（试行）》，“生态环境。产业园区外建设项目新增用地且用地范围内含有生态环境保护目标时，应进行生态现状调查”，本项目位于衡阳西渡高新技术产业开发区已建成的建筑物内，场地均已硬化，故无需进行生态现状调查。</w:t>
            </w:r>
          </w:p>
          <w:p w14:paraId="729C363C">
            <w:pPr>
              <w:snapToGrid w:val="0"/>
              <w:spacing w:line="360" w:lineRule="auto"/>
              <w:ind w:firstLine="482" w:firstLineChars="200"/>
              <w:rPr>
                <w:b/>
                <w:sz w:val="24"/>
              </w:rPr>
            </w:pPr>
            <w:r>
              <w:rPr>
                <w:rFonts w:hint="eastAsia"/>
                <w:b/>
                <w:sz w:val="24"/>
              </w:rPr>
              <w:t>五、地下水、土壤环境</w:t>
            </w:r>
          </w:p>
          <w:p w14:paraId="491F879E">
            <w:pPr>
              <w:snapToGrid w:val="0"/>
              <w:spacing w:line="360" w:lineRule="auto"/>
              <w:ind w:firstLine="480" w:firstLineChars="200"/>
              <w:rPr>
                <w:sz w:val="24"/>
              </w:rPr>
            </w:pPr>
            <w:r>
              <w:rPr>
                <w:rFonts w:hint="eastAsia"/>
                <w:sz w:val="24"/>
              </w:rPr>
              <w:t>根据《建设项目环境影响报告表编制技术指南（污染影响类）（试行）》，“地下水、土壤环境。原则上不开展环境质量现状调查。建设项目存在土壤、地下水环境污染途径的，应结合污染源、保护目标分布情况开展现状调查以留作背景值。结合本项目工程分析，项目场地均已硬化，做好防渗，项目不存在土壤、地下水环境污染途径，因此，可不开展土壤、地下水环境质量现状调查</w:t>
            </w:r>
            <w:r>
              <w:rPr>
                <w:sz w:val="24"/>
              </w:rPr>
              <w:t>。</w:t>
            </w:r>
          </w:p>
          <w:p w14:paraId="74B3E777">
            <w:pPr>
              <w:tabs>
                <w:tab w:val="left" w:pos="3544"/>
              </w:tabs>
              <w:adjustRightInd w:val="0"/>
              <w:snapToGrid w:val="0"/>
              <w:spacing w:line="360" w:lineRule="auto"/>
              <w:ind w:firstLine="482" w:firstLineChars="200"/>
              <w:rPr>
                <w:b/>
                <w:sz w:val="24"/>
              </w:rPr>
            </w:pPr>
            <w:r>
              <w:rPr>
                <w:rFonts w:hint="eastAsia"/>
                <w:b/>
                <w:sz w:val="24"/>
              </w:rPr>
              <w:t>六、电磁辐射</w:t>
            </w:r>
          </w:p>
          <w:p w14:paraId="3AEFBEF1">
            <w:pPr>
              <w:snapToGrid w:val="0"/>
              <w:spacing w:line="360" w:lineRule="auto"/>
              <w:ind w:firstLine="480" w:firstLineChars="200"/>
              <w:rPr>
                <w:sz w:val="24"/>
              </w:rPr>
            </w:pPr>
            <w:r>
              <w:rPr>
                <w:sz w:val="24"/>
              </w:rPr>
              <w:t>本项目不涉及电磁辐射设备，不进行电磁辐射影响评价，因此无需进行电磁辐射环境现状调查</w:t>
            </w:r>
            <w:r>
              <w:rPr>
                <w:rFonts w:hint="eastAsia"/>
                <w:sz w:val="24"/>
              </w:rPr>
              <w:t>。</w:t>
            </w:r>
          </w:p>
        </w:tc>
      </w:tr>
      <w:tr w14:paraId="229320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2" w:type="pct"/>
            <w:vAlign w:val="center"/>
          </w:tcPr>
          <w:p w14:paraId="2F4C70D9">
            <w:pPr>
              <w:adjustRightInd w:val="0"/>
              <w:snapToGrid w:val="0"/>
              <w:jc w:val="center"/>
              <w:rPr>
                <w:b/>
                <w:kern w:val="0"/>
                <w:sz w:val="24"/>
              </w:rPr>
            </w:pPr>
            <w:r>
              <w:rPr>
                <w:rFonts w:hint="eastAsia"/>
                <w:b/>
                <w:kern w:val="0"/>
                <w:sz w:val="24"/>
              </w:rPr>
              <w:t>环境</w:t>
            </w:r>
          </w:p>
          <w:p w14:paraId="753E4148">
            <w:pPr>
              <w:adjustRightInd w:val="0"/>
              <w:snapToGrid w:val="0"/>
              <w:jc w:val="center"/>
              <w:rPr>
                <w:b/>
                <w:kern w:val="0"/>
                <w:sz w:val="24"/>
              </w:rPr>
            </w:pPr>
            <w:r>
              <w:rPr>
                <w:rFonts w:hint="eastAsia"/>
                <w:b/>
                <w:kern w:val="0"/>
                <w:sz w:val="24"/>
              </w:rPr>
              <w:t>保护</w:t>
            </w:r>
          </w:p>
          <w:p w14:paraId="1396B481">
            <w:pPr>
              <w:adjustRightInd w:val="0"/>
              <w:snapToGrid w:val="0"/>
              <w:jc w:val="center"/>
              <w:rPr>
                <w:kern w:val="0"/>
                <w:sz w:val="24"/>
              </w:rPr>
            </w:pPr>
            <w:r>
              <w:rPr>
                <w:rFonts w:hint="eastAsia"/>
                <w:b/>
                <w:kern w:val="0"/>
                <w:sz w:val="24"/>
              </w:rPr>
              <w:t>目标</w:t>
            </w:r>
          </w:p>
        </w:tc>
        <w:tc>
          <w:tcPr>
            <w:tcW w:w="4718" w:type="pct"/>
            <w:vAlign w:val="center"/>
          </w:tcPr>
          <w:p w14:paraId="534A1EE5">
            <w:pPr>
              <w:adjustRightInd w:val="0"/>
              <w:snapToGrid w:val="0"/>
              <w:spacing w:line="360" w:lineRule="auto"/>
              <w:ind w:firstLine="482" w:firstLineChars="200"/>
              <w:rPr>
                <w:b/>
                <w:kern w:val="0"/>
                <w:sz w:val="24"/>
              </w:rPr>
            </w:pPr>
            <w:r>
              <w:rPr>
                <w:b/>
                <w:kern w:val="0"/>
                <w:sz w:val="24"/>
              </w:rPr>
              <w:t>一、大气环境保护目标</w:t>
            </w:r>
          </w:p>
          <w:p w14:paraId="732A3ECE">
            <w:pPr>
              <w:snapToGrid w:val="0"/>
              <w:spacing w:line="360" w:lineRule="auto"/>
              <w:ind w:firstLine="480" w:firstLineChars="200"/>
              <w:rPr>
                <w:sz w:val="24"/>
              </w:rPr>
            </w:pPr>
            <w:r>
              <w:rPr>
                <w:rFonts w:hint="eastAsia"/>
                <w:sz w:val="24"/>
              </w:rPr>
              <w:t>厂界外500m范围内大气环境敏感点主要为居住区等，具体情况见下表，敏感点分布情况见附表3-3及附图。</w:t>
            </w:r>
          </w:p>
          <w:p w14:paraId="2E5523F0">
            <w:pPr>
              <w:adjustRightInd w:val="0"/>
              <w:snapToGrid w:val="0"/>
              <w:spacing w:before="120" w:beforeLines="50"/>
              <w:jc w:val="center"/>
              <w:rPr>
                <w:b/>
                <w:bCs/>
                <w:szCs w:val="21"/>
              </w:rPr>
            </w:pPr>
            <w:r>
              <w:rPr>
                <w:b/>
                <w:bCs/>
                <w:szCs w:val="21"/>
              </w:rPr>
              <w:t>表</w:t>
            </w:r>
            <w:r>
              <w:rPr>
                <w:rFonts w:hint="eastAsia"/>
                <w:b/>
                <w:bCs/>
                <w:szCs w:val="21"/>
              </w:rPr>
              <w:t xml:space="preserve">3-3 </w:t>
            </w:r>
            <w:r>
              <w:rPr>
                <w:b/>
                <w:bCs/>
                <w:szCs w:val="21"/>
              </w:rPr>
              <w:t xml:space="preserve"> 项目环境敏感保护目标一览表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32"/>
              <w:gridCol w:w="1298"/>
              <w:gridCol w:w="1357"/>
              <w:gridCol w:w="1445"/>
              <w:gridCol w:w="775"/>
              <w:gridCol w:w="942"/>
              <w:gridCol w:w="896"/>
              <w:gridCol w:w="1139"/>
            </w:tblGrid>
            <w:tr w14:paraId="0373B5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22" w:type="pct"/>
                  <w:vMerge w:val="restart"/>
                  <w:shd w:val="clear" w:color="auto" w:fill="auto"/>
                  <w:vAlign w:val="center"/>
                </w:tcPr>
                <w:p w14:paraId="78E11BE2">
                  <w:pPr>
                    <w:autoSpaceDE w:val="0"/>
                    <w:autoSpaceDN w:val="0"/>
                    <w:adjustRightInd w:val="0"/>
                    <w:jc w:val="center"/>
                    <w:rPr>
                      <w:b/>
                      <w:kern w:val="0"/>
                      <w:szCs w:val="21"/>
                    </w:rPr>
                  </w:pPr>
                  <w:r>
                    <w:rPr>
                      <w:b/>
                      <w:kern w:val="0"/>
                      <w:szCs w:val="21"/>
                    </w:rPr>
                    <w:t>名称</w:t>
                  </w:r>
                </w:p>
              </w:tc>
              <w:tc>
                <w:tcPr>
                  <w:tcW w:w="1379" w:type="pct"/>
                  <w:gridSpan w:val="2"/>
                  <w:shd w:val="clear" w:color="auto" w:fill="auto"/>
                  <w:vAlign w:val="center"/>
                </w:tcPr>
                <w:p w14:paraId="26D3C3AF">
                  <w:pPr>
                    <w:autoSpaceDE w:val="0"/>
                    <w:autoSpaceDN w:val="0"/>
                    <w:adjustRightInd w:val="0"/>
                    <w:jc w:val="center"/>
                    <w:rPr>
                      <w:b/>
                      <w:kern w:val="0"/>
                      <w:szCs w:val="21"/>
                    </w:rPr>
                  </w:pPr>
                  <w:r>
                    <w:rPr>
                      <w:b/>
                      <w:kern w:val="0"/>
                      <w:szCs w:val="21"/>
                    </w:rPr>
                    <w:t>坐标/m</w:t>
                  </w:r>
                </w:p>
              </w:tc>
              <w:tc>
                <w:tcPr>
                  <w:tcW w:w="776" w:type="pct"/>
                  <w:vMerge w:val="restart"/>
                  <w:shd w:val="clear" w:color="auto" w:fill="auto"/>
                  <w:vAlign w:val="center"/>
                </w:tcPr>
                <w:p w14:paraId="7CCF5363">
                  <w:pPr>
                    <w:autoSpaceDE w:val="0"/>
                    <w:autoSpaceDN w:val="0"/>
                    <w:adjustRightInd w:val="0"/>
                    <w:jc w:val="center"/>
                    <w:rPr>
                      <w:b/>
                      <w:kern w:val="0"/>
                      <w:szCs w:val="21"/>
                    </w:rPr>
                  </w:pPr>
                  <w:r>
                    <w:rPr>
                      <w:b/>
                      <w:kern w:val="0"/>
                      <w:szCs w:val="21"/>
                    </w:rPr>
                    <w:t>保护对象</w:t>
                  </w:r>
                </w:p>
              </w:tc>
              <w:tc>
                <w:tcPr>
                  <w:tcW w:w="419" w:type="pct"/>
                  <w:vMerge w:val="restart"/>
                  <w:shd w:val="clear" w:color="auto" w:fill="auto"/>
                  <w:vAlign w:val="center"/>
                </w:tcPr>
                <w:p w14:paraId="4A20B2B4">
                  <w:pPr>
                    <w:autoSpaceDE w:val="0"/>
                    <w:autoSpaceDN w:val="0"/>
                    <w:adjustRightInd w:val="0"/>
                    <w:jc w:val="center"/>
                    <w:rPr>
                      <w:b/>
                      <w:kern w:val="0"/>
                      <w:szCs w:val="21"/>
                    </w:rPr>
                  </w:pPr>
                  <w:r>
                    <w:rPr>
                      <w:b/>
                      <w:kern w:val="0"/>
                      <w:szCs w:val="21"/>
                    </w:rPr>
                    <w:t>保护内容</w:t>
                  </w:r>
                </w:p>
              </w:tc>
              <w:tc>
                <w:tcPr>
                  <w:tcW w:w="508" w:type="pct"/>
                  <w:vMerge w:val="restart"/>
                  <w:shd w:val="clear" w:color="auto" w:fill="auto"/>
                  <w:vAlign w:val="center"/>
                </w:tcPr>
                <w:p w14:paraId="472DD21A">
                  <w:pPr>
                    <w:autoSpaceDE w:val="0"/>
                    <w:autoSpaceDN w:val="0"/>
                    <w:adjustRightInd w:val="0"/>
                    <w:jc w:val="center"/>
                    <w:rPr>
                      <w:b/>
                      <w:kern w:val="0"/>
                      <w:szCs w:val="21"/>
                    </w:rPr>
                  </w:pPr>
                  <w:r>
                    <w:rPr>
                      <w:b/>
                      <w:kern w:val="0"/>
                      <w:szCs w:val="21"/>
                    </w:rPr>
                    <w:t>环境功能区</w:t>
                  </w:r>
                </w:p>
              </w:tc>
              <w:tc>
                <w:tcPr>
                  <w:tcW w:w="483" w:type="pct"/>
                  <w:vMerge w:val="restart"/>
                  <w:shd w:val="clear" w:color="auto" w:fill="auto"/>
                  <w:vAlign w:val="center"/>
                </w:tcPr>
                <w:p w14:paraId="2EB4DB09">
                  <w:pPr>
                    <w:autoSpaceDE w:val="0"/>
                    <w:autoSpaceDN w:val="0"/>
                    <w:adjustRightInd w:val="0"/>
                    <w:jc w:val="center"/>
                    <w:rPr>
                      <w:b/>
                      <w:kern w:val="0"/>
                      <w:szCs w:val="21"/>
                    </w:rPr>
                  </w:pPr>
                  <w:r>
                    <w:rPr>
                      <w:b/>
                      <w:kern w:val="0"/>
                      <w:szCs w:val="21"/>
                    </w:rPr>
                    <w:t>相对厂址方位</w:t>
                  </w:r>
                </w:p>
              </w:tc>
              <w:tc>
                <w:tcPr>
                  <w:tcW w:w="614" w:type="pct"/>
                  <w:vMerge w:val="restart"/>
                  <w:shd w:val="clear" w:color="auto" w:fill="auto"/>
                  <w:vAlign w:val="center"/>
                </w:tcPr>
                <w:p w14:paraId="52A775A5">
                  <w:pPr>
                    <w:autoSpaceDE w:val="0"/>
                    <w:autoSpaceDN w:val="0"/>
                    <w:adjustRightInd w:val="0"/>
                    <w:jc w:val="center"/>
                    <w:rPr>
                      <w:b/>
                      <w:kern w:val="0"/>
                      <w:szCs w:val="21"/>
                    </w:rPr>
                  </w:pPr>
                  <w:r>
                    <w:rPr>
                      <w:b/>
                      <w:kern w:val="0"/>
                      <w:szCs w:val="21"/>
                    </w:rPr>
                    <w:t>相对厂界距离/m</w:t>
                  </w:r>
                </w:p>
              </w:tc>
            </w:tr>
            <w:tr w14:paraId="7815C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22" w:type="pct"/>
                  <w:vMerge w:val="continue"/>
                  <w:shd w:val="clear" w:color="auto" w:fill="auto"/>
                  <w:vAlign w:val="center"/>
                </w:tcPr>
                <w:p w14:paraId="4954337F">
                  <w:pPr>
                    <w:autoSpaceDE w:val="0"/>
                    <w:autoSpaceDN w:val="0"/>
                    <w:adjustRightInd w:val="0"/>
                    <w:jc w:val="center"/>
                    <w:rPr>
                      <w:b/>
                      <w:kern w:val="0"/>
                      <w:szCs w:val="21"/>
                    </w:rPr>
                  </w:pPr>
                </w:p>
              </w:tc>
              <w:tc>
                <w:tcPr>
                  <w:tcW w:w="651" w:type="pct"/>
                  <w:shd w:val="clear" w:color="auto" w:fill="auto"/>
                  <w:vAlign w:val="center"/>
                </w:tcPr>
                <w:p w14:paraId="3BF27F85">
                  <w:pPr>
                    <w:autoSpaceDE w:val="0"/>
                    <w:autoSpaceDN w:val="0"/>
                    <w:adjustRightInd w:val="0"/>
                    <w:jc w:val="center"/>
                    <w:rPr>
                      <w:b/>
                      <w:kern w:val="0"/>
                      <w:szCs w:val="21"/>
                    </w:rPr>
                  </w:pPr>
                  <w:r>
                    <w:rPr>
                      <w:b/>
                      <w:kern w:val="0"/>
                      <w:szCs w:val="21"/>
                    </w:rPr>
                    <w:t>X</w:t>
                  </w:r>
                </w:p>
              </w:tc>
              <w:tc>
                <w:tcPr>
                  <w:tcW w:w="729" w:type="pct"/>
                  <w:shd w:val="clear" w:color="auto" w:fill="auto"/>
                  <w:vAlign w:val="center"/>
                </w:tcPr>
                <w:p w14:paraId="658CC70E">
                  <w:pPr>
                    <w:autoSpaceDE w:val="0"/>
                    <w:autoSpaceDN w:val="0"/>
                    <w:adjustRightInd w:val="0"/>
                    <w:jc w:val="center"/>
                    <w:rPr>
                      <w:b/>
                      <w:kern w:val="0"/>
                      <w:szCs w:val="21"/>
                    </w:rPr>
                  </w:pPr>
                  <w:r>
                    <w:rPr>
                      <w:b/>
                      <w:kern w:val="0"/>
                      <w:szCs w:val="21"/>
                    </w:rPr>
                    <w:t>Y</w:t>
                  </w:r>
                </w:p>
              </w:tc>
              <w:tc>
                <w:tcPr>
                  <w:tcW w:w="776" w:type="pct"/>
                  <w:vMerge w:val="continue"/>
                  <w:shd w:val="clear" w:color="auto" w:fill="auto"/>
                  <w:vAlign w:val="center"/>
                </w:tcPr>
                <w:p w14:paraId="1C76178D">
                  <w:pPr>
                    <w:autoSpaceDE w:val="0"/>
                    <w:autoSpaceDN w:val="0"/>
                    <w:adjustRightInd w:val="0"/>
                    <w:jc w:val="center"/>
                    <w:rPr>
                      <w:b/>
                      <w:kern w:val="0"/>
                      <w:szCs w:val="21"/>
                    </w:rPr>
                  </w:pPr>
                </w:p>
              </w:tc>
              <w:tc>
                <w:tcPr>
                  <w:tcW w:w="419" w:type="pct"/>
                  <w:vMerge w:val="continue"/>
                  <w:shd w:val="clear" w:color="auto" w:fill="auto"/>
                  <w:vAlign w:val="center"/>
                </w:tcPr>
                <w:p w14:paraId="31679E24">
                  <w:pPr>
                    <w:autoSpaceDE w:val="0"/>
                    <w:autoSpaceDN w:val="0"/>
                    <w:adjustRightInd w:val="0"/>
                    <w:jc w:val="center"/>
                    <w:rPr>
                      <w:b/>
                      <w:kern w:val="0"/>
                      <w:szCs w:val="21"/>
                    </w:rPr>
                  </w:pPr>
                </w:p>
              </w:tc>
              <w:tc>
                <w:tcPr>
                  <w:tcW w:w="508" w:type="pct"/>
                  <w:vMerge w:val="continue"/>
                  <w:shd w:val="clear" w:color="auto" w:fill="auto"/>
                  <w:vAlign w:val="center"/>
                </w:tcPr>
                <w:p w14:paraId="612E5DC7">
                  <w:pPr>
                    <w:autoSpaceDE w:val="0"/>
                    <w:autoSpaceDN w:val="0"/>
                    <w:adjustRightInd w:val="0"/>
                    <w:jc w:val="center"/>
                    <w:rPr>
                      <w:b/>
                      <w:kern w:val="0"/>
                      <w:szCs w:val="21"/>
                    </w:rPr>
                  </w:pPr>
                </w:p>
              </w:tc>
              <w:tc>
                <w:tcPr>
                  <w:tcW w:w="483" w:type="pct"/>
                  <w:vMerge w:val="continue"/>
                  <w:shd w:val="clear" w:color="auto" w:fill="auto"/>
                  <w:vAlign w:val="center"/>
                </w:tcPr>
                <w:p w14:paraId="4A834BC1">
                  <w:pPr>
                    <w:autoSpaceDE w:val="0"/>
                    <w:autoSpaceDN w:val="0"/>
                    <w:adjustRightInd w:val="0"/>
                    <w:jc w:val="center"/>
                    <w:rPr>
                      <w:b/>
                      <w:kern w:val="0"/>
                      <w:szCs w:val="21"/>
                    </w:rPr>
                  </w:pPr>
                </w:p>
              </w:tc>
              <w:tc>
                <w:tcPr>
                  <w:tcW w:w="614" w:type="pct"/>
                  <w:vMerge w:val="continue"/>
                  <w:shd w:val="clear" w:color="auto" w:fill="auto"/>
                  <w:vAlign w:val="center"/>
                </w:tcPr>
                <w:p w14:paraId="54B93FD9">
                  <w:pPr>
                    <w:autoSpaceDE w:val="0"/>
                    <w:autoSpaceDN w:val="0"/>
                    <w:adjustRightInd w:val="0"/>
                    <w:jc w:val="center"/>
                    <w:rPr>
                      <w:b/>
                      <w:kern w:val="0"/>
                      <w:szCs w:val="21"/>
                    </w:rPr>
                  </w:pPr>
                </w:p>
              </w:tc>
            </w:tr>
            <w:tr w14:paraId="7669E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22" w:type="pct"/>
                  <w:shd w:val="clear" w:color="auto" w:fill="auto"/>
                  <w:vAlign w:val="center"/>
                </w:tcPr>
                <w:p w14:paraId="0E0E54CE">
                  <w:pPr>
                    <w:autoSpaceDE w:val="0"/>
                    <w:autoSpaceDN w:val="0"/>
                    <w:adjustRightInd w:val="0"/>
                    <w:jc w:val="center"/>
                    <w:rPr>
                      <w:kern w:val="0"/>
                      <w:szCs w:val="21"/>
                    </w:rPr>
                  </w:pPr>
                  <w:r>
                    <w:rPr>
                      <w:kern w:val="0"/>
                      <w:szCs w:val="21"/>
                    </w:rPr>
                    <w:t>肖家冲居民点</w:t>
                  </w:r>
                </w:p>
              </w:tc>
              <w:tc>
                <w:tcPr>
                  <w:tcW w:w="651" w:type="pct"/>
                  <w:shd w:val="clear" w:color="auto" w:fill="auto"/>
                  <w:vAlign w:val="center"/>
                </w:tcPr>
                <w:p w14:paraId="6A02C61E">
                  <w:pPr>
                    <w:autoSpaceDE w:val="0"/>
                    <w:autoSpaceDN w:val="0"/>
                    <w:adjustRightInd w:val="0"/>
                    <w:jc w:val="center"/>
                    <w:rPr>
                      <w:kern w:val="0"/>
                      <w:szCs w:val="21"/>
                    </w:rPr>
                  </w:pPr>
                  <w:r>
                    <w:rPr>
                      <w:kern w:val="0"/>
                      <w:szCs w:val="21"/>
                    </w:rPr>
                    <w:t>112.451515°</w:t>
                  </w:r>
                </w:p>
              </w:tc>
              <w:tc>
                <w:tcPr>
                  <w:tcW w:w="729" w:type="pct"/>
                  <w:shd w:val="clear" w:color="auto" w:fill="auto"/>
                  <w:vAlign w:val="center"/>
                </w:tcPr>
                <w:p w14:paraId="6C2BA6BE">
                  <w:pPr>
                    <w:autoSpaceDE w:val="0"/>
                    <w:autoSpaceDN w:val="0"/>
                    <w:adjustRightInd w:val="0"/>
                    <w:jc w:val="center"/>
                    <w:rPr>
                      <w:kern w:val="0"/>
                      <w:szCs w:val="21"/>
                    </w:rPr>
                  </w:pPr>
                  <w:r>
                    <w:rPr>
                      <w:kern w:val="0"/>
                      <w:szCs w:val="21"/>
                    </w:rPr>
                    <w:t>26.941218°</w:t>
                  </w:r>
                </w:p>
              </w:tc>
              <w:tc>
                <w:tcPr>
                  <w:tcW w:w="776" w:type="pct"/>
                  <w:shd w:val="clear" w:color="auto" w:fill="auto"/>
                  <w:vAlign w:val="center"/>
                </w:tcPr>
                <w:p w14:paraId="11097AAD">
                  <w:pPr>
                    <w:autoSpaceDE w:val="0"/>
                    <w:autoSpaceDN w:val="0"/>
                    <w:adjustRightInd w:val="0"/>
                    <w:jc w:val="center"/>
                    <w:rPr>
                      <w:kern w:val="0"/>
                      <w:szCs w:val="21"/>
                    </w:rPr>
                  </w:pPr>
                  <w:r>
                    <w:rPr>
                      <w:kern w:val="0"/>
                      <w:szCs w:val="21"/>
                    </w:rPr>
                    <w:t>居民，约</w:t>
                  </w:r>
                  <w:r>
                    <w:rPr>
                      <w:rFonts w:hint="eastAsia"/>
                      <w:kern w:val="0"/>
                      <w:szCs w:val="21"/>
                    </w:rPr>
                    <w:t>14</w:t>
                  </w:r>
                  <w:r>
                    <w:rPr>
                      <w:kern w:val="0"/>
                      <w:szCs w:val="21"/>
                    </w:rPr>
                    <w:t>户</w:t>
                  </w:r>
                </w:p>
              </w:tc>
              <w:tc>
                <w:tcPr>
                  <w:tcW w:w="419" w:type="pct"/>
                  <w:shd w:val="clear" w:color="auto" w:fill="auto"/>
                  <w:vAlign w:val="center"/>
                </w:tcPr>
                <w:p w14:paraId="3AFE869E">
                  <w:pPr>
                    <w:autoSpaceDE w:val="0"/>
                    <w:autoSpaceDN w:val="0"/>
                    <w:adjustRightInd w:val="0"/>
                    <w:jc w:val="center"/>
                    <w:rPr>
                      <w:kern w:val="0"/>
                      <w:szCs w:val="21"/>
                    </w:rPr>
                  </w:pPr>
                  <w:r>
                    <w:rPr>
                      <w:kern w:val="0"/>
                      <w:szCs w:val="21"/>
                    </w:rPr>
                    <w:t>人群</w:t>
                  </w:r>
                </w:p>
              </w:tc>
              <w:tc>
                <w:tcPr>
                  <w:tcW w:w="508" w:type="pct"/>
                  <w:shd w:val="clear" w:color="auto" w:fill="auto"/>
                  <w:vAlign w:val="center"/>
                </w:tcPr>
                <w:p w14:paraId="1184E970">
                  <w:pPr>
                    <w:autoSpaceDE w:val="0"/>
                    <w:autoSpaceDN w:val="0"/>
                    <w:adjustRightInd w:val="0"/>
                    <w:jc w:val="center"/>
                    <w:rPr>
                      <w:kern w:val="0"/>
                      <w:szCs w:val="21"/>
                    </w:rPr>
                  </w:pPr>
                  <w:r>
                    <w:rPr>
                      <w:kern w:val="0"/>
                      <w:szCs w:val="21"/>
                    </w:rPr>
                    <w:t>二类区</w:t>
                  </w:r>
                </w:p>
              </w:tc>
              <w:tc>
                <w:tcPr>
                  <w:tcW w:w="483" w:type="pct"/>
                  <w:shd w:val="clear" w:color="auto" w:fill="auto"/>
                  <w:vAlign w:val="center"/>
                </w:tcPr>
                <w:p w14:paraId="0C6EC50B">
                  <w:pPr>
                    <w:autoSpaceDE w:val="0"/>
                    <w:autoSpaceDN w:val="0"/>
                    <w:adjustRightInd w:val="0"/>
                    <w:jc w:val="center"/>
                    <w:rPr>
                      <w:kern w:val="0"/>
                      <w:szCs w:val="21"/>
                    </w:rPr>
                  </w:pPr>
                  <w:r>
                    <w:rPr>
                      <w:kern w:val="0"/>
                      <w:szCs w:val="21"/>
                    </w:rPr>
                    <w:t>西</w:t>
                  </w:r>
                </w:p>
              </w:tc>
              <w:tc>
                <w:tcPr>
                  <w:tcW w:w="614" w:type="pct"/>
                  <w:shd w:val="clear" w:color="auto" w:fill="auto"/>
                  <w:vAlign w:val="center"/>
                </w:tcPr>
                <w:p w14:paraId="3FA1BC41">
                  <w:pPr>
                    <w:autoSpaceDE w:val="0"/>
                    <w:autoSpaceDN w:val="0"/>
                    <w:adjustRightInd w:val="0"/>
                    <w:jc w:val="center"/>
                    <w:rPr>
                      <w:kern w:val="0"/>
                      <w:szCs w:val="21"/>
                    </w:rPr>
                  </w:pPr>
                  <w:r>
                    <w:rPr>
                      <w:rFonts w:hint="eastAsia"/>
                      <w:kern w:val="0"/>
                      <w:szCs w:val="21"/>
                    </w:rPr>
                    <w:t>285~410m</w:t>
                  </w:r>
                </w:p>
              </w:tc>
            </w:tr>
            <w:tr w14:paraId="59F138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822" w:type="pct"/>
                  <w:shd w:val="clear" w:color="auto" w:fill="auto"/>
                  <w:vAlign w:val="center"/>
                </w:tcPr>
                <w:p w14:paraId="68CADCAA">
                  <w:pPr>
                    <w:autoSpaceDE w:val="0"/>
                    <w:autoSpaceDN w:val="0"/>
                    <w:adjustRightInd w:val="0"/>
                    <w:jc w:val="center"/>
                    <w:rPr>
                      <w:kern w:val="0"/>
                      <w:szCs w:val="21"/>
                    </w:rPr>
                  </w:pPr>
                  <w:r>
                    <w:rPr>
                      <w:kern w:val="0"/>
                      <w:szCs w:val="21"/>
                    </w:rPr>
                    <w:t>大勇村居民点</w:t>
                  </w:r>
                </w:p>
              </w:tc>
              <w:tc>
                <w:tcPr>
                  <w:tcW w:w="651" w:type="pct"/>
                  <w:shd w:val="clear" w:color="auto" w:fill="auto"/>
                  <w:vAlign w:val="center"/>
                </w:tcPr>
                <w:p w14:paraId="018EAAF8">
                  <w:pPr>
                    <w:autoSpaceDE w:val="0"/>
                    <w:autoSpaceDN w:val="0"/>
                    <w:adjustRightInd w:val="0"/>
                    <w:jc w:val="center"/>
                    <w:rPr>
                      <w:kern w:val="0"/>
                      <w:szCs w:val="21"/>
                    </w:rPr>
                  </w:pPr>
                  <w:r>
                    <w:rPr>
                      <w:kern w:val="0"/>
                      <w:szCs w:val="21"/>
                    </w:rPr>
                    <w:t>112.454181°</w:t>
                  </w:r>
                </w:p>
              </w:tc>
              <w:tc>
                <w:tcPr>
                  <w:tcW w:w="729" w:type="pct"/>
                  <w:shd w:val="clear" w:color="auto" w:fill="auto"/>
                  <w:vAlign w:val="center"/>
                </w:tcPr>
                <w:p w14:paraId="37256805">
                  <w:pPr>
                    <w:autoSpaceDE w:val="0"/>
                    <w:autoSpaceDN w:val="0"/>
                    <w:adjustRightInd w:val="0"/>
                    <w:jc w:val="center"/>
                    <w:rPr>
                      <w:kern w:val="0"/>
                      <w:szCs w:val="21"/>
                    </w:rPr>
                  </w:pPr>
                  <w:r>
                    <w:rPr>
                      <w:kern w:val="0"/>
                      <w:szCs w:val="21"/>
                    </w:rPr>
                    <w:t>26.944064°</w:t>
                  </w:r>
                </w:p>
              </w:tc>
              <w:tc>
                <w:tcPr>
                  <w:tcW w:w="776" w:type="pct"/>
                  <w:shd w:val="clear" w:color="auto" w:fill="auto"/>
                  <w:vAlign w:val="center"/>
                </w:tcPr>
                <w:p w14:paraId="55782421">
                  <w:pPr>
                    <w:autoSpaceDE w:val="0"/>
                    <w:autoSpaceDN w:val="0"/>
                    <w:adjustRightInd w:val="0"/>
                    <w:jc w:val="center"/>
                    <w:rPr>
                      <w:kern w:val="0"/>
                      <w:szCs w:val="21"/>
                    </w:rPr>
                  </w:pPr>
                  <w:r>
                    <w:rPr>
                      <w:kern w:val="0"/>
                      <w:szCs w:val="21"/>
                    </w:rPr>
                    <w:t>居民，约1</w:t>
                  </w:r>
                  <w:r>
                    <w:rPr>
                      <w:rFonts w:hint="eastAsia"/>
                      <w:kern w:val="0"/>
                      <w:szCs w:val="21"/>
                    </w:rPr>
                    <w:t>9</w:t>
                  </w:r>
                  <w:r>
                    <w:rPr>
                      <w:kern w:val="0"/>
                      <w:szCs w:val="21"/>
                    </w:rPr>
                    <w:t>户</w:t>
                  </w:r>
                </w:p>
              </w:tc>
              <w:tc>
                <w:tcPr>
                  <w:tcW w:w="419" w:type="pct"/>
                  <w:shd w:val="clear" w:color="auto" w:fill="auto"/>
                  <w:vAlign w:val="center"/>
                </w:tcPr>
                <w:p w14:paraId="364E1029">
                  <w:pPr>
                    <w:autoSpaceDE w:val="0"/>
                    <w:autoSpaceDN w:val="0"/>
                    <w:adjustRightInd w:val="0"/>
                    <w:jc w:val="center"/>
                    <w:rPr>
                      <w:kern w:val="0"/>
                      <w:szCs w:val="21"/>
                    </w:rPr>
                  </w:pPr>
                  <w:r>
                    <w:rPr>
                      <w:kern w:val="0"/>
                      <w:szCs w:val="21"/>
                    </w:rPr>
                    <w:t>人群</w:t>
                  </w:r>
                </w:p>
              </w:tc>
              <w:tc>
                <w:tcPr>
                  <w:tcW w:w="508" w:type="pct"/>
                  <w:shd w:val="clear" w:color="auto" w:fill="auto"/>
                  <w:vAlign w:val="center"/>
                </w:tcPr>
                <w:p w14:paraId="248732E0">
                  <w:pPr>
                    <w:autoSpaceDE w:val="0"/>
                    <w:autoSpaceDN w:val="0"/>
                    <w:adjustRightInd w:val="0"/>
                    <w:jc w:val="center"/>
                    <w:rPr>
                      <w:kern w:val="0"/>
                      <w:szCs w:val="21"/>
                    </w:rPr>
                  </w:pPr>
                  <w:r>
                    <w:rPr>
                      <w:kern w:val="0"/>
                      <w:szCs w:val="21"/>
                    </w:rPr>
                    <w:t>二类区</w:t>
                  </w:r>
                </w:p>
              </w:tc>
              <w:tc>
                <w:tcPr>
                  <w:tcW w:w="483" w:type="pct"/>
                  <w:shd w:val="clear" w:color="auto" w:fill="auto"/>
                  <w:vAlign w:val="center"/>
                </w:tcPr>
                <w:p w14:paraId="0EE4A846">
                  <w:pPr>
                    <w:autoSpaceDE w:val="0"/>
                    <w:autoSpaceDN w:val="0"/>
                    <w:adjustRightInd w:val="0"/>
                    <w:jc w:val="center"/>
                    <w:rPr>
                      <w:kern w:val="0"/>
                      <w:szCs w:val="21"/>
                    </w:rPr>
                  </w:pPr>
                  <w:r>
                    <w:rPr>
                      <w:kern w:val="0"/>
                      <w:szCs w:val="21"/>
                    </w:rPr>
                    <w:t>北</w:t>
                  </w:r>
                </w:p>
              </w:tc>
              <w:tc>
                <w:tcPr>
                  <w:tcW w:w="614" w:type="pct"/>
                  <w:shd w:val="clear" w:color="auto" w:fill="auto"/>
                  <w:vAlign w:val="center"/>
                </w:tcPr>
                <w:p w14:paraId="60EBB8B1">
                  <w:pPr>
                    <w:autoSpaceDE w:val="0"/>
                    <w:autoSpaceDN w:val="0"/>
                    <w:adjustRightInd w:val="0"/>
                    <w:jc w:val="center"/>
                    <w:rPr>
                      <w:kern w:val="0"/>
                      <w:szCs w:val="21"/>
                    </w:rPr>
                  </w:pPr>
                  <w:r>
                    <w:rPr>
                      <w:rFonts w:hint="eastAsia"/>
                      <w:kern w:val="0"/>
                      <w:szCs w:val="21"/>
                    </w:rPr>
                    <w:t>230</w:t>
                  </w:r>
                  <w:r>
                    <w:rPr>
                      <w:kern w:val="0"/>
                      <w:szCs w:val="21"/>
                    </w:rPr>
                    <w:t>~</w:t>
                  </w:r>
                  <w:r>
                    <w:rPr>
                      <w:rFonts w:hint="eastAsia"/>
                      <w:kern w:val="0"/>
                      <w:szCs w:val="21"/>
                    </w:rPr>
                    <w:t>450</w:t>
                  </w:r>
                  <w:r>
                    <w:rPr>
                      <w:kern w:val="0"/>
                      <w:szCs w:val="21"/>
                    </w:rPr>
                    <w:t>m</w:t>
                  </w:r>
                </w:p>
              </w:tc>
            </w:tr>
          </w:tbl>
          <w:p w14:paraId="0F9FDC44">
            <w:pPr>
              <w:adjustRightInd w:val="0"/>
              <w:snapToGrid w:val="0"/>
              <w:spacing w:line="360" w:lineRule="auto"/>
              <w:ind w:firstLine="482" w:firstLineChars="200"/>
              <w:rPr>
                <w:b/>
                <w:kern w:val="0"/>
                <w:sz w:val="24"/>
              </w:rPr>
            </w:pPr>
            <w:r>
              <w:rPr>
                <w:b/>
                <w:kern w:val="0"/>
                <w:sz w:val="24"/>
              </w:rPr>
              <w:t>二、水环境保护目标</w:t>
            </w:r>
          </w:p>
          <w:p w14:paraId="142E634A">
            <w:pPr>
              <w:adjustRightInd w:val="0"/>
              <w:snapToGrid w:val="0"/>
              <w:spacing w:line="360" w:lineRule="auto"/>
              <w:ind w:firstLine="480" w:firstLineChars="200"/>
              <w:rPr>
                <w:kern w:val="0"/>
                <w:sz w:val="24"/>
              </w:rPr>
            </w:pPr>
            <w:r>
              <w:rPr>
                <w:kern w:val="0"/>
                <w:sz w:val="24"/>
              </w:rPr>
              <w:t>项目周边水体为鸡市河</w:t>
            </w:r>
            <w:r>
              <w:rPr>
                <w:rFonts w:hint="eastAsia"/>
                <w:kern w:val="0"/>
                <w:sz w:val="24"/>
              </w:rPr>
              <w:t>、蒸水（英陂拦河坝至湘江入河口段）</w:t>
            </w:r>
            <w:r>
              <w:rPr>
                <w:kern w:val="0"/>
                <w:sz w:val="24"/>
              </w:rPr>
              <w:t>，项目地表水环境保护目标详见下表。</w:t>
            </w:r>
          </w:p>
          <w:p w14:paraId="75E828BE">
            <w:pPr>
              <w:adjustRightInd w:val="0"/>
              <w:snapToGrid w:val="0"/>
              <w:spacing w:before="120" w:beforeLines="50"/>
              <w:jc w:val="center"/>
              <w:rPr>
                <w:b/>
                <w:bCs/>
                <w:szCs w:val="21"/>
              </w:rPr>
            </w:pPr>
            <w:r>
              <w:rPr>
                <w:b/>
                <w:bCs/>
                <w:szCs w:val="21"/>
              </w:rPr>
              <w:t>表3-</w:t>
            </w:r>
            <w:r>
              <w:rPr>
                <w:rFonts w:hint="eastAsia"/>
                <w:b/>
                <w:bCs/>
                <w:szCs w:val="21"/>
              </w:rPr>
              <w:t>4</w:t>
            </w:r>
            <w:r>
              <w:rPr>
                <w:b/>
                <w:bCs/>
                <w:szCs w:val="21"/>
              </w:rPr>
              <w:t xml:space="preserve">  地表水环境保护目标一览表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60"/>
              <w:gridCol w:w="1458"/>
              <w:gridCol w:w="1098"/>
              <w:gridCol w:w="1100"/>
              <w:gridCol w:w="1563"/>
              <w:gridCol w:w="1841"/>
              <w:gridCol w:w="1464"/>
            </w:tblGrid>
            <w:tr w14:paraId="18A686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58" w:type="pct"/>
                  <w:vAlign w:val="center"/>
                </w:tcPr>
                <w:p w14:paraId="5884704C">
                  <w:pPr>
                    <w:spacing w:line="0" w:lineRule="atLeast"/>
                    <w:jc w:val="center"/>
                    <w:rPr>
                      <w:b/>
                      <w:szCs w:val="21"/>
                    </w:rPr>
                  </w:pPr>
                  <w:r>
                    <w:rPr>
                      <w:b/>
                      <w:szCs w:val="21"/>
                    </w:rPr>
                    <w:t>类别</w:t>
                  </w:r>
                </w:p>
              </w:tc>
              <w:tc>
                <w:tcPr>
                  <w:tcW w:w="777" w:type="pct"/>
                  <w:vAlign w:val="center"/>
                </w:tcPr>
                <w:p w14:paraId="509F2E96">
                  <w:pPr>
                    <w:spacing w:line="0" w:lineRule="atLeast"/>
                    <w:jc w:val="center"/>
                    <w:rPr>
                      <w:b/>
                      <w:szCs w:val="21"/>
                    </w:rPr>
                  </w:pPr>
                  <w:r>
                    <w:rPr>
                      <w:b/>
                      <w:szCs w:val="21"/>
                    </w:rPr>
                    <w:t>保护目标</w:t>
                  </w:r>
                </w:p>
              </w:tc>
              <w:tc>
                <w:tcPr>
                  <w:tcW w:w="585" w:type="pct"/>
                  <w:vAlign w:val="center"/>
                </w:tcPr>
                <w:p w14:paraId="5CE7E2F6">
                  <w:pPr>
                    <w:spacing w:line="0" w:lineRule="atLeast"/>
                    <w:ind w:right="-80" w:rightChars="-38"/>
                    <w:jc w:val="center"/>
                    <w:rPr>
                      <w:b/>
                      <w:szCs w:val="21"/>
                    </w:rPr>
                  </w:pPr>
                  <w:r>
                    <w:rPr>
                      <w:b/>
                      <w:szCs w:val="21"/>
                    </w:rPr>
                    <w:t>规模</w:t>
                  </w:r>
                  <w:r>
                    <w:rPr>
                      <w:rFonts w:hint="eastAsia"/>
                      <w:b/>
                      <w:szCs w:val="21"/>
                    </w:rPr>
                    <w:t>/功能</w:t>
                  </w:r>
                </w:p>
              </w:tc>
              <w:tc>
                <w:tcPr>
                  <w:tcW w:w="586" w:type="pct"/>
                  <w:vAlign w:val="center"/>
                </w:tcPr>
                <w:p w14:paraId="19A90CFF">
                  <w:pPr>
                    <w:spacing w:line="0" w:lineRule="atLeast"/>
                    <w:jc w:val="center"/>
                    <w:rPr>
                      <w:b/>
                      <w:szCs w:val="21"/>
                    </w:rPr>
                  </w:pPr>
                  <w:r>
                    <w:rPr>
                      <w:b/>
                      <w:szCs w:val="21"/>
                    </w:rPr>
                    <w:t>与项目相对位置</w:t>
                  </w:r>
                </w:p>
              </w:tc>
              <w:tc>
                <w:tcPr>
                  <w:tcW w:w="833" w:type="pct"/>
                  <w:vAlign w:val="center"/>
                </w:tcPr>
                <w:p w14:paraId="7C3A1E33">
                  <w:pPr>
                    <w:spacing w:line="0" w:lineRule="atLeast"/>
                    <w:jc w:val="center"/>
                    <w:rPr>
                      <w:b/>
                      <w:szCs w:val="21"/>
                    </w:rPr>
                  </w:pPr>
                  <w:r>
                    <w:rPr>
                      <w:b/>
                      <w:szCs w:val="21"/>
                    </w:rPr>
                    <w:t>距离项目区最近距离</w:t>
                  </w:r>
                </w:p>
              </w:tc>
              <w:tc>
                <w:tcPr>
                  <w:tcW w:w="981" w:type="pct"/>
                  <w:vAlign w:val="center"/>
                </w:tcPr>
                <w:p w14:paraId="0C6C1D51">
                  <w:pPr>
                    <w:spacing w:line="0" w:lineRule="atLeast"/>
                    <w:jc w:val="center"/>
                    <w:rPr>
                      <w:b/>
                      <w:szCs w:val="21"/>
                    </w:rPr>
                  </w:pPr>
                  <w:r>
                    <w:rPr>
                      <w:b/>
                      <w:szCs w:val="21"/>
                    </w:rPr>
                    <w:t>执行标准</w:t>
                  </w:r>
                </w:p>
              </w:tc>
              <w:tc>
                <w:tcPr>
                  <w:tcW w:w="780" w:type="pct"/>
                  <w:vAlign w:val="center"/>
                </w:tcPr>
                <w:p w14:paraId="70B44F48">
                  <w:pPr>
                    <w:spacing w:line="0" w:lineRule="atLeast"/>
                    <w:jc w:val="center"/>
                    <w:rPr>
                      <w:b/>
                      <w:szCs w:val="21"/>
                    </w:rPr>
                  </w:pPr>
                  <w:r>
                    <w:rPr>
                      <w:b/>
                      <w:szCs w:val="21"/>
                    </w:rPr>
                    <w:t>是否有水利联系</w:t>
                  </w:r>
                </w:p>
              </w:tc>
            </w:tr>
            <w:tr w14:paraId="6D54D1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58" w:type="pct"/>
                  <w:vMerge w:val="restart"/>
                  <w:vAlign w:val="center"/>
                </w:tcPr>
                <w:p w14:paraId="70DFFECF">
                  <w:pPr>
                    <w:spacing w:line="0" w:lineRule="atLeast"/>
                    <w:ind w:left="-78" w:leftChars="-37" w:right="-86" w:rightChars="-41"/>
                    <w:jc w:val="center"/>
                    <w:rPr>
                      <w:szCs w:val="21"/>
                    </w:rPr>
                  </w:pPr>
                  <w:r>
                    <w:rPr>
                      <w:szCs w:val="21"/>
                    </w:rPr>
                    <w:t>水环境</w:t>
                  </w:r>
                </w:p>
              </w:tc>
              <w:tc>
                <w:tcPr>
                  <w:tcW w:w="777" w:type="pct"/>
                  <w:vAlign w:val="center"/>
                </w:tcPr>
                <w:p w14:paraId="6982E8DF">
                  <w:pPr>
                    <w:jc w:val="center"/>
                    <w:rPr>
                      <w:szCs w:val="21"/>
                    </w:rPr>
                  </w:pPr>
                  <w:r>
                    <w:rPr>
                      <w:rFonts w:hint="eastAsia"/>
                      <w:szCs w:val="21"/>
                    </w:rPr>
                    <w:t>鸡市河</w:t>
                  </w:r>
                </w:p>
              </w:tc>
              <w:tc>
                <w:tcPr>
                  <w:tcW w:w="585" w:type="pct"/>
                  <w:vAlign w:val="center"/>
                </w:tcPr>
                <w:p w14:paraId="388D7F30">
                  <w:pPr>
                    <w:ind w:firstLine="27" w:firstLineChars="13"/>
                    <w:jc w:val="center"/>
                    <w:rPr>
                      <w:szCs w:val="21"/>
                    </w:rPr>
                  </w:pPr>
                  <w:r>
                    <w:rPr>
                      <w:rFonts w:hint="eastAsia"/>
                      <w:szCs w:val="21"/>
                    </w:rPr>
                    <w:t>纳污、排洪、灌溉</w:t>
                  </w:r>
                </w:p>
              </w:tc>
              <w:tc>
                <w:tcPr>
                  <w:tcW w:w="586" w:type="pct"/>
                  <w:vAlign w:val="center"/>
                </w:tcPr>
                <w:p w14:paraId="5AC19717">
                  <w:pPr>
                    <w:jc w:val="center"/>
                    <w:rPr>
                      <w:szCs w:val="21"/>
                    </w:rPr>
                  </w:pPr>
                  <w:r>
                    <w:rPr>
                      <w:szCs w:val="21"/>
                    </w:rPr>
                    <w:t>东南</w:t>
                  </w:r>
                </w:p>
              </w:tc>
              <w:tc>
                <w:tcPr>
                  <w:tcW w:w="833" w:type="pct"/>
                  <w:vAlign w:val="center"/>
                </w:tcPr>
                <w:p w14:paraId="5BF0F117">
                  <w:pPr>
                    <w:jc w:val="center"/>
                    <w:rPr>
                      <w:szCs w:val="21"/>
                    </w:rPr>
                  </w:pPr>
                  <w:r>
                    <w:rPr>
                      <w:rFonts w:hint="eastAsia"/>
                      <w:szCs w:val="21"/>
                    </w:rPr>
                    <w:t>1.72km</w:t>
                  </w:r>
                </w:p>
              </w:tc>
              <w:tc>
                <w:tcPr>
                  <w:tcW w:w="981" w:type="pct"/>
                  <w:vAlign w:val="center"/>
                </w:tcPr>
                <w:p w14:paraId="72084775">
                  <w:pPr>
                    <w:spacing w:line="0" w:lineRule="atLeast"/>
                    <w:jc w:val="center"/>
                    <w:rPr>
                      <w:szCs w:val="21"/>
                    </w:rPr>
                  </w:pPr>
                  <w:r>
                    <w:rPr>
                      <w:rFonts w:hint="eastAsia"/>
                      <w:bCs/>
                      <w:szCs w:val="21"/>
                    </w:rPr>
                    <w:t>（GB3838-2002）中Ⅲ类标准</w:t>
                  </w:r>
                </w:p>
              </w:tc>
              <w:tc>
                <w:tcPr>
                  <w:tcW w:w="780" w:type="pct"/>
                  <w:vAlign w:val="center"/>
                </w:tcPr>
                <w:p w14:paraId="24A121E3">
                  <w:pPr>
                    <w:spacing w:line="0" w:lineRule="atLeast"/>
                    <w:jc w:val="center"/>
                    <w:rPr>
                      <w:bCs/>
                      <w:szCs w:val="21"/>
                    </w:rPr>
                  </w:pPr>
                  <w:r>
                    <w:rPr>
                      <w:rFonts w:hint="eastAsia"/>
                      <w:bCs/>
                      <w:szCs w:val="21"/>
                    </w:rPr>
                    <w:t>否</w:t>
                  </w:r>
                </w:p>
              </w:tc>
            </w:tr>
            <w:tr w14:paraId="366459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58" w:type="pct"/>
                  <w:vMerge w:val="continue"/>
                  <w:vAlign w:val="center"/>
                </w:tcPr>
                <w:p w14:paraId="39D8D27B">
                  <w:pPr>
                    <w:spacing w:line="0" w:lineRule="atLeast"/>
                    <w:ind w:left="-78" w:leftChars="-37" w:right="-86" w:rightChars="-41"/>
                    <w:jc w:val="center"/>
                    <w:rPr>
                      <w:szCs w:val="21"/>
                    </w:rPr>
                  </w:pPr>
                </w:p>
              </w:tc>
              <w:tc>
                <w:tcPr>
                  <w:tcW w:w="777" w:type="pct"/>
                  <w:vAlign w:val="center"/>
                </w:tcPr>
                <w:p w14:paraId="526996D5">
                  <w:pPr>
                    <w:jc w:val="center"/>
                    <w:rPr>
                      <w:szCs w:val="21"/>
                    </w:rPr>
                  </w:pPr>
                  <w:r>
                    <w:rPr>
                      <w:rFonts w:hint="eastAsia"/>
                      <w:szCs w:val="21"/>
                    </w:rPr>
                    <w:t>石冲水库</w:t>
                  </w:r>
                </w:p>
              </w:tc>
              <w:tc>
                <w:tcPr>
                  <w:tcW w:w="585" w:type="pct"/>
                  <w:vAlign w:val="center"/>
                </w:tcPr>
                <w:p w14:paraId="67C17DBC">
                  <w:pPr>
                    <w:ind w:firstLine="27" w:firstLineChars="13"/>
                    <w:jc w:val="center"/>
                    <w:rPr>
                      <w:szCs w:val="21"/>
                    </w:rPr>
                  </w:pPr>
                  <w:r>
                    <w:rPr>
                      <w:rFonts w:hint="eastAsia"/>
                      <w:szCs w:val="21"/>
                    </w:rPr>
                    <w:t>排洪、灌溉</w:t>
                  </w:r>
                </w:p>
              </w:tc>
              <w:tc>
                <w:tcPr>
                  <w:tcW w:w="586" w:type="pct"/>
                  <w:vAlign w:val="center"/>
                </w:tcPr>
                <w:p w14:paraId="2E456735">
                  <w:pPr>
                    <w:jc w:val="center"/>
                    <w:rPr>
                      <w:szCs w:val="21"/>
                    </w:rPr>
                  </w:pPr>
                  <w:r>
                    <w:rPr>
                      <w:szCs w:val="21"/>
                    </w:rPr>
                    <w:t>东</w:t>
                  </w:r>
                </w:p>
              </w:tc>
              <w:tc>
                <w:tcPr>
                  <w:tcW w:w="833" w:type="pct"/>
                  <w:vAlign w:val="center"/>
                </w:tcPr>
                <w:p w14:paraId="7CF644A5">
                  <w:pPr>
                    <w:jc w:val="center"/>
                    <w:rPr>
                      <w:szCs w:val="21"/>
                    </w:rPr>
                  </w:pPr>
                  <w:r>
                    <w:rPr>
                      <w:rFonts w:hint="eastAsia"/>
                      <w:szCs w:val="21"/>
                    </w:rPr>
                    <w:t>0.76km</w:t>
                  </w:r>
                </w:p>
              </w:tc>
              <w:tc>
                <w:tcPr>
                  <w:tcW w:w="981" w:type="pct"/>
                  <w:vAlign w:val="center"/>
                </w:tcPr>
                <w:p w14:paraId="6E029BD3">
                  <w:pPr>
                    <w:spacing w:line="0" w:lineRule="atLeast"/>
                    <w:jc w:val="center"/>
                    <w:rPr>
                      <w:bCs/>
                      <w:szCs w:val="21"/>
                    </w:rPr>
                  </w:pPr>
                  <w:r>
                    <w:rPr>
                      <w:rFonts w:hint="eastAsia"/>
                      <w:bCs/>
                      <w:szCs w:val="21"/>
                    </w:rPr>
                    <w:t>（GB3838-2002）中Ⅲ类标准</w:t>
                  </w:r>
                </w:p>
              </w:tc>
              <w:tc>
                <w:tcPr>
                  <w:tcW w:w="780" w:type="pct"/>
                  <w:vAlign w:val="center"/>
                </w:tcPr>
                <w:p w14:paraId="67D9D3BB">
                  <w:pPr>
                    <w:spacing w:line="0" w:lineRule="atLeast"/>
                    <w:jc w:val="center"/>
                    <w:rPr>
                      <w:bCs/>
                      <w:szCs w:val="21"/>
                    </w:rPr>
                  </w:pPr>
                  <w:r>
                    <w:rPr>
                      <w:rFonts w:hint="eastAsia"/>
                      <w:bCs/>
                      <w:szCs w:val="21"/>
                    </w:rPr>
                    <w:t>否</w:t>
                  </w:r>
                </w:p>
              </w:tc>
            </w:tr>
            <w:tr w14:paraId="4C9855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58" w:type="pct"/>
                  <w:vMerge w:val="continue"/>
                  <w:vAlign w:val="center"/>
                </w:tcPr>
                <w:p w14:paraId="304ABABE">
                  <w:pPr>
                    <w:spacing w:line="0" w:lineRule="atLeast"/>
                    <w:ind w:left="-78" w:leftChars="-37" w:right="-86" w:rightChars="-41"/>
                    <w:jc w:val="center"/>
                    <w:rPr>
                      <w:szCs w:val="21"/>
                    </w:rPr>
                  </w:pPr>
                </w:p>
              </w:tc>
              <w:tc>
                <w:tcPr>
                  <w:tcW w:w="777" w:type="pct"/>
                  <w:vAlign w:val="center"/>
                </w:tcPr>
                <w:p w14:paraId="6A372823">
                  <w:pPr>
                    <w:jc w:val="center"/>
                    <w:rPr>
                      <w:szCs w:val="21"/>
                    </w:rPr>
                  </w:pPr>
                  <w:r>
                    <w:rPr>
                      <w:rFonts w:hint="eastAsia"/>
                      <w:szCs w:val="21"/>
                    </w:rPr>
                    <w:t>蒸水（英陂拦河坝至湘江入河口段）</w:t>
                  </w:r>
                </w:p>
              </w:tc>
              <w:tc>
                <w:tcPr>
                  <w:tcW w:w="585" w:type="pct"/>
                  <w:vAlign w:val="center"/>
                </w:tcPr>
                <w:p w14:paraId="11D55E0E">
                  <w:pPr>
                    <w:ind w:firstLine="27" w:firstLineChars="13"/>
                    <w:jc w:val="center"/>
                    <w:rPr>
                      <w:szCs w:val="21"/>
                    </w:rPr>
                  </w:pPr>
                  <w:r>
                    <w:rPr>
                      <w:szCs w:val="21"/>
                    </w:rPr>
                    <w:t>工业用水</w:t>
                  </w:r>
                </w:p>
              </w:tc>
              <w:tc>
                <w:tcPr>
                  <w:tcW w:w="586" w:type="pct"/>
                  <w:vAlign w:val="center"/>
                </w:tcPr>
                <w:p w14:paraId="09A1E0D3">
                  <w:pPr>
                    <w:jc w:val="center"/>
                    <w:rPr>
                      <w:szCs w:val="21"/>
                    </w:rPr>
                  </w:pPr>
                  <w:r>
                    <w:rPr>
                      <w:szCs w:val="21"/>
                    </w:rPr>
                    <w:t>东南</w:t>
                  </w:r>
                </w:p>
              </w:tc>
              <w:tc>
                <w:tcPr>
                  <w:tcW w:w="833" w:type="pct"/>
                  <w:vAlign w:val="center"/>
                </w:tcPr>
                <w:p w14:paraId="66004FEE">
                  <w:pPr>
                    <w:jc w:val="center"/>
                    <w:rPr>
                      <w:szCs w:val="21"/>
                    </w:rPr>
                  </w:pPr>
                  <w:r>
                    <w:rPr>
                      <w:rFonts w:hint="eastAsia"/>
                      <w:szCs w:val="21"/>
                    </w:rPr>
                    <w:t>4.56km</w:t>
                  </w:r>
                </w:p>
              </w:tc>
              <w:tc>
                <w:tcPr>
                  <w:tcW w:w="981" w:type="pct"/>
                  <w:vAlign w:val="center"/>
                </w:tcPr>
                <w:p w14:paraId="3C235D6A">
                  <w:pPr>
                    <w:spacing w:line="0" w:lineRule="atLeast"/>
                    <w:jc w:val="center"/>
                    <w:rPr>
                      <w:bCs/>
                      <w:szCs w:val="21"/>
                    </w:rPr>
                  </w:pPr>
                  <w:r>
                    <w:rPr>
                      <w:rFonts w:hint="eastAsia"/>
                      <w:bCs/>
                      <w:szCs w:val="21"/>
                    </w:rPr>
                    <w:t>（GB3838-2002）中Ⅳ类标准</w:t>
                  </w:r>
                </w:p>
              </w:tc>
              <w:tc>
                <w:tcPr>
                  <w:tcW w:w="780" w:type="pct"/>
                  <w:vAlign w:val="center"/>
                </w:tcPr>
                <w:p w14:paraId="24B1D515">
                  <w:pPr>
                    <w:spacing w:line="0" w:lineRule="atLeast"/>
                    <w:jc w:val="center"/>
                    <w:rPr>
                      <w:bCs/>
                      <w:szCs w:val="21"/>
                    </w:rPr>
                  </w:pPr>
                  <w:r>
                    <w:rPr>
                      <w:rFonts w:hint="eastAsia"/>
                      <w:bCs/>
                      <w:szCs w:val="21"/>
                    </w:rPr>
                    <w:t>纳污水体</w:t>
                  </w:r>
                </w:p>
              </w:tc>
            </w:tr>
          </w:tbl>
          <w:p w14:paraId="0742D5D6">
            <w:pPr>
              <w:adjustRightInd w:val="0"/>
              <w:snapToGrid w:val="0"/>
              <w:spacing w:line="360" w:lineRule="auto"/>
              <w:ind w:firstLine="482" w:firstLineChars="200"/>
              <w:rPr>
                <w:b/>
                <w:kern w:val="0"/>
                <w:sz w:val="24"/>
              </w:rPr>
            </w:pPr>
            <w:r>
              <w:rPr>
                <w:rFonts w:hint="eastAsia"/>
                <w:b/>
                <w:kern w:val="0"/>
                <w:sz w:val="24"/>
              </w:rPr>
              <w:t>三、声环境保护目标</w:t>
            </w:r>
          </w:p>
          <w:p w14:paraId="3E847B45">
            <w:pPr>
              <w:adjustRightInd w:val="0"/>
              <w:snapToGrid w:val="0"/>
              <w:spacing w:line="360" w:lineRule="auto"/>
              <w:ind w:firstLine="480" w:firstLineChars="200"/>
              <w:rPr>
                <w:sz w:val="24"/>
              </w:rPr>
            </w:pPr>
            <w:r>
              <w:rPr>
                <w:rFonts w:hint="eastAsia"/>
                <w:sz w:val="24"/>
              </w:rPr>
              <w:t>根据对项目所在地实地踏勘，项目厂界外5</w:t>
            </w:r>
            <w:r>
              <w:rPr>
                <w:sz w:val="24"/>
              </w:rPr>
              <w:t>0m</w:t>
            </w:r>
            <w:r>
              <w:rPr>
                <w:rFonts w:hint="eastAsia"/>
                <w:sz w:val="24"/>
              </w:rPr>
              <w:t>范围内无声环境保护目标</w:t>
            </w:r>
          </w:p>
          <w:p w14:paraId="4C0ECC66">
            <w:pPr>
              <w:adjustRightInd w:val="0"/>
              <w:snapToGrid w:val="0"/>
              <w:spacing w:line="360" w:lineRule="auto"/>
              <w:ind w:firstLine="482" w:firstLineChars="200"/>
              <w:rPr>
                <w:b/>
                <w:kern w:val="0"/>
                <w:sz w:val="24"/>
              </w:rPr>
            </w:pPr>
            <w:r>
              <w:rPr>
                <w:rFonts w:hint="eastAsia"/>
                <w:b/>
                <w:kern w:val="0"/>
                <w:sz w:val="24"/>
              </w:rPr>
              <w:t>四、其它环境保护目标</w:t>
            </w:r>
          </w:p>
          <w:p w14:paraId="471039FB">
            <w:pPr>
              <w:adjustRightInd w:val="0"/>
              <w:snapToGrid w:val="0"/>
              <w:spacing w:line="360" w:lineRule="auto"/>
              <w:ind w:firstLine="480" w:firstLineChars="200"/>
              <w:rPr>
                <w:kern w:val="0"/>
                <w:sz w:val="24"/>
              </w:rPr>
            </w:pPr>
            <w:r>
              <w:rPr>
                <w:rFonts w:hint="eastAsia"/>
                <w:kern w:val="0"/>
                <w:sz w:val="24"/>
              </w:rPr>
              <w:t>项目厂界外500m范围内无地下水集中式使用水水源和热水、矿泉水、温泉等特殊地下水资源，无生态环境保护目标。</w:t>
            </w:r>
          </w:p>
        </w:tc>
      </w:tr>
      <w:tr w14:paraId="74C358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2" w:type="pct"/>
            <w:tcMar>
              <w:left w:w="28" w:type="dxa"/>
              <w:right w:w="28" w:type="dxa"/>
            </w:tcMar>
            <w:vAlign w:val="center"/>
          </w:tcPr>
          <w:p w14:paraId="5C43DD64">
            <w:pPr>
              <w:adjustRightInd w:val="0"/>
              <w:snapToGrid w:val="0"/>
              <w:jc w:val="center"/>
              <w:rPr>
                <w:rFonts w:ascii="宋体" w:hAnsi="宋体" w:cs="宋体"/>
                <w:b/>
                <w:kern w:val="0"/>
                <w:sz w:val="24"/>
              </w:rPr>
            </w:pPr>
            <w:r>
              <w:rPr>
                <w:rFonts w:hint="eastAsia" w:ascii="宋体" w:hAnsi="宋体" w:cs="宋体"/>
                <w:b/>
                <w:kern w:val="0"/>
                <w:sz w:val="24"/>
              </w:rPr>
              <w:t>污染</w:t>
            </w:r>
          </w:p>
          <w:p w14:paraId="1F6C1B0B">
            <w:pPr>
              <w:adjustRightInd w:val="0"/>
              <w:snapToGrid w:val="0"/>
              <w:jc w:val="center"/>
              <w:rPr>
                <w:rFonts w:ascii="宋体" w:hAnsi="宋体" w:cs="宋体"/>
                <w:b/>
                <w:kern w:val="0"/>
                <w:sz w:val="24"/>
              </w:rPr>
            </w:pPr>
            <w:r>
              <w:rPr>
                <w:rFonts w:hint="eastAsia" w:ascii="宋体" w:hAnsi="宋体" w:cs="宋体"/>
                <w:b/>
                <w:kern w:val="0"/>
                <w:sz w:val="24"/>
              </w:rPr>
              <w:t>物排</w:t>
            </w:r>
          </w:p>
          <w:p w14:paraId="17B198D2">
            <w:pPr>
              <w:adjustRightInd w:val="0"/>
              <w:snapToGrid w:val="0"/>
              <w:jc w:val="center"/>
              <w:rPr>
                <w:rFonts w:ascii="宋体" w:hAnsi="宋体" w:cs="宋体"/>
                <w:b/>
                <w:kern w:val="0"/>
                <w:sz w:val="24"/>
              </w:rPr>
            </w:pPr>
            <w:r>
              <w:rPr>
                <w:rFonts w:hint="eastAsia" w:ascii="宋体" w:hAnsi="宋体" w:cs="宋体"/>
                <w:b/>
                <w:kern w:val="0"/>
                <w:sz w:val="24"/>
              </w:rPr>
              <w:t>放控</w:t>
            </w:r>
          </w:p>
          <w:p w14:paraId="76723820">
            <w:pPr>
              <w:adjustRightInd w:val="0"/>
              <w:snapToGrid w:val="0"/>
              <w:jc w:val="center"/>
              <w:rPr>
                <w:rFonts w:ascii="宋体" w:hAnsi="宋体" w:cs="宋体"/>
                <w:b/>
                <w:kern w:val="0"/>
                <w:sz w:val="24"/>
              </w:rPr>
            </w:pPr>
            <w:r>
              <w:rPr>
                <w:rFonts w:hint="eastAsia" w:ascii="宋体" w:hAnsi="宋体" w:cs="宋体"/>
                <w:b/>
                <w:kern w:val="0"/>
                <w:sz w:val="24"/>
              </w:rPr>
              <w:t>制标</w:t>
            </w:r>
          </w:p>
          <w:p w14:paraId="27232993">
            <w:pPr>
              <w:adjustRightInd w:val="0"/>
              <w:snapToGrid w:val="0"/>
              <w:jc w:val="center"/>
              <w:rPr>
                <w:rFonts w:ascii="宋体" w:hAnsi="宋体" w:cs="宋体"/>
                <w:b/>
                <w:kern w:val="0"/>
                <w:sz w:val="24"/>
              </w:rPr>
            </w:pPr>
            <w:r>
              <w:rPr>
                <w:rFonts w:hint="eastAsia" w:ascii="宋体" w:hAnsi="宋体" w:cs="宋体"/>
                <w:b/>
                <w:kern w:val="0"/>
                <w:sz w:val="24"/>
              </w:rPr>
              <w:t>准</w:t>
            </w:r>
          </w:p>
        </w:tc>
        <w:tc>
          <w:tcPr>
            <w:tcW w:w="4718" w:type="pct"/>
            <w:vAlign w:val="center"/>
          </w:tcPr>
          <w:p w14:paraId="07980283">
            <w:pPr>
              <w:adjustRightInd w:val="0"/>
              <w:snapToGrid w:val="0"/>
              <w:spacing w:line="360" w:lineRule="auto"/>
              <w:ind w:firstLine="482" w:firstLineChars="200"/>
              <w:rPr>
                <w:rFonts w:ascii="宋体" w:hAnsi="宋体" w:cs="宋体"/>
                <w:b/>
                <w:kern w:val="0"/>
                <w:sz w:val="24"/>
              </w:rPr>
            </w:pPr>
            <w:r>
              <w:rPr>
                <w:rFonts w:ascii="宋体" w:hAnsi="宋体" w:cs="宋体"/>
                <w:b/>
                <w:kern w:val="0"/>
                <w:sz w:val="24"/>
              </w:rPr>
              <w:t>一、废气</w:t>
            </w:r>
          </w:p>
          <w:p w14:paraId="4419E23C">
            <w:pPr>
              <w:pStyle w:val="33"/>
              <w:adjustRightInd w:val="0"/>
              <w:snapToGrid w:val="0"/>
              <w:spacing w:line="360" w:lineRule="auto"/>
              <w:ind w:firstLine="480" w:firstLineChars="200"/>
              <w:rPr>
                <w:rFonts w:ascii="Times New Roman" w:hAnsi="Times New Roman"/>
                <w:sz w:val="24"/>
              </w:rPr>
            </w:pPr>
            <w:r>
              <w:rPr>
                <w:rFonts w:hint="eastAsia" w:ascii="Times New Roman" w:hAnsi="Times New Roman"/>
                <w:sz w:val="24"/>
              </w:rPr>
              <w:t>项目运营期废气执行</w:t>
            </w:r>
            <w:bookmarkStart w:id="32" w:name="OLE_LINK3"/>
            <w:r>
              <w:rPr>
                <w:rFonts w:hint="eastAsia" w:ascii="Times New Roman" w:hAnsi="Times New Roman"/>
                <w:sz w:val="24"/>
              </w:rPr>
              <w:t>《大气污染物综合排放标准》（GB16297-1996）</w:t>
            </w:r>
            <w:bookmarkEnd w:id="32"/>
            <w:r>
              <w:rPr>
                <w:rFonts w:hint="eastAsia" w:ascii="Times New Roman" w:hAnsi="Times New Roman"/>
                <w:sz w:val="24"/>
              </w:rPr>
              <w:t>表2新污染源大气污染物排放限值。</w:t>
            </w:r>
            <w:r>
              <w:rPr>
                <w:rFonts w:ascii="Times New Roman" w:hAnsi="Times New Roman"/>
                <w:sz w:val="24"/>
              </w:rPr>
              <w:t>具体限值见表</w:t>
            </w:r>
            <w:r>
              <w:rPr>
                <w:rFonts w:hint="eastAsia" w:ascii="Times New Roman" w:hAnsi="Times New Roman"/>
                <w:sz w:val="24"/>
              </w:rPr>
              <w:t>3-5。</w:t>
            </w:r>
          </w:p>
          <w:p w14:paraId="3EA831BC">
            <w:pPr>
              <w:pStyle w:val="17"/>
              <w:spacing w:before="120" w:beforeLines="50"/>
              <w:rPr>
                <w:rFonts w:ascii="Times New Roman" w:hAnsi="Times New Roman"/>
                <w:color w:val="auto"/>
                <w:sz w:val="21"/>
              </w:rPr>
            </w:pPr>
            <w:r>
              <w:rPr>
                <w:rFonts w:ascii="Times New Roman" w:hAnsi="Times New Roman"/>
                <w:color w:val="auto"/>
                <w:sz w:val="21"/>
              </w:rPr>
              <w:t>表</w:t>
            </w:r>
            <w:r>
              <w:rPr>
                <w:rFonts w:hint="eastAsia" w:ascii="Times New Roman" w:hAnsi="Times New Roman"/>
                <w:color w:val="auto"/>
                <w:sz w:val="21"/>
              </w:rPr>
              <w:t>3-8</w:t>
            </w:r>
            <w:r>
              <w:rPr>
                <w:rFonts w:ascii="Times New Roman" w:hAnsi="Times New Roman"/>
                <w:color w:val="auto"/>
                <w:sz w:val="21"/>
              </w:rPr>
              <w:t xml:space="preserve"> </w:t>
            </w:r>
            <w:r>
              <w:rPr>
                <w:rFonts w:hint="eastAsia" w:ascii="Times New Roman" w:hAnsi="Times New Roman"/>
                <w:color w:val="auto"/>
                <w:sz w:val="21"/>
              </w:rPr>
              <w:t xml:space="preserve"> 生产废气排放标准要求</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88"/>
              <w:gridCol w:w="1096"/>
              <w:gridCol w:w="1355"/>
              <w:gridCol w:w="997"/>
              <w:gridCol w:w="1051"/>
              <w:gridCol w:w="1090"/>
              <w:gridCol w:w="2307"/>
            </w:tblGrid>
            <w:tr w14:paraId="793219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93" w:type="pct"/>
                  <w:vMerge w:val="restart"/>
                  <w:shd w:val="clear" w:color="auto" w:fill="FFFFFF" w:themeFill="background1"/>
                  <w:vAlign w:val="center"/>
                </w:tcPr>
                <w:p w14:paraId="073299D0">
                  <w:pPr>
                    <w:adjustRightInd w:val="0"/>
                    <w:snapToGrid w:val="0"/>
                    <w:jc w:val="center"/>
                    <w:rPr>
                      <w:b/>
                      <w:szCs w:val="21"/>
                    </w:rPr>
                  </w:pPr>
                  <w:r>
                    <w:rPr>
                      <w:b/>
                      <w:szCs w:val="21"/>
                    </w:rPr>
                    <w:t>污染物</w:t>
                  </w:r>
                </w:p>
              </w:tc>
              <w:tc>
                <w:tcPr>
                  <w:tcW w:w="584" w:type="pct"/>
                  <w:vMerge w:val="restart"/>
                  <w:shd w:val="clear" w:color="auto" w:fill="FFFFFF" w:themeFill="background1"/>
                  <w:vAlign w:val="center"/>
                </w:tcPr>
                <w:p w14:paraId="5DAE345F">
                  <w:pPr>
                    <w:adjustRightInd w:val="0"/>
                    <w:snapToGrid w:val="0"/>
                    <w:jc w:val="center"/>
                    <w:rPr>
                      <w:b/>
                      <w:szCs w:val="21"/>
                    </w:rPr>
                  </w:pPr>
                  <w:r>
                    <w:rPr>
                      <w:b/>
                      <w:szCs w:val="21"/>
                    </w:rPr>
                    <w:t>最高允许排放浓度mg/m</w:t>
                  </w:r>
                  <w:r>
                    <w:rPr>
                      <w:b/>
                      <w:szCs w:val="21"/>
                      <w:vertAlign w:val="superscript"/>
                    </w:rPr>
                    <w:t>3</w:t>
                  </w:r>
                </w:p>
              </w:tc>
              <w:tc>
                <w:tcPr>
                  <w:tcW w:w="1253" w:type="pct"/>
                  <w:gridSpan w:val="2"/>
                  <w:shd w:val="clear" w:color="auto" w:fill="FFFFFF" w:themeFill="background1"/>
                  <w:vAlign w:val="center"/>
                </w:tcPr>
                <w:p w14:paraId="6DB76276">
                  <w:pPr>
                    <w:adjustRightInd w:val="0"/>
                    <w:snapToGrid w:val="0"/>
                    <w:jc w:val="center"/>
                    <w:rPr>
                      <w:b/>
                      <w:szCs w:val="21"/>
                    </w:rPr>
                  </w:pPr>
                  <w:r>
                    <w:rPr>
                      <w:b/>
                      <w:szCs w:val="21"/>
                    </w:rPr>
                    <w:t>最高允许排放速率，kg/h</w:t>
                  </w:r>
                </w:p>
              </w:tc>
              <w:tc>
                <w:tcPr>
                  <w:tcW w:w="1141" w:type="pct"/>
                  <w:gridSpan w:val="2"/>
                  <w:shd w:val="clear" w:color="auto" w:fill="FFFFFF" w:themeFill="background1"/>
                  <w:vAlign w:val="center"/>
                </w:tcPr>
                <w:p w14:paraId="79D0DEC7">
                  <w:pPr>
                    <w:adjustRightInd w:val="0"/>
                    <w:snapToGrid w:val="0"/>
                    <w:jc w:val="center"/>
                    <w:rPr>
                      <w:b/>
                      <w:szCs w:val="21"/>
                    </w:rPr>
                  </w:pPr>
                  <w:r>
                    <w:rPr>
                      <w:b/>
                      <w:szCs w:val="21"/>
                    </w:rPr>
                    <w:t>无组织排放监控浓度限值</w:t>
                  </w:r>
                </w:p>
              </w:tc>
              <w:tc>
                <w:tcPr>
                  <w:tcW w:w="1229" w:type="pct"/>
                  <w:vMerge w:val="restart"/>
                  <w:shd w:val="clear" w:color="auto" w:fill="FFFFFF" w:themeFill="background1"/>
                  <w:vAlign w:val="center"/>
                </w:tcPr>
                <w:p w14:paraId="724ADA34">
                  <w:pPr>
                    <w:adjustRightInd w:val="0"/>
                    <w:snapToGrid w:val="0"/>
                    <w:jc w:val="center"/>
                    <w:rPr>
                      <w:b/>
                      <w:szCs w:val="21"/>
                    </w:rPr>
                  </w:pPr>
                  <w:r>
                    <w:rPr>
                      <w:rFonts w:hint="eastAsia"/>
                      <w:b/>
                      <w:szCs w:val="21"/>
                    </w:rPr>
                    <w:t>标准来源</w:t>
                  </w:r>
                </w:p>
              </w:tc>
            </w:tr>
            <w:tr w14:paraId="4DF506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93" w:type="pct"/>
                  <w:vMerge w:val="continue"/>
                  <w:shd w:val="clear" w:color="auto" w:fill="D9D9D9"/>
                  <w:vAlign w:val="center"/>
                </w:tcPr>
                <w:p w14:paraId="47B40521">
                  <w:pPr>
                    <w:adjustRightInd w:val="0"/>
                    <w:snapToGrid w:val="0"/>
                    <w:jc w:val="center"/>
                    <w:rPr>
                      <w:szCs w:val="21"/>
                    </w:rPr>
                  </w:pPr>
                </w:p>
              </w:tc>
              <w:tc>
                <w:tcPr>
                  <w:tcW w:w="584" w:type="pct"/>
                  <w:vMerge w:val="continue"/>
                  <w:shd w:val="clear" w:color="auto" w:fill="D9D9D9"/>
                  <w:vAlign w:val="center"/>
                </w:tcPr>
                <w:p w14:paraId="14FF920F">
                  <w:pPr>
                    <w:adjustRightInd w:val="0"/>
                    <w:snapToGrid w:val="0"/>
                    <w:jc w:val="center"/>
                    <w:rPr>
                      <w:szCs w:val="21"/>
                    </w:rPr>
                  </w:pPr>
                </w:p>
              </w:tc>
              <w:tc>
                <w:tcPr>
                  <w:tcW w:w="722" w:type="pct"/>
                  <w:shd w:val="clear" w:color="auto" w:fill="FFFFFF" w:themeFill="background1"/>
                  <w:vAlign w:val="center"/>
                </w:tcPr>
                <w:p w14:paraId="106D93E5">
                  <w:pPr>
                    <w:adjustRightInd w:val="0"/>
                    <w:snapToGrid w:val="0"/>
                    <w:jc w:val="center"/>
                    <w:rPr>
                      <w:b/>
                      <w:szCs w:val="21"/>
                    </w:rPr>
                  </w:pPr>
                  <w:r>
                    <w:rPr>
                      <w:b/>
                      <w:szCs w:val="21"/>
                    </w:rPr>
                    <w:t>排气筒</w:t>
                  </w:r>
                </w:p>
                <w:p w14:paraId="36926963">
                  <w:pPr>
                    <w:adjustRightInd w:val="0"/>
                    <w:snapToGrid w:val="0"/>
                    <w:jc w:val="center"/>
                    <w:rPr>
                      <w:b/>
                      <w:szCs w:val="21"/>
                    </w:rPr>
                  </w:pPr>
                  <w:r>
                    <w:rPr>
                      <w:b/>
                      <w:szCs w:val="21"/>
                    </w:rPr>
                    <w:t>高度（m）</w:t>
                  </w:r>
                </w:p>
              </w:tc>
              <w:tc>
                <w:tcPr>
                  <w:tcW w:w="531" w:type="pct"/>
                  <w:shd w:val="clear" w:color="auto" w:fill="FFFFFF" w:themeFill="background1"/>
                  <w:vAlign w:val="center"/>
                </w:tcPr>
                <w:p w14:paraId="6BDDF58B">
                  <w:pPr>
                    <w:adjustRightInd w:val="0"/>
                    <w:snapToGrid w:val="0"/>
                    <w:jc w:val="center"/>
                    <w:rPr>
                      <w:b/>
                      <w:szCs w:val="21"/>
                    </w:rPr>
                  </w:pPr>
                  <w:r>
                    <w:rPr>
                      <w:b/>
                      <w:szCs w:val="21"/>
                    </w:rPr>
                    <w:t>二级</w:t>
                  </w:r>
                </w:p>
              </w:tc>
              <w:tc>
                <w:tcPr>
                  <w:tcW w:w="560" w:type="pct"/>
                  <w:shd w:val="clear" w:color="auto" w:fill="FFFFFF" w:themeFill="background1"/>
                  <w:vAlign w:val="center"/>
                </w:tcPr>
                <w:p w14:paraId="0E54B082">
                  <w:pPr>
                    <w:adjustRightInd w:val="0"/>
                    <w:snapToGrid w:val="0"/>
                    <w:jc w:val="center"/>
                    <w:rPr>
                      <w:b/>
                      <w:szCs w:val="21"/>
                    </w:rPr>
                  </w:pPr>
                  <w:r>
                    <w:rPr>
                      <w:b/>
                      <w:szCs w:val="21"/>
                    </w:rPr>
                    <w:t>监控点</w:t>
                  </w:r>
                </w:p>
              </w:tc>
              <w:tc>
                <w:tcPr>
                  <w:tcW w:w="581" w:type="pct"/>
                  <w:shd w:val="clear" w:color="auto" w:fill="FFFFFF" w:themeFill="background1"/>
                  <w:vAlign w:val="center"/>
                </w:tcPr>
                <w:p w14:paraId="4178FA06">
                  <w:pPr>
                    <w:adjustRightInd w:val="0"/>
                    <w:snapToGrid w:val="0"/>
                    <w:jc w:val="center"/>
                    <w:rPr>
                      <w:b/>
                      <w:szCs w:val="21"/>
                    </w:rPr>
                  </w:pPr>
                  <w:r>
                    <w:rPr>
                      <w:b/>
                      <w:szCs w:val="21"/>
                    </w:rPr>
                    <w:t>浓度mg/m</w:t>
                  </w:r>
                  <w:r>
                    <w:rPr>
                      <w:b/>
                      <w:szCs w:val="21"/>
                      <w:vertAlign w:val="superscript"/>
                    </w:rPr>
                    <w:t>3</w:t>
                  </w:r>
                </w:p>
              </w:tc>
              <w:tc>
                <w:tcPr>
                  <w:tcW w:w="1229" w:type="pct"/>
                  <w:vMerge w:val="continue"/>
                  <w:shd w:val="clear" w:color="auto" w:fill="FFFFFF" w:themeFill="background1"/>
                  <w:vAlign w:val="center"/>
                </w:tcPr>
                <w:p w14:paraId="1C1E1798">
                  <w:pPr>
                    <w:adjustRightInd w:val="0"/>
                    <w:snapToGrid w:val="0"/>
                    <w:jc w:val="center"/>
                    <w:rPr>
                      <w:szCs w:val="21"/>
                    </w:rPr>
                  </w:pPr>
                </w:p>
              </w:tc>
            </w:tr>
            <w:tr w14:paraId="4F1C7D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93" w:type="pct"/>
                  <w:vAlign w:val="center"/>
                </w:tcPr>
                <w:p w14:paraId="0C035DDF">
                  <w:pPr>
                    <w:adjustRightInd w:val="0"/>
                    <w:snapToGrid w:val="0"/>
                    <w:jc w:val="center"/>
                    <w:rPr>
                      <w:szCs w:val="21"/>
                    </w:rPr>
                  </w:pPr>
                  <w:r>
                    <w:rPr>
                      <w:szCs w:val="21"/>
                    </w:rPr>
                    <w:t>颗粒物</w:t>
                  </w:r>
                </w:p>
              </w:tc>
              <w:tc>
                <w:tcPr>
                  <w:tcW w:w="584" w:type="pct"/>
                  <w:vAlign w:val="center"/>
                </w:tcPr>
                <w:p w14:paraId="02EE6CFB">
                  <w:pPr>
                    <w:adjustRightInd w:val="0"/>
                    <w:snapToGrid w:val="0"/>
                    <w:jc w:val="center"/>
                    <w:rPr>
                      <w:szCs w:val="21"/>
                    </w:rPr>
                  </w:pPr>
                  <w:r>
                    <w:rPr>
                      <w:rFonts w:hint="eastAsia"/>
                      <w:szCs w:val="21"/>
                    </w:rPr>
                    <w:t>120</w:t>
                  </w:r>
                </w:p>
              </w:tc>
              <w:tc>
                <w:tcPr>
                  <w:tcW w:w="722" w:type="pct"/>
                  <w:vAlign w:val="center"/>
                </w:tcPr>
                <w:p w14:paraId="46E3B817">
                  <w:pPr>
                    <w:adjustRightInd w:val="0"/>
                    <w:snapToGrid w:val="0"/>
                    <w:jc w:val="center"/>
                    <w:rPr>
                      <w:szCs w:val="21"/>
                    </w:rPr>
                  </w:pPr>
                  <w:r>
                    <w:rPr>
                      <w:rFonts w:hint="eastAsia"/>
                      <w:szCs w:val="21"/>
                    </w:rPr>
                    <w:t>15</w:t>
                  </w:r>
                </w:p>
              </w:tc>
              <w:tc>
                <w:tcPr>
                  <w:tcW w:w="531" w:type="pct"/>
                  <w:vAlign w:val="center"/>
                </w:tcPr>
                <w:p w14:paraId="099E81C5">
                  <w:pPr>
                    <w:adjustRightInd w:val="0"/>
                    <w:snapToGrid w:val="0"/>
                    <w:jc w:val="center"/>
                    <w:rPr>
                      <w:spacing w:val="-6"/>
                      <w:szCs w:val="21"/>
                    </w:rPr>
                  </w:pPr>
                  <w:r>
                    <w:rPr>
                      <w:rFonts w:hint="eastAsia"/>
                      <w:spacing w:val="-6"/>
                      <w:szCs w:val="21"/>
                    </w:rPr>
                    <w:t>3.5</w:t>
                  </w:r>
                </w:p>
              </w:tc>
              <w:tc>
                <w:tcPr>
                  <w:tcW w:w="560" w:type="pct"/>
                  <w:vAlign w:val="center"/>
                </w:tcPr>
                <w:p w14:paraId="559BDA4B">
                  <w:pPr>
                    <w:adjustRightInd w:val="0"/>
                    <w:snapToGrid w:val="0"/>
                    <w:jc w:val="center"/>
                    <w:rPr>
                      <w:szCs w:val="21"/>
                    </w:rPr>
                  </w:pPr>
                  <w:r>
                    <w:rPr>
                      <w:szCs w:val="21"/>
                    </w:rPr>
                    <w:t>周界外浓度最高点</w:t>
                  </w:r>
                </w:p>
              </w:tc>
              <w:tc>
                <w:tcPr>
                  <w:tcW w:w="581" w:type="pct"/>
                  <w:vAlign w:val="center"/>
                </w:tcPr>
                <w:p w14:paraId="56EB99CE">
                  <w:pPr>
                    <w:adjustRightInd w:val="0"/>
                    <w:snapToGrid w:val="0"/>
                    <w:jc w:val="center"/>
                    <w:rPr>
                      <w:szCs w:val="21"/>
                    </w:rPr>
                  </w:pPr>
                  <w:r>
                    <w:rPr>
                      <w:rFonts w:hint="eastAsia"/>
                      <w:szCs w:val="21"/>
                    </w:rPr>
                    <w:t>1.0</w:t>
                  </w:r>
                </w:p>
              </w:tc>
              <w:tc>
                <w:tcPr>
                  <w:tcW w:w="1229" w:type="pct"/>
                  <w:vAlign w:val="center"/>
                </w:tcPr>
                <w:p w14:paraId="419FEB80">
                  <w:pPr>
                    <w:adjustRightInd w:val="0"/>
                    <w:snapToGrid w:val="0"/>
                    <w:jc w:val="center"/>
                    <w:rPr>
                      <w:szCs w:val="21"/>
                    </w:rPr>
                  </w:pPr>
                  <w:r>
                    <w:rPr>
                      <w:rFonts w:hint="eastAsia"/>
                      <w:szCs w:val="21"/>
                    </w:rPr>
                    <w:t>《大气污染物综合排放标准》（GB16297-1996）</w:t>
                  </w:r>
                </w:p>
              </w:tc>
            </w:tr>
          </w:tbl>
          <w:p w14:paraId="0523C79C">
            <w:pPr>
              <w:adjustRightInd w:val="0"/>
              <w:snapToGrid w:val="0"/>
              <w:spacing w:line="360" w:lineRule="auto"/>
              <w:ind w:firstLine="482" w:firstLineChars="200"/>
              <w:rPr>
                <w:rFonts w:ascii="宋体" w:hAnsi="宋体" w:cs="宋体"/>
                <w:b/>
                <w:kern w:val="0"/>
                <w:sz w:val="24"/>
              </w:rPr>
            </w:pPr>
            <w:r>
              <w:rPr>
                <w:rFonts w:ascii="宋体" w:hAnsi="宋体" w:cs="宋体"/>
                <w:b/>
                <w:kern w:val="0"/>
                <w:sz w:val="24"/>
              </w:rPr>
              <w:t>二、废水</w:t>
            </w:r>
          </w:p>
          <w:p w14:paraId="44B5FD2A">
            <w:pPr>
              <w:adjustRightInd w:val="0"/>
              <w:snapToGrid w:val="0"/>
              <w:spacing w:line="360" w:lineRule="auto"/>
              <w:ind w:firstLine="480" w:firstLineChars="200"/>
              <w:rPr>
                <w:bCs/>
                <w:sz w:val="24"/>
              </w:rPr>
            </w:pPr>
            <w:r>
              <w:rPr>
                <w:rFonts w:hint="eastAsia" w:ascii="宋体" w:hAnsi="宋体" w:cs="宋体"/>
                <w:kern w:val="0"/>
                <w:sz w:val="24"/>
              </w:rPr>
              <w:t>本项目无生产废水外排；</w:t>
            </w:r>
            <w:r>
              <w:rPr>
                <w:rFonts w:hAnsi="宋体"/>
                <w:kern w:val="0"/>
                <w:sz w:val="24"/>
              </w:rPr>
              <w:t>生活污水依托</w:t>
            </w:r>
            <w:r>
              <w:rPr>
                <w:rFonts w:hint="eastAsia"/>
                <w:kern w:val="0"/>
                <w:sz w:val="24"/>
                <w:szCs w:val="20"/>
              </w:rPr>
              <w:t>湖南衡利丰陶瓷有限公司现有</w:t>
            </w:r>
            <w:r>
              <w:rPr>
                <w:rFonts w:hAnsi="宋体"/>
                <w:kern w:val="0"/>
                <w:sz w:val="24"/>
              </w:rPr>
              <w:t>化粪池预处理后</w:t>
            </w:r>
            <w:bookmarkStart w:id="33" w:name="OLE_LINK25"/>
            <w:bookmarkStart w:id="34" w:name="OLE_LINK24"/>
            <w:r>
              <w:rPr>
                <w:rFonts w:hAnsi="宋体"/>
                <w:kern w:val="0"/>
                <w:sz w:val="24"/>
              </w:rPr>
              <w:t>外排至市政管网，纳入</w:t>
            </w:r>
            <w:r>
              <w:rPr>
                <w:rFonts w:hint="eastAsia"/>
                <w:sz w:val="24"/>
              </w:rPr>
              <w:t>衡阳西渡高新区污水处理厂深度处理</w:t>
            </w:r>
            <w:r>
              <w:rPr>
                <w:rFonts w:hint="eastAsia"/>
                <w:bCs/>
                <w:sz w:val="24"/>
              </w:rPr>
              <w:t>后排入蒸水</w:t>
            </w:r>
            <w:bookmarkEnd w:id="33"/>
            <w:bookmarkEnd w:id="34"/>
            <w:r>
              <w:rPr>
                <w:rFonts w:hint="eastAsia"/>
                <w:bCs/>
                <w:sz w:val="24"/>
              </w:rPr>
              <w:t>。衡阳西渡高新区污水处理厂尾水执行《城镇污水处理厂污染物排放标准》（</w:t>
            </w:r>
            <w:r>
              <w:rPr>
                <w:bCs/>
                <w:sz w:val="24"/>
              </w:rPr>
              <w:t>GB18918-2002</w:t>
            </w:r>
            <w:r>
              <w:rPr>
                <w:rFonts w:hint="eastAsia"/>
                <w:bCs/>
                <w:sz w:val="24"/>
              </w:rPr>
              <w:t>）一级</w:t>
            </w:r>
            <w:r>
              <w:rPr>
                <w:bCs/>
                <w:sz w:val="24"/>
              </w:rPr>
              <w:t>A标准</w:t>
            </w:r>
            <w:r>
              <w:rPr>
                <w:rFonts w:hint="eastAsia"/>
                <w:bCs/>
                <w:sz w:val="24"/>
              </w:rPr>
              <w:t>。</w:t>
            </w:r>
            <w:r>
              <w:rPr>
                <w:rFonts w:hint="eastAsia"/>
                <w:sz w:val="24"/>
              </w:rPr>
              <w:t>具体标准值见表3-6。</w:t>
            </w:r>
          </w:p>
          <w:p w14:paraId="387A5639">
            <w:pPr>
              <w:adjustRightInd w:val="0"/>
              <w:snapToGrid w:val="0"/>
              <w:spacing w:before="120" w:beforeLines="50"/>
              <w:jc w:val="center"/>
              <w:rPr>
                <w:b/>
                <w:szCs w:val="21"/>
              </w:rPr>
            </w:pPr>
            <w:r>
              <w:rPr>
                <w:b/>
                <w:szCs w:val="21"/>
              </w:rPr>
              <w:t>表</w:t>
            </w:r>
            <w:r>
              <w:rPr>
                <w:rFonts w:hint="eastAsia"/>
                <w:b/>
                <w:szCs w:val="21"/>
              </w:rPr>
              <w:t>3-6  废水排放</w:t>
            </w:r>
            <w:r>
              <w:rPr>
                <w:b/>
                <w:szCs w:val="21"/>
              </w:rPr>
              <w:t>标准</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29"/>
              <w:gridCol w:w="2609"/>
              <w:gridCol w:w="2628"/>
              <w:gridCol w:w="2618"/>
            </w:tblGrid>
            <w:tr w14:paraId="1C7015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vMerge w:val="restart"/>
                  <w:shd w:val="clear" w:color="auto" w:fill="auto"/>
                  <w:vAlign w:val="center"/>
                </w:tcPr>
                <w:p w14:paraId="3780F3E2">
                  <w:pPr>
                    <w:adjustRightInd w:val="0"/>
                    <w:snapToGrid w:val="0"/>
                    <w:jc w:val="center"/>
                    <w:rPr>
                      <w:b/>
                      <w:kern w:val="0"/>
                      <w:szCs w:val="21"/>
                    </w:rPr>
                  </w:pPr>
                  <w:r>
                    <w:rPr>
                      <w:b/>
                      <w:kern w:val="0"/>
                      <w:szCs w:val="21"/>
                    </w:rPr>
                    <w:t>序号</w:t>
                  </w:r>
                </w:p>
              </w:tc>
              <w:tc>
                <w:tcPr>
                  <w:tcW w:w="1390" w:type="pct"/>
                  <w:vMerge w:val="restart"/>
                  <w:shd w:val="clear" w:color="auto" w:fill="auto"/>
                  <w:vAlign w:val="center"/>
                </w:tcPr>
                <w:p w14:paraId="38DE7422">
                  <w:pPr>
                    <w:adjustRightInd w:val="0"/>
                    <w:snapToGrid w:val="0"/>
                    <w:jc w:val="center"/>
                    <w:rPr>
                      <w:b/>
                      <w:kern w:val="0"/>
                      <w:szCs w:val="21"/>
                    </w:rPr>
                  </w:pPr>
                  <w:r>
                    <w:rPr>
                      <w:b/>
                      <w:kern w:val="0"/>
                      <w:szCs w:val="21"/>
                    </w:rPr>
                    <w:t>控制项目</w:t>
                  </w:r>
                </w:p>
              </w:tc>
              <w:tc>
                <w:tcPr>
                  <w:tcW w:w="2795" w:type="pct"/>
                  <w:gridSpan w:val="2"/>
                  <w:shd w:val="clear" w:color="auto" w:fill="auto"/>
                  <w:vAlign w:val="center"/>
                </w:tcPr>
                <w:p w14:paraId="0251F1DA">
                  <w:pPr>
                    <w:adjustRightInd w:val="0"/>
                    <w:snapToGrid w:val="0"/>
                    <w:jc w:val="center"/>
                    <w:rPr>
                      <w:b/>
                      <w:kern w:val="0"/>
                      <w:szCs w:val="21"/>
                    </w:rPr>
                  </w:pPr>
                  <w:r>
                    <w:rPr>
                      <w:b/>
                      <w:bCs/>
                      <w:kern w:val="0"/>
                      <w:szCs w:val="21"/>
                    </w:rPr>
                    <w:t>《城镇污水处理厂污染物排放标准》（GB18918-2002）一级A标准</w:t>
                  </w:r>
                </w:p>
              </w:tc>
            </w:tr>
            <w:tr w14:paraId="02C6C6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vMerge w:val="continue"/>
                  <w:shd w:val="clear" w:color="auto" w:fill="auto"/>
                  <w:vAlign w:val="center"/>
                </w:tcPr>
                <w:p w14:paraId="267D2F0F">
                  <w:pPr>
                    <w:adjustRightInd w:val="0"/>
                    <w:snapToGrid w:val="0"/>
                    <w:jc w:val="center"/>
                    <w:rPr>
                      <w:b/>
                      <w:kern w:val="0"/>
                      <w:szCs w:val="21"/>
                    </w:rPr>
                  </w:pPr>
                </w:p>
              </w:tc>
              <w:tc>
                <w:tcPr>
                  <w:tcW w:w="1390" w:type="pct"/>
                  <w:vMerge w:val="continue"/>
                  <w:shd w:val="clear" w:color="auto" w:fill="auto"/>
                  <w:vAlign w:val="center"/>
                </w:tcPr>
                <w:p w14:paraId="4501E32D">
                  <w:pPr>
                    <w:adjustRightInd w:val="0"/>
                    <w:snapToGrid w:val="0"/>
                    <w:jc w:val="center"/>
                    <w:rPr>
                      <w:b/>
                      <w:kern w:val="0"/>
                      <w:szCs w:val="21"/>
                    </w:rPr>
                  </w:pPr>
                </w:p>
              </w:tc>
              <w:tc>
                <w:tcPr>
                  <w:tcW w:w="1400" w:type="pct"/>
                  <w:shd w:val="clear" w:color="auto" w:fill="auto"/>
                  <w:vAlign w:val="center"/>
                </w:tcPr>
                <w:p w14:paraId="3986C891">
                  <w:pPr>
                    <w:adjustRightInd w:val="0"/>
                    <w:snapToGrid w:val="0"/>
                    <w:jc w:val="center"/>
                    <w:rPr>
                      <w:b/>
                      <w:kern w:val="0"/>
                      <w:szCs w:val="21"/>
                    </w:rPr>
                  </w:pPr>
                  <w:r>
                    <w:rPr>
                      <w:b/>
                      <w:kern w:val="0"/>
                      <w:szCs w:val="21"/>
                    </w:rPr>
                    <w:t>标准值</w:t>
                  </w:r>
                </w:p>
              </w:tc>
              <w:tc>
                <w:tcPr>
                  <w:tcW w:w="1395" w:type="pct"/>
                  <w:shd w:val="clear" w:color="auto" w:fill="auto"/>
                  <w:vAlign w:val="center"/>
                </w:tcPr>
                <w:p w14:paraId="3DC341FE">
                  <w:pPr>
                    <w:adjustRightInd w:val="0"/>
                    <w:snapToGrid w:val="0"/>
                    <w:jc w:val="center"/>
                    <w:rPr>
                      <w:b/>
                      <w:kern w:val="0"/>
                      <w:szCs w:val="21"/>
                    </w:rPr>
                  </w:pPr>
                  <w:r>
                    <w:rPr>
                      <w:b/>
                      <w:kern w:val="0"/>
                      <w:szCs w:val="21"/>
                    </w:rPr>
                    <w:t>单位</w:t>
                  </w:r>
                </w:p>
              </w:tc>
            </w:tr>
            <w:tr w14:paraId="2A7AFC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1236916A">
                  <w:pPr>
                    <w:adjustRightInd w:val="0"/>
                    <w:snapToGrid w:val="0"/>
                    <w:jc w:val="center"/>
                    <w:rPr>
                      <w:kern w:val="0"/>
                      <w:szCs w:val="21"/>
                    </w:rPr>
                  </w:pPr>
                  <w:r>
                    <w:rPr>
                      <w:kern w:val="0"/>
                      <w:szCs w:val="21"/>
                    </w:rPr>
                    <w:t>1</w:t>
                  </w:r>
                </w:p>
              </w:tc>
              <w:tc>
                <w:tcPr>
                  <w:tcW w:w="1390" w:type="pct"/>
                  <w:shd w:val="clear" w:color="auto" w:fill="auto"/>
                  <w:vAlign w:val="center"/>
                </w:tcPr>
                <w:p w14:paraId="1A24BD81">
                  <w:pPr>
                    <w:adjustRightInd w:val="0"/>
                    <w:snapToGrid w:val="0"/>
                    <w:jc w:val="center"/>
                    <w:rPr>
                      <w:kern w:val="0"/>
                      <w:szCs w:val="21"/>
                    </w:rPr>
                  </w:pPr>
                  <w:r>
                    <w:rPr>
                      <w:kern w:val="0"/>
                      <w:szCs w:val="21"/>
                    </w:rPr>
                    <w:t>pH</w:t>
                  </w:r>
                </w:p>
              </w:tc>
              <w:tc>
                <w:tcPr>
                  <w:tcW w:w="1400" w:type="pct"/>
                  <w:shd w:val="clear" w:color="auto" w:fill="auto"/>
                  <w:vAlign w:val="center"/>
                </w:tcPr>
                <w:p w14:paraId="75CC8FBC">
                  <w:pPr>
                    <w:adjustRightInd w:val="0"/>
                    <w:snapToGrid w:val="0"/>
                    <w:jc w:val="center"/>
                    <w:rPr>
                      <w:kern w:val="0"/>
                      <w:szCs w:val="21"/>
                    </w:rPr>
                  </w:pPr>
                  <w:r>
                    <w:rPr>
                      <w:kern w:val="0"/>
                      <w:szCs w:val="21"/>
                    </w:rPr>
                    <w:t>6~9</w:t>
                  </w:r>
                </w:p>
              </w:tc>
              <w:tc>
                <w:tcPr>
                  <w:tcW w:w="1395" w:type="pct"/>
                  <w:shd w:val="clear" w:color="auto" w:fill="auto"/>
                  <w:vAlign w:val="center"/>
                </w:tcPr>
                <w:p w14:paraId="6428EDAC">
                  <w:pPr>
                    <w:adjustRightInd w:val="0"/>
                    <w:snapToGrid w:val="0"/>
                    <w:jc w:val="center"/>
                    <w:rPr>
                      <w:kern w:val="0"/>
                      <w:szCs w:val="21"/>
                    </w:rPr>
                  </w:pPr>
                  <w:r>
                    <w:rPr>
                      <w:kern w:val="0"/>
                      <w:szCs w:val="21"/>
                    </w:rPr>
                    <w:t>无量纲</w:t>
                  </w:r>
                </w:p>
              </w:tc>
            </w:tr>
            <w:tr w14:paraId="637DD7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3C1DB320">
                  <w:pPr>
                    <w:adjustRightInd w:val="0"/>
                    <w:snapToGrid w:val="0"/>
                    <w:jc w:val="center"/>
                    <w:rPr>
                      <w:kern w:val="0"/>
                      <w:szCs w:val="21"/>
                    </w:rPr>
                  </w:pPr>
                  <w:r>
                    <w:rPr>
                      <w:kern w:val="0"/>
                      <w:szCs w:val="21"/>
                    </w:rPr>
                    <w:t>2</w:t>
                  </w:r>
                </w:p>
              </w:tc>
              <w:tc>
                <w:tcPr>
                  <w:tcW w:w="1390" w:type="pct"/>
                  <w:shd w:val="clear" w:color="auto" w:fill="auto"/>
                  <w:vAlign w:val="center"/>
                </w:tcPr>
                <w:p w14:paraId="374E80E5">
                  <w:pPr>
                    <w:adjustRightInd w:val="0"/>
                    <w:snapToGrid w:val="0"/>
                    <w:jc w:val="center"/>
                    <w:rPr>
                      <w:kern w:val="0"/>
                      <w:szCs w:val="21"/>
                    </w:rPr>
                  </w:pPr>
                  <w:r>
                    <w:rPr>
                      <w:kern w:val="0"/>
                      <w:szCs w:val="21"/>
                    </w:rPr>
                    <w:t>COD</w:t>
                  </w:r>
                  <w:r>
                    <w:rPr>
                      <w:kern w:val="0"/>
                      <w:szCs w:val="21"/>
                      <w:vertAlign w:val="subscript"/>
                    </w:rPr>
                    <w:t>Cr</w:t>
                  </w:r>
                </w:p>
              </w:tc>
              <w:tc>
                <w:tcPr>
                  <w:tcW w:w="1400" w:type="pct"/>
                  <w:shd w:val="clear" w:color="auto" w:fill="auto"/>
                  <w:vAlign w:val="center"/>
                </w:tcPr>
                <w:p w14:paraId="200D4673">
                  <w:pPr>
                    <w:adjustRightInd w:val="0"/>
                    <w:snapToGrid w:val="0"/>
                    <w:jc w:val="center"/>
                    <w:rPr>
                      <w:kern w:val="0"/>
                      <w:szCs w:val="21"/>
                    </w:rPr>
                  </w:pPr>
                  <w:r>
                    <w:rPr>
                      <w:kern w:val="0"/>
                      <w:szCs w:val="21"/>
                    </w:rPr>
                    <w:t>50</w:t>
                  </w:r>
                </w:p>
              </w:tc>
              <w:tc>
                <w:tcPr>
                  <w:tcW w:w="1395" w:type="pct"/>
                  <w:shd w:val="clear" w:color="auto" w:fill="auto"/>
                  <w:vAlign w:val="center"/>
                </w:tcPr>
                <w:p w14:paraId="7AB9B39E">
                  <w:pPr>
                    <w:adjustRightInd w:val="0"/>
                    <w:snapToGrid w:val="0"/>
                    <w:jc w:val="center"/>
                    <w:rPr>
                      <w:kern w:val="0"/>
                      <w:szCs w:val="21"/>
                    </w:rPr>
                  </w:pPr>
                  <w:r>
                    <w:rPr>
                      <w:kern w:val="0"/>
                      <w:szCs w:val="21"/>
                    </w:rPr>
                    <w:t>mg/L</w:t>
                  </w:r>
                </w:p>
              </w:tc>
            </w:tr>
            <w:tr w14:paraId="590C28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630096CC">
                  <w:pPr>
                    <w:adjustRightInd w:val="0"/>
                    <w:snapToGrid w:val="0"/>
                    <w:jc w:val="center"/>
                    <w:rPr>
                      <w:kern w:val="0"/>
                      <w:szCs w:val="21"/>
                    </w:rPr>
                  </w:pPr>
                  <w:r>
                    <w:rPr>
                      <w:kern w:val="0"/>
                      <w:szCs w:val="21"/>
                    </w:rPr>
                    <w:t>3</w:t>
                  </w:r>
                </w:p>
              </w:tc>
              <w:tc>
                <w:tcPr>
                  <w:tcW w:w="1390" w:type="pct"/>
                  <w:shd w:val="clear" w:color="auto" w:fill="auto"/>
                  <w:vAlign w:val="center"/>
                </w:tcPr>
                <w:p w14:paraId="10C5B317">
                  <w:pPr>
                    <w:adjustRightInd w:val="0"/>
                    <w:snapToGrid w:val="0"/>
                    <w:jc w:val="center"/>
                    <w:rPr>
                      <w:kern w:val="0"/>
                      <w:szCs w:val="21"/>
                    </w:rPr>
                  </w:pPr>
                  <w:r>
                    <w:rPr>
                      <w:kern w:val="0"/>
                      <w:szCs w:val="21"/>
                    </w:rPr>
                    <w:t>SS</w:t>
                  </w:r>
                </w:p>
              </w:tc>
              <w:tc>
                <w:tcPr>
                  <w:tcW w:w="1400" w:type="pct"/>
                  <w:shd w:val="clear" w:color="auto" w:fill="auto"/>
                  <w:vAlign w:val="center"/>
                </w:tcPr>
                <w:p w14:paraId="6E0708D5">
                  <w:pPr>
                    <w:adjustRightInd w:val="0"/>
                    <w:snapToGrid w:val="0"/>
                    <w:jc w:val="center"/>
                    <w:rPr>
                      <w:kern w:val="0"/>
                      <w:szCs w:val="21"/>
                    </w:rPr>
                  </w:pPr>
                  <w:r>
                    <w:rPr>
                      <w:kern w:val="0"/>
                      <w:szCs w:val="21"/>
                    </w:rPr>
                    <w:t>10</w:t>
                  </w:r>
                </w:p>
              </w:tc>
              <w:tc>
                <w:tcPr>
                  <w:tcW w:w="1395" w:type="pct"/>
                  <w:shd w:val="clear" w:color="auto" w:fill="auto"/>
                  <w:vAlign w:val="center"/>
                </w:tcPr>
                <w:p w14:paraId="49F4C0AD">
                  <w:pPr>
                    <w:adjustRightInd w:val="0"/>
                    <w:snapToGrid w:val="0"/>
                    <w:jc w:val="center"/>
                    <w:rPr>
                      <w:kern w:val="0"/>
                      <w:szCs w:val="21"/>
                    </w:rPr>
                  </w:pPr>
                  <w:r>
                    <w:rPr>
                      <w:kern w:val="0"/>
                      <w:szCs w:val="21"/>
                    </w:rPr>
                    <w:t>mg/L</w:t>
                  </w:r>
                </w:p>
              </w:tc>
            </w:tr>
            <w:tr w14:paraId="0E34F3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2A9BE4B4">
                  <w:pPr>
                    <w:adjustRightInd w:val="0"/>
                    <w:snapToGrid w:val="0"/>
                    <w:jc w:val="center"/>
                    <w:rPr>
                      <w:kern w:val="0"/>
                      <w:szCs w:val="21"/>
                    </w:rPr>
                  </w:pPr>
                  <w:r>
                    <w:rPr>
                      <w:kern w:val="0"/>
                      <w:szCs w:val="21"/>
                    </w:rPr>
                    <w:t>4</w:t>
                  </w:r>
                </w:p>
              </w:tc>
              <w:tc>
                <w:tcPr>
                  <w:tcW w:w="1390" w:type="pct"/>
                  <w:shd w:val="clear" w:color="auto" w:fill="auto"/>
                  <w:vAlign w:val="center"/>
                </w:tcPr>
                <w:p w14:paraId="7D04B170">
                  <w:pPr>
                    <w:adjustRightInd w:val="0"/>
                    <w:snapToGrid w:val="0"/>
                    <w:jc w:val="center"/>
                    <w:rPr>
                      <w:kern w:val="0"/>
                      <w:szCs w:val="21"/>
                    </w:rPr>
                  </w:pPr>
                  <w:r>
                    <w:rPr>
                      <w:kern w:val="0"/>
                      <w:szCs w:val="21"/>
                    </w:rPr>
                    <w:t>BOD</w:t>
                  </w:r>
                  <w:r>
                    <w:rPr>
                      <w:kern w:val="0"/>
                      <w:szCs w:val="21"/>
                      <w:vertAlign w:val="subscript"/>
                    </w:rPr>
                    <w:t>5</w:t>
                  </w:r>
                </w:p>
              </w:tc>
              <w:tc>
                <w:tcPr>
                  <w:tcW w:w="1400" w:type="pct"/>
                  <w:shd w:val="clear" w:color="auto" w:fill="auto"/>
                  <w:vAlign w:val="center"/>
                </w:tcPr>
                <w:p w14:paraId="319049D9">
                  <w:pPr>
                    <w:adjustRightInd w:val="0"/>
                    <w:snapToGrid w:val="0"/>
                    <w:jc w:val="center"/>
                    <w:rPr>
                      <w:kern w:val="0"/>
                      <w:szCs w:val="21"/>
                    </w:rPr>
                  </w:pPr>
                  <w:r>
                    <w:rPr>
                      <w:kern w:val="0"/>
                      <w:szCs w:val="21"/>
                    </w:rPr>
                    <w:t>10</w:t>
                  </w:r>
                </w:p>
              </w:tc>
              <w:tc>
                <w:tcPr>
                  <w:tcW w:w="1395" w:type="pct"/>
                  <w:shd w:val="clear" w:color="auto" w:fill="auto"/>
                  <w:vAlign w:val="center"/>
                </w:tcPr>
                <w:p w14:paraId="7B682805">
                  <w:pPr>
                    <w:adjustRightInd w:val="0"/>
                    <w:snapToGrid w:val="0"/>
                    <w:jc w:val="center"/>
                    <w:rPr>
                      <w:kern w:val="0"/>
                      <w:szCs w:val="21"/>
                    </w:rPr>
                  </w:pPr>
                  <w:r>
                    <w:rPr>
                      <w:kern w:val="0"/>
                      <w:szCs w:val="21"/>
                    </w:rPr>
                    <w:t>mg/L</w:t>
                  </w:r>
                </w:p>
              </w:tc>
            </w:tr>
            <w:tr w14:paraId="760770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6B83634E">
                  <w:pPr>
                    <w:adjustRightInd w:val="0"/>
                    <w:snapToGrid w:val="0"/>
                    <w:jc w:val="center"/>
                    <w:rPr>
                      <w:kern w:val="0"/>
                      <w:szCs w:val="21"/>
                    </w:rPr>
                  </w:pPr>
                  <w:r>
                    <w:rPr>
                      <w:kern w:val="0"/>
                      <w:szCs w:val="21"/>
                    </w:rPr>
                    <w:t>5</w:t>
                  </w:r>
                </w:p>
              </w:tc>
              <w:tc>
                <w:tcPr>
                  <w:tcW w:w="1390" w:type="pct"/>
                  <w:shd w:val="clear" w:color="auto" w:fill="auto"/>
                  <w:vAlign w:val="center"/>
                </w:tcPr>
                <w:p w14:paraId="2FDB4963">
                  <w:pPr>
                    <w:adjustRightInd w:val="0"/>
                    <w:snapToGrid w:val="0"/>
                    <w:jc w:val="center"/>
                    <w:rPr>
                      <w:kern w:val="0"/>
                      <w:szCs w:val="21"/>
                    </w:rPr>
                  </w:pPr>
                  <w:r>
                    <w:rPr>
                      <w:kern w:val="0"/>
                      <w:szCs w:val="21"/>
                    </w:rPr>
                    <w:t>氨氮</w:t>
                  </w:r>
                </w:p>
              </w:tc>
              <w:tc>
                <w:tcPr>
                  <w:tcW w:w="1400" w:type="pct"/>
                  <w:shd w:val="clear" w:color="auto" w:fill="auto"/>
                  <w:vAlign w:val="center"/>
                </w:tcPr>
                <w:p w14:paraId="3E626210">
                  <w:pPr>
                    <w:adjustRightInd w:val="0"/>
                    <w:snapToGrid w:val="0"/>
                    <w:jc w:val="center"/>
                    <w:rPr>
                      <w:kern w:val="0"/>
                      <w:szCs w:val="21"/>
                    </w:rPr>
                  </w:pPr>
                  <w:r>
                    <w:rPr>
                      <w:kern w:val="0"/>
                      <w:szCs w:val="21"/>
                    </w:rPr>
                    <w:t>5（8）</w:t>
                  </w:r>
                </w:p>
              </w:tc>
              <w:tc>
                <w:tcPr>
                  <w:tcW w:w="1395" w:type="pct"/>
                  <w:shd w:val="clear" w:color="auto" w:fill="auto"/>
                  <w:vAlign w:val="center"/>
                </w:tcPr>
                <w:p w14:paraId="30B05176">
                  <w:pPr>
                    <w:adjustRightInd w:val="0"/>
                    <w:snapToGrid w:val="0"/>
                    <w:jc w:val="center"/>
                    <w:rPr>
                      <w:kern w:val="0"/>
                      <w:szCs w:val="21"/>
                    </w:rPr>
                  </w:pPr>
                  <w:r>
                    <w:rPr>
                      <w:kern w:val="0"/>
                      <w:szCs w:val="21"/>
                    </w:rPr>
                    <w:t>mg/L</w:t>
                  </w:r>
                </w:p>
              </w:tc>
            </w:tr>
            <w:tr w14:paraId="2DB575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5" w:type="pct"/>
                  <w:shd w:val="clear" w:color="auto" w:fill="auto"/>
                  <w:vAlign w:val="center"/>
                </w:tcPr>
                <w:p w14:paraId="5655E8C3">
                  <w:pPr>
                    <w:adjustRightInd w:val="0"/>
                    <w:snapToGrid w:val="0"/>
                    <w:jc w:val="center"/>
                    <w:rPr>
                      <w:kern w:val="0"/>
                      <w:szCs w:val="21"/>
                    </w:rPr>
                  </w:pPr>
                  <w:r>
                    <w:rPr>
                      <w:kern w:val="0"/>
                      <w:szCs w:val="21"/>
                    </w:rPr>
                    <w:t>6</w:t>
                  </w:r>
                </w:p>
              </w:tc>
              <w:tc>
                <w:tcPr>
                  <w:tcW w:w="1390" w:type="pct"/>
                  <w:shd w:val="clear" w:color="auto" w:fill="auto"/>
                  <w:vAlign w:val="center"/>
                </w:tcPr>
                <w:p w14:paraId="78AF5739">
                  <w:pPr>
                    <w:adjustRightInd w:val="0"/>
                    <w:snapToGrid w:val="0"/>
                    <w:jc w:val="center"/>
                    <w:rPr>
                      <w:kern w:val="0"/>
                      <w:szCs w:val="21"/>
                    </w:rPr>
                  </w:pPr>
                  <w:r>
                    <w:rPr>
                      <w:kern w:val="0"/>
                      <w:szCs w:val="21"/>
                    </w:rPr>
                    <w:t>动植物油</w:t>
                  </w:r>
                </w:p>
              </w:tc>
              <w:tc>
                <w:tcPr>
                  <w:tcW w:w="1400" w:type="pct"/>
                  <w:shd w:val="clear" w:color="auto" w:fill="auto"/>
                  <w:vAlign w:val="center"/>
                </w:tcPr>
                <w:p w14:paraId="456C5DA2">
                  <w:pPr>
                    <w:adjustRightInd w:val="0"/>
                    <w:snapToGrid w:val="0"/>
                    <w:jc w:val="center"/>
                    <w:rPr>
                      <w:kern w:val="0"/>
                      <w:szCs w:val="21"/>
                    </w:rPr>
                  </w:pPr>
                  <w:r>
                    <w:rPr>
                      <w:kern w:val="0"/>
                      <w:szCs w:val="21"/>
                    </w:rPr>
                    <w:t>1</w:t>
                  </w:r>
                </w:p>
              </w:tc>
              <w:tc>
                <w:tcPr>
                  <w:tcW w:w="1395" w:type="pct"/>
                  <w:shd w:val="clear" w:color="auto" w:fill="auto"/>
                  <w:vAlign w:val="center"/>
                </w:tcPr>
                <w:p w14:paraId="1F97FA49">
                  <w:pPr>
                    <w:adjustRightInd w:val="0"/>
                    <w:snapToGrid w:val="0"/>
                    <w:jc w:val="center"/>
                    <w:rPr>
                      <w:kern w:val="0"/>
                      <w:szCs w:val="21"/>
                    </w:rPr>
                  </w:pPr>
                  <w:r>
                    <w:rPr>
                      <w:kern w:val="0"/>
                      <w:szCs w:val="21"/>
                    </w:rPr>
                    <w:t>mg/L</w:t>
                  </w:r>
                </w:p>
              </w:tc>
            </w:tr>
          </w:tbl>
          <w:p w14:paraId="5FC0647C">
            <w:pPr>
              <w:adjustRightInd w:val="0"/>
              <w:snapToGrid w:val="0"/>
              <w:spacing w:line="360" w:lineRule="auto"/>
              <w:ind w:firstLine="482" w:firstLineChars="200"/>
              <w:rPr>
                <w:rFonts w:ascii="宋体" w:hAnsi="宋体" w:cs="宋体"/>
                <w:b/>
                <w:kern w:val="0"/>
                <w:sz w:val="24"/>
              </w:rPr>
            </w:pPr>
            <w:r>
              <w:rPr>
                <w:rFonts w:hint="eastAsia" w:ascii="宋体" w:hAnsi="宋体" w:cs="宋体"/>
                <w:b/>
                <w:kern w:val="0"/>
                <w:sz w:val="24"/>
              </w:rPr>
              <w:t>三、噪声</w:t>
            </w:r>
          </w:p>
          <w:p w14:paraId="56127664">
            <w:pPr>
              <w:adjustRightInd w:val="0"/>
              <w:snapToGrid w:val="0"/>
              <w:spacing w:line="360" w:lineRule="auto"/>
              <w:ind w:firstLine="480" w:firstLineChars="200"/>
              <w:rPr>
                <w:sz w:val="24"/>
              </w:rPr>
            </w:pPr>
            <w:r>
              <w:rPr>
                <w:sz w:val="24"/>
              </w:rPr>
              <w:t>项目运营期各厂界噪声执行《工业企业厂界环境噪声排放标准》（GB12348-2008）</w:t>
            </w:r>
            <w:r>
              <w:rPr>
                <w:rFonts w:hint="eastAsia"/>
                <w:sz w:val="24"/>
              </w:rPr>
              <w:t>3</w:t>
            </w:r>
            <w:r>
              <w:rPr>
                <w:sz w:val="24"/>
              </w:rPr>
              <w:t>类标准。具体标准值见表</w:t>
            </w:r>
            <w:r>
              <w:rPr>
                <w:rFonts w:hint="eastAsia"/>
                <w:sz w:val="24"/>
              </w:rPr>
              <w:t>3-7</w:t>
            </w:r>
            <w:r>
              <w:rPr>
                <w:sz w:val="24"/>
              </w:rPr>
              <w:t>。</w:t>
            </w:r>
          </w:p>
          <w:p w14:paraId="75D749FB">
            <w:pPr>
              <w:pStyle w:val="17"/>
              <w:spacing w:before="120" w:beforeLines="50"/>
              <w:rPr>
                <w:rFonts w:ascii="Times New Roman" w:hAnsi="Times New Roman"/>
                <w:color w:val="auto"/>
                <w:sz w:val="21"/>
              </w:rPr>
            </w:pPr>
            <w:r>
              <w:rPr>
                <w:rFonts w:ascii="Times New Roman" w:hAnsi="Times New Roman"/>
                <w:color w:val="auto"/>
                <w:sz w:val="21"/>
              </w:rPr>
              <w:t>表</w:t>
            </w:r>
            <w:r>
              <w:rPr>
                <w:rFonts w:hint="eastAsia" w:ascii="Times New Roman" w:hAnsi="Times New Roman"/>
                <w:color w:val="auto"/>
                <w:sz w:val="21"/>
              </w:rPr>
              <w:t xml:space="preserve">3-7  </w:t>
            </w:r>
            <w:r>
              <w:rPr>
                <w:rFonts w:ascii="Times New Roman" w:hAnsi="Times New Roman"/>
                <w:color w:val="auto"/>
                <w:sz w:val="21"/>
              </w:rPr>
              <w:t>项目运营期噪声排放执行标准</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618"/>
              <w:gridCol w:w="2444"/>
              <w:gridCol w:w="2322"/>
            </w:tblGrid>
            <w:tr w14:paraId="61920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61" w:type="pct"/>
                  <w:vMerge w:val="restart"/>
                  <w:vAlign w:val="center"/>
                </w:tcPr>
                <w:p w14:paraId="0E2CC56A">
                  <w:pPr>
                    <w:pStyle w:val="65"/>
                    <w:spacing w:line="240" w:lineRule="auto"/>
                    <w:jc w:val="center"/>
                    <w:rPr>
                      <w:rFonts w:eastAsia="宋体"/>
                      <w:b/>
                      <w:sz w:val="21"/>
                      <w:szCs w:val="21"/>
                    </w:rPr>
                  </w:pPr>
                  <w:r>
                    <w:rPr>
                      <w:rFonts w:eastAsia="宋体"/>
                      <w:b/>
                      <w:sz w:val="21"/>
                      <w:szCs w:val="21"/>
                    </w:rPr>
                    <w:t>厂界外声环境功能区类别</w:t>
                  </w:r>
                </w:p>
              </w:tc>
              <w:tc>
                <w:tcPr>
                  <w:tcW w:w="2539" w:type="pct"/>
                  <w:gridSpan w:val="2"/>
                  <w:vAlign w:val="center"/>
                </w:tcPr>
                <w:p w14:paraId="38ADAB81">
                  <w:pPr>
                    <w:pStyle w:val="65"/>
                    <w:spacing w:line="240" w:lineRule="auto"/>
                    <w:jc w:val="center"/>
                    <w:rPr>
                      <w:rFonts w:eastAsia="宋体"/>
                      <w:b/>
                      <w:sz w:val="21"/>
                      <w:szCs w:val="21"/>
                    </w:rPr>
                  </w:pPr>
                  <w:r>
                    <w:rPr>
                      <w:rFonts w:eastAsia="宋体"/>
                      <w:b/>
                      <w:sz w:val="21"/>
                      <w:szCs w:val="21"/>
                    </w:rPr>
                    <w:t>标准值dB（</w:t>
                  </w:r>
                  <w:r>
                    <w:rPr>
                      <w:rFonts w:hint="eastAsia" w:eastAsia="宋体"/>
                      <w:b/>
                      <w:sz w:val="21"/>
                      <w:szCs w:val="21"/>
                    </w:rPr>
                    <w:t>A</w:t>
                  </w:r>
                  <w:r>
                    <w:rPr>
                      <w:rFonts w:eastAsia="宋体"/>
                      <w:b/>
                      <w:sz w:val="21"/>
                      <w:szCs w:val="21"/>
                    </w:rPr>
                    <w:t>）</w:t>
                  </w:r>
                </w:p>
              </w:tc>
            </w:tr>
            <w:tr w14:paraId="633B76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61" w:type="pct"/>
                  <w:vMerge w:val="continue"/>
                  <w:vAlign w:val="center"/>
                </w:tcPr>
                <w:p w14:paraId="2781CA98">
                  <w:pPr>
                    <w:pStyle w:val="65"/>
                    <w:spacing w:line="240" w:lineRule="auto"/>
                    <w:jc w:val="center"/>
                    <w:rPr>
                      <w:rFonts w:eastAsia="宋体"/>
                      <w:b/>
                      <w:sz w:val="21"/>
                      <w:szCs w:val="21"/>
                    </w:rPr>
                  </w:pPr>
                </w:p>
              </w:tc>
              <w:tc>
                <w:tcPr>
                  <w:tcW w:w="1302" w:type="pct"/>
                  <w:vAlign w:val="center"/>
                </w:tcPr>
                <w:p w14:paraId="642E2C3D">
                  <w:pPr>
                    <w:pStyle w:val="65"/>
                    <w:spacing w:line="240" w:lineRule="auto"/>
                    <w:jc w:val="center"/>
                    <w:rPr>
                      <w:rFonts w:eastAsia="宋体"/>
                      <w:b/>
                      <w:sz w:val="21"/>
                      <w:szCs w:val="21"/>
                    </w:rPr>
                  </w:pPr>
                  <w:r>
                    <w:rPr>
                      <w:rFonts w:eastAsia="宋体"/>
                      <w:b/>
                      <w:sz w:val="21"/>
                      <w:szCs w:val="21"/>
                    </w:rPr>
                    <w:t>昼间</w:t>
                  </w:r>
                </w:p>
              </w:tc>
              <w:tc>
                <w:tcPr>
                  <w:tcW w:w="1237" w:type="pct"/>
                  <w:vAlign w:val="center"/>
                </w:tcPr>
                <w:p w14:paraId="0CC234A3">
                  <w:pPr>
                    <w:pStyle w:val="65"/>
                    <w:spacing w:line="240" w:lineRule="auto"/>
                    <w:jc w:val="center"/>
                    <w:rPr>
                      <w:rFonts w:eastAsia="宋体"/>
                      <w:b/>
                      <w:sz w:val="21"/>
                      <w:szCs w:val="21"/>
                    </w:rPr>
                  </w:pPr>
                  <w:r>
                    <w:rPr>
                      <w:rFonts w:eastAsia="宋体"/>
                      <w:b/>
                      <w:sz w:val="21"/>
                      <w:szCs w:val="21"/>
                    </w:rPr>
                    <w:t>夜间</w:t>
                  </w:r>
                </w:p>
              </w:tc>
            </w:tr>
            <w:tr w14:paraId="00821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61" w:type="pct"/>
                  <w:vAlign w:val="center"/>
                </w:tcPr>
                <w:p w14:paraId="696416D6">
                  <w:pPr>
                    <w:pStyle w:val="65"/>
                    <w:spacing w:line="240" w:lineRule="auto"/>
                    <w:jc w:val="center"/>
                    <w:rPr>
                      <w:rFonts w:eastAsia="宋体"/>
                      <w:sz w:val="21"/>
                      <w:szCs w:val="21"/>
                    </w:rPr>
                  </w:pPr>
                  <w:r>
                    <w:rPr>
                      <w:rFonts w:hint="eastAsia" w:eastAsia="宋体"/>
                      <w:sz w:val="21"/>
                      <w:szCs w:val="21"/>
                    </w:rPr>
                    <w:t>3</w:t>
                  </w:r>
                  <w:r>
                    <w:rPr>
                      <w:rFonts w:eastAsia="宋体"/>
                      <w:sz w:val="21"/>
                      <w:szCs w:val="21"/>
                    </w:rPr>
                    <w:t>类</w:t>
                  </w:r>
                </w:p>
              </w:tc>
              <w:tc>
                <w:tcPr>
                  <w:tcW w:w="1302" w:type="pct"/>
                  <w:vAlign w:val="center"/>
                </w:tcPr>
                <w:p w14:paraId="183AE215">
                  <w:pPr>
                    <w:pStyle w:val="65"/>
                    <w:spacing w:line="240" w:lineRule="auto"/>
                    <w:jc w:val="center"/>
                    <w:rPr>
                      <w:rFonts w:eastAsia="宋体"/>
                      <w:sz w:val="21"/>
                      <w:szCs w:val="21"/>
                    </w:rPr>
                  </w:pPr>
                  <w:r>
                    <w:rPr>
                      <w:rFonts w:hint="eastAsia" w:eastAsia="宋体"/>
                      <w:sz w:val="21"/>
                      <w:szCs w:val="21"/>
                    </w:rPr>
                    <w:t>65</w:t>
                  </w:r>
                </w:p>
              </w:tc>
              <w:tc>
                <w:tcPr>
                  <w:tcW w:w="1237" w:type="pct"/>
                  <w:vAlign w:val="center"/>
                </w:tcPr>
                <w:p w14:paraId="04C6069D">
                  <w:pPr>
                    <w:pStyle w:val="65"/>
                    <w:spacing w:line="240" w:lineRule="auto"/>
                    <w:jc w:val="center"/>
                    <w:rPr>
                      <w:rFonts w:eastAsia="宋体"/>
                      <w:sz w:val="21"/>
                      <w:szCs w:val="21"/>
                    </w:rPr>
                  </w:pPr>
                  <w:r>
                    <w:rPr>
                      <w:rFonts w:eastAsia="宋体"/>
                      <w:sz w:val="21"/>
                      <w:szCs w:val="21"/>
                    </w:rPr>
                    <w:t>5</w:t>
                  </w:r>
                  <w:r>
                    <w:rPr>
                      <w:rFonts w:hint="eastAsia" w:eastAsia="宋体"/>
                      <w:sz w:val="21"/>
                      <w:szCs w:val="21"/>
                    </w:rPr>
                    <w:t>5</w:t>
                  </w:r>
                </w:p>
              </w:tc>
            </w:tr>
            <w:tr w14:paraId="02EB83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3"/>
                  <w:vAlign w:val="center"/>
                </w:tcPr>
                <w:p w14:paraId="5543FCAE">
                  <w:pPr>
                    <w:pStyle w:val="65"/>
                    <w:spacing w:line="240" w:lineRule="auto"/>
                    <w:jc w:val="center"/>
                    <w:rPr>
                      <w:rFonts w:eastAsia="宋体"/>
                      <w:sz w:val="21"/>
                      <w:szCs w:val="21"/>
                    </w:rPr>
                  </w:pPr>
                  <w:r>
                    <w:rPr>
                      <w:rFonts w:hint="eastAsia" w:eastAsia="宋体"/>
                      <w:sz w:val="21"/>
                      <w:szCs w:val="21"/>
                    </w:rPr>
                    <w:t>标准来源：《工业企业厂界环境噪声排放标准》（GB 12348-2008）</w:t>
                  </w:r>
                </w:p>
              </w:tc>
            </w:tr>
          </w:tbl>
          <w:p w14:paraId="5F43B14E">
            <w:pPr>
              <w:adjustRightInd w:val="0"/>
              <w:snapToGrid w:val="0"/>
              <w:spacing w:line="360" w:lineRule="auto"/>
              <w:ind w:firstLine="482" w:firstLineChars="200"/>
              <w:rPr>
                <w:rFonts w:ascii="宋体" w:hAnsi="宋体" w:cs="宋体"/>
                <w:b/>
                <w:kern w:val="0"/>
                <w:sz w:val="24"/>
              </w:rPr>
            </w:pPr>
            <w:r>
              <w:rPr>
                <w:rFonts w:hint="eastAsia" w:ascii="宋体" w:hAnsi="宋体" w:cs="宋体"/>
                <w:b/>
                <w:kern w:val="0"/>
                <w:sz w:val="24"/>
              </w:rPr>
              <w:t>四、固体废弃物</w:t>
            </w:r>
          </w:p>
          <w:p w14:paraId="1DA12433">
            <w:pPr>
              <w:adjustRightInd w:val="0"/>
              <w:snapToGrid w:val="0"/>
              <w:spacing w:line="360" w:lineRule="auto"/>
              <w:ind w:firstLine="480" w:firstLineChars="200"/>
              <w:rPr>
                <w:sz w:val="24"/>
              </w:rPr>
            </w:pPr>
            <w:r>
              <w:rPr>
                <w:rFonts w:hint="eastAsia"/>
                <w:sz w:val="24"/>
              </w:rPr>
              <w:t>一般固体废弃物处置执行《一般工业固体废物贮存、处置场污染控制标准》（</w:t>
            </w:r>
            <w:r>
              <w:rPr>
                <w:sz w:val="24"/>
              </w:rPr>
              <w:t>GB18599-20</w:t>
            </w:r>
            <w:r>
              <w:rPr>
                <w:rFonts w:hint="eastAsia"/>
                <w:sz w:val="24"/>
              </w:rPr>
              <w:t>20）标准要求；危险废物贮存执行《危险废物贮存污染控制标准》（</w:t>
            </w:r>
            <w:r>
              <w:rPr>
                <w:sz w:val="24"/>
              </w:rPr>
              <w:t>18957-20</w:t>
            </w:r>
            <w:r>
              <w:rPr>
                <w:rFonts w:hint="eastAsia"/>
                <w:sz w:val="24"/>
              </w:rPr>
              <w:t>23）标准中相关要求</w:t>
            </w:r>
            <w:r>
              <w:rPr>
                <w:sz w:val="24"/>
              </w:rPr>
              <w:t>。</w:t>
            </w:r>
            <w:bookmarkStart w:id="35" w:name="表3-6_医疗机构污泥排放标准值"/>
            <w:bookmarkEnd w:id="35"/>
          </w:p>
        </w:tc>
      </w:tr>
      <w:tr w14:paraId="3D5073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82" w:type="pct"/>
            <w:vAlign w:val="center"/>
          </w:tcPr>
          <w:p w14:paraId="22F263CA">
            <w:pPr>
              <w:adjustRightInd w:val="0"/>
              <w:snapToGrid w:val="0"/>
              <w:jc w:val="center"/>
              <w:rPr>
                <w:rFonts w:ascii="宋体" w:hAnsi="宋体" w:cs="宋体"/>
                <w:b/>
                <w:kern w:val="0"/>
                <w:sz w:val="24"/>
              </w:rPr>
            </w:pPr>
            <w:r>
              <w:rPr>
                <w:rFonts w:hint="eastAsia" w:ascii="宋体" w:hAnsi="宋体" w:cs="宋体"/>
                <w:b/>
                <w:kern w:val="0"/>
                <w:sz w:val="24"/>
              </w:rPr>
              <w:t>总量</w:t>
            </w:r>
          </w:p>
          <w:p w14:paraId="4E56575A">
            <w:pPr>
              <w:adjustRightInd w:val="0"/>
              <w:snapToGrid w:val="0"/>
              <w:jc w:val="center"/>
              <w:rPr>
                <w:rFonts w:ascii="宋体" w:hAnsi="宋体" w:cs="宋体"/>
                <w:b/>
                <w:kern w:val="0"/>
                <w:sz w:val="24"/>
              </w:rPr>
            </w:pPr>
            <w:r>
              <w:rPr>
                <w:rFonts w:hint="eastAsia" w:ascii="宋体" w:hAnsi="宋体" w:cs="宋体"/>
                <w:b/>
                <w:kern w:val="0"/>
                <w:sz w:val="24"/>
              </w:rPr>
              <w:t>控制</w:t>
            </w:r>
          </w:p>
          <w:p w14:paraId="56E4CE33">
            <w:pPr>
              <w:adjustRightInd w:val="0"/>
              <w:snapToGrid w:val="0"/>
              <w:jc w:val="center"/>
              <w:rPr>
                <w:rFonts w:ascii="宋体" w:hAnsi="宋体" w:cs="宋体"/>
                <w:b/>
                <w:kern w:val="0"/>
                <w:sz w:val="24"/>
              </w:rPr>
            </w:pPr>
            <w:r>
              <w:rPr>
                <w:rFonts w:hint="eastAsia" w:ascii="宋体" w:hAnsi="宋体" w:cs="宋体"/>
                <w:b/>
                <w:kern w:val="0"/>
                <w:sz w:val="24"/>
              </w:rPr>
              <w:t>指标</w:t>
            </w:r>
          </w:p>
        </w:tc>
        <w:tc>
          <w:tcPr>
            <w:tcW w:w="4718" w:type="pct"/>
            <w:vAlign w:val="center"/>
          </w:tcPr>
          <w:p w14:paraId="695D40A9">
            <w:pPr>
              <w:adjustRightInd w:val="0"/>
              <w:snapToGrid w:val="0"/>
              <w:spacing w:line="360" w:lineRule="auto"/>
              <w:ind w:firstLine="480" w:firstLineChars="200"/>
              <w:rPr>
                <w:sz w:val="24"/>
              </w:rPr>
            </w:pPr>
            <w:r>
              <w:rPr>
                <w:sz w:val="24"/>
              </w:rPr>
              <w:t>根据要求结合本项目的工程特点，给出本项目的总量控制建议指标值如下：</w:t>
            </w:r>
          </w:p>
          <w:p w14:paraId="0A952648">
            <w:pPr>
              <w:adjustRightInd w:val="0"/>
              <w:snapToGrid w:val="0"/>
              <w:spacing w:line="360" w:lineRule="auto"/>
              <w:ind w:firstLine="480" w:firstLineChars="200"/>
              <w:rPr>
                <w:sz w:val="24"/>
              </w:rPr>
            </w:pPr>
            <w:r>
              <w:rPr>
                <w:sz w:val="24"/>
              </w:rPr>
              <w:t>根据《</w:t>
            </w:r>
            <w:r>
              <w:rPr>
                <w:rFonts w:hint="eastAsia" w:asciiTheme="minorEastAsia" w:hAnsiTheme="minorEastAsia" w:eastAsiaTheme="minorEastAsia"/>
                <w:sz w:val="24"/>
              </w:rPr>
              <w:t>“十四五”污染减排综合工作方案编制技术指南</w:t>
            </w:r>
            <w:r>
              <w:rPr>
                <w:sz w:val="24"/>
              </w:rPr>
              <w:t>》，大气污染物总量控制指标为SO</w:t>
            </w:r>
            <w:r>
              <w:rPr>
                <w:sz w:val="24"/>
                <w:vertAlign w:val="subscript"/>
              </w:rPr>
              <w:t>2</w:t>
            </w:r>
            <w:r>
              <w:rPr>
                <w:sz w:val="24"/>
              </w:rPr>
              <w:t>、NOx、</w:t>
            </w:r>
            <w:r>
              <w:rPr>
                <w:rFonts w:hint="eastAsia"/>
                <w:sz w:val="24"/>
              </w:rPr>
              <w:t>VOCs</w:t>
            </w:r>
            <w:r>
              <w:rPr>
                <w:sz w:val="24"/>
              </w:rPr>
              <w:t>，水污染物控制指标为COD、NH</w:t>
            </w:r>
            <w:r>
              <w:rPr>
                <w:sz w:val="24"/>
                <w:vertAlign w:val="subscript"/>
              </w:rPr>
              <w:t>3</w:t>
            </w:r>
            <w:r>
              <w:rPr>
                <w:sz w:val="24"/>
              </w:rPr>
              <w:t>-N。</w:t>
            </w:r>
          </w:p>
          <w:p w14:paraId="1FBC12AD">
            <w:pPr>
              <w:spacing w:line="360" w:lineRule="auto"/>
              <w:ind w:firstLine="480" w:firstLineChars="200"/>
              <w:rPr>
                <w:color w:val="FF0000"/>
                <w:kern w:val="0"/>
                <w:sz w:val="24"/>
              </w:rPr>
            </w:pPr>
            <w:r>
              <w:rPr>
                <w:rFonts w:hint="eastAsia"/>
                <w:kern w:val="0"/>
                <w:sz w:val="24"/>
              </w:rPr>
              <w:t>本项目无生产废水外排，项目</w:t>
            </w:r>
            <w:r>
              <w:rPr>
                <w:rFonts w:hAnsi="宋体"/>
                <w:kern w:val="0"/>
                <w:sz w:val="24"/>
              </w:rPr>
              <w:t>生活污水依托</w:t>
            </w:r>
            <w:r>
              <w:rPr>
                <w:rFonts w:hint="eastAsia"/>
                <w:kern w:val="0"/>
                <w:sz w:val="24"/>
                <w:szCs w:val="20"/>
              </w:rPr>
              <w:t>湖南衡利丰陶瓷有限公司现有</w:t>
            </w:r>
            <w:r>
              <w:rPr>
                <w:rFonts w:hAnsi="宋体"/>
                <w:kern w:val="0"/>
                <w:sz w:val="24"/>
              </w:rPr>
              <w:t>化粪池预处理后外排至市政管网，纳入</w:t>
            </w:r>
            <w:bookmarkStart w:id="36" w:name="OLE_LINK22"/>
            <w:bookmarkStart w:id="37" w:name="OLE_LINK23"/>
            <w:r>
              <w:rPr>
                <w:rFonts w:hint="eastAsia"/>
                <w:sz w:val="24"/>
              </w:rPr>
              <w:t>衡阳西渡高新区污水处理厂</w:t>
            </w:r>
            <w:bookmarkEnd w:id="36"/>
            <w:bookmarkEnd w:id="37"/>
            <w:r>
              <w:rPr>
                <w:rFonts w:hint="eastAsia"/>
                <w:sz w:val="24"/>
              </w:rPr>
              <w:t>深度处理</w:t>
            </w:r>
            <w:r>
              <w:rPr>
                <w:rFonts w:hint="eastAsia"/>
                <w:bCs/>
                <w:sz w:val="24"/>
              </w:rPr>
              <w:t>后排入蒸水</w:t>
            </w:r>
            <w:r>
              <w:rPr>
                <w:rFonts w:hint="eastAsia"/>
                <w:kern w:val="0"/>
                <w:sz w:val="24"/>
              </w:rPr>
              <w:t>。根据工程分析，项目生活污水量为304m</w:t>
            </w:r>
            <w:r>
              <w:rPr>
                <w:rFonts w:hint="eastAsia"/>
                <w:kern w:val="0"/>
                <w:sz w:val="24"/>
                <w:vertAlign w:val="superscript"/>
              </w:rPr>
              <w:t>3</w:t>
            </w:r>
            <w:r>
              <w:rPr>
                <w:rFonts w:hint="eastAsia"/>
                <w:kern w:val="0"/>
                <w:sz w:val="24"/>
              </w:rPr>
              <w:t>/a（1.01m</w:t>
            </w:r>
            <w:r>
              <w:rPr>
                <w:rFonts w:hint="eastAsia"/>
                <w:kern w:val="0"/>
                <w:sz w:val="24"/>
                <w:vertAlign w:val="superscript"/>
              </w:rPr>
              <w:t>3</w:t>
            </w:r>
            <w:r>
              <w:rPr>
                <w:rFonts w:hint="eastAsia"/>
                <w:kern w:val="0"/>
                <w:sz w:val="24"/>
              </w:rPr>
              <w:t>/d），经</w:t>
            </w:r>
            <w:r>
              <w:rPr>
                <w:rFonts w:hint="eastAsia"/>
                <w:sz w:val="24"/>
              </w:rPr>
              <w:t>衡阳西渡高新区污水处理厂</w:t>
            </w:r>
            <w:r>
              <w:rPr>
                <w:rFonts w:hint="eastAsia" w:eastAsiaTheme="minorEastAsia"/>
                <w:sz w:val="24"/>
              </w:rPr>
              <w:t>处理</w:t>
            </w:r>
            <w:r>
              <w:rPr>
                <w:rFonts w:hint="eastAsia"/>
                <w:kern w:val="0"/>
                <w:sz w:val="24"/>
              </w:rPr>
              <w:t>后主要污染物COD</w:t>
            </w:r>
            <w:r>
              <w:rPr>
                <w:rFonts w:hint="eastAsia"/>
                <w:kern w:val="0"/>
                <w:sz w:val="24"/>
                <w:vertAlign w:val="subscript"/>
              </w:rPr>
              <w:t>Cr</w:t>
            </w:r>
            <w:r>
              <w:rPr>
                <w:rFonts w:hint="eastAsia"/>
                <w:kern w:val="0"/>
                <w:sz w:val="24"/>
              </w:rPr>
              <w:t>排放量为0.015t/a、NH</w:t>
            </w:r>
            <w:r>
              <w:rPr>
                <w:rFonts w:hint="eastAsia"/>
                <w:kern w:val="0"/>
                <w:sz w:val="24"/>
                <w:vertAlign w:val="subscript"/>
              </w:rPr>
              <w:t>3</w:t>
            </w:r>
            <w:r>
              <w:rPr>
                <w:rFonts w:hint="eastAsia"/>
                <w:kern w:val="0"/>
                <w:sz w:val="24"/>
              </w:rPr>
              <w:t>-N排放量为0.003t/a。因此，建议申请总量指标为C0D</w:t>
            </w:r>
            <w:r>
              <w:rPr>
                <w:rFonts w:hint="eastAsia"/>
                <w:kern w:val="0"/>
                <w:sz w:val="24"/>
                <w:vertAlign w:val="subscript"/>
              </w:rPr>
              <w:t>Cr</w:t>
            </w:r>
            <w:r>
              <w:rPr>
                <w:rFonts w:hint="eastAsia"/>
                <w:kern w:val="0"/>
                <w:sz w:val="24"/>
              </w:rPr>
              <w:t>0.015t/a、NH</w:t>
            </w:r>
            <w:r>
              <w:rPr>
                <w:rFonts w:hint="eastAsia"/>
                <w:kern w:val="0"/>
                <w:sz w:val="24"/>
                <w:vertAlign w:val="subscript"/>
              </w:rPr>
              <w:t>3</w:t>
            </w:r>
            <w:r>
              <w:rPr>
                <w:rFonts w:hint="eastAsia"/>
                <w:kern w:val="0"/>
                <w:sz w:val="24"/>
              </w:rPr>
              <w:t>-N0.003t/a，具体由环境主管部门核定。</w:t>
            </w:r>
          </w:p>
          <w:p w14:paraId="0CCB085C">
            <w:pPr>
              <w:spacing w:line="360" w:lineRule="auto"/>
              <w:ind w:firstLine="480" w:firstLineChars="200"/>
              <w:rPr>
                <w:sz w:val="24"/>
              </w:rPr>
            </w:pPr>
            <w:r>
              <w:rPr>
                <w:rFonts w:hint="eastAsia"/>
                <w:sz w:val="24"/>
              </w:rPr>
              <w:t>项目不涉及国控污染物</w:t>
            </w:r>
            <w:r>
              <w:rPr>
                <w:sz w:val="24"/>
              </w:rPr>
              <w:t>SO</w:t>
            </w:r>
            <w:r>
              <w:rPr>
                <w:sz w:val="24"/>
                <w:vertAlign w:val="subscript"/>
              </w:rPr>
              <w:t>2</w:t>
            </w:r>
            <w:r>
              <w:rPr>
                <w:sz w:val="24"/>
              </w:rPr>
              <w:t>、NOx、</w:t>
            </w:r>
            <w:r>
              <w:rPr>
                <w:rFonts w:hint="eastAsia"/>
                <w:sz w:val="24"/>
              </w:rPr>
              <w:t>VOCs排放，因此，无需申请</w:t>
            </w:r>
            <w:r>
              <w:rPr>
                <w:sz w:val="24"/>
              </w:rPr>
              <w:t>SO</w:t>
            </w:r>
            <w:r>
              <w:rPr>
                <w:sz w:val="24"/>
                <w:vertAlign w:val="subscript"/>
              </w:rPr>
              <w:t>2</w:t>
            </w:r>
            <w:r>
              <w:rPr>
                <w:sz w:val="24"/>
              </w:rPr>
              <w:t>、NOx、</w:t>
            </w:r>
            <w:r>
              <w:rPr>
                <w:rFonts w:hint="eastAsia"/>
                <w:sz w:val="24"/>
              </w:rPr>
              <w:t>VOCs总量指标。本项目不属于涉重金属重点行业，不需要申请重金属总量指标。</w:t>
            </w:r>
          </w:p>
          <w:p w14:paraId="0BB03F45">
            <w:pPr>
              <w:pStyle w:val="4"/>
            </w:pPr>
          </w:p>
          <w:p w14:paraId="7F2644B1"/>
          <w:p w14:paraId="0AE9BB1F">
            <w:pPr>
              <w:pStyle w:val="2"/>
              <w:rPr>
                <w:color w:val="auto"/>
              </w:rPr>
            </w:pPr>
          </w:p>
          <w:p w14:paraId="03F0192C">
            <w:pPr>
              <w:pStyle w:val="4"/>
            </w:pPr>
          </w:p>
          <w:p w14:paraId="25360B6F"/>
          <w:p w14:paraId="0EDB5DAB">
            <w:pPr>
              <w:pStyle w:val="2"/>
            </w:pPr>
          </w:p>
          <w:p w14:paraId="6EDA2F09">
            <w:pPr>
              <w:pStyle w:val="4"/>
            </w:pPr>
          </w:p>
          <w:p w14:paraId="1DD04456"/>
          <w:p w14:paraId="4A4C16B3">
            <w:pPr>
              <w:pStyle w:val="2"/>
            </w:pPr>
          </w:p>
          <w:p w14:paraId="1BD0DBDE">
            <w:pPr>
              <w:pStyle w:val="4"/>
            </w:pPr>
          </w:p>
          <w:p w14:paraId="2C9F719F"/>
          <w:p w14:paraId="420550D0">
            <w:pPr>
              <w:pStyle w:val="2"/>
            </w:pPr>
          </w:p>
          <w:p w14:paraId="3DB2F5DB">
            <w:pPr>
              <w:pStyle w:val="4"/>
            </w:pPr>
          </w:p>
          <w:p w14:paraId="599C4927"/>
          <w:p w14:paraId="7653C47E">
            <w:pPr>
              <w:pStyle w:val="2"/>
            </w:pPr>
          </w:p>
          <w:p w14:paraId="710BD076">
            <w:pPr>
              <w:pStyle w:val="4"/>
            </w:pPr>
          </w:p>
          <w:p w14:paraId="0E89E9C3"/>
          <w:p w14:paraId="05756F12">
            <w:pPr>
              <w:pStyle w:val="2"/>
            </w:pPr>
          </w:p>
          <w:p w14:paraId="1412AE00">
            <w:pPr>
              <w:pStyle w:val="4"/>
            </w:pPr>
          </w:p>
          <w:p w14:paraId="198A8B46"/>
          <w:p w14:paraId="7A3CFE1D">
            <w:pPr>
              <w:pStyle w:val="2"/>
            </w:pPr>
          </w:p>
          <w:p w14:paraId="323BCD2E"/>
          <w:p w14:paraId="3F71C40F">
            <w:pPr>
              <w:pStyle w:val="2"/>
            </w:pPr>
          </w:p>
          <w:p w14:paraId="19795DBC">
            <w:pPr>
              <w:pStyle w:val="4"/>
            </w:pPr>
          </w:p>
          <w:p w14:paraId="23316551"/>
          <w:p w14:paraId="173A6641">
            <w:pPr>
              <w:pStyle w:val="2"/>
            </w:pPr>
          </w:p>
          <w:p w14:paraId="2C81F480">
            <w:pPr>
              <w:pStyle w:val="4"/>
            </w:pPr>
          </w:p>
          <w:p w14:paraId="0C9CE443"/>
          <w:p w14:paraId="240BBA45">
            <w:pPr>
              <w:pStyle w:val="2"/>
            </w:pPr>
          </w:p>
          <w:p w14:paraId="726D5477">
            <w:pPr>
              <w:pStyle w:val="4"/>
            </w:pPr>
          </w:p>
          <w:p w14:paraId="443F1C7C"/>
          <w:p w14:paraId="088ACD36">
            <w:pPr>
              <w:pStyle w:val="2"/>
            </w:pPr>
          </w:p>
          <w:p w14:paraId="4B4894BD">
            <w:pPr>
              <w:pStyle w:val="4"/>
            </w:pPr>
          </w:p>
        </w:tc>
      </w:tr>
    </w:tbl>
    <w:p w14:paraId="25A95FC0">
      <w:pPr>
        <w:pStyle w:val="31"/>
        <w:jc w:val="center"/>
        <w:outlineLvl w:val="0"/>
        <w:rPr>
          <w:rFonts w:ascii="黑体" w:hAnsi="黑体" w:eastAsia="黑体"/>
          <w:snapToGrid w:val="0"/>
          <w:sz w:val="36"/>
          <w:szCs w:val="36"/>
        </w:rPr>
        <w:sectPr>
          <w:pgSz w:w="11907" w:h="16840"/>
          <w:pgMar w:top="1701" w:right="1531" w:bottom="2127" w:left="1531" w:header="851" w:footer="851" w:gutter="0"/>
          <w:cols w:space="720" w:num="1"/>
          <w:docGrid w:linePitch="312" w:charSpace="0"/>
        </w:sectPr>
      </w:pPr>
    </w:p>
    <w:p w14:paraId="6CBCB5FA">
      <w:pPr>
        <w:pStyle w:val="31"/>
        <w:jc w:val="center"/>
        <w:outlineLvl w:val="0"/>
        <w:rPr>
          <w:rFonts w:ascii="黑体" w:hAnsi="黑体" w:eastAsia="黑体"/>
          <w:snapToGrid w:val="0"/>
          <w:sz w:val="30"/>
          <w:szCs w:val="30"/>
        </w:rPr>
      </w:pPr>
      <w:bookmarkStart w:id="38" w:name="_Toc111712329"/>
      <w:r>
        <w:rPr>
          <w:rFonts w:hint="eastAsia" w:ascii="黑体" w:hAnsi="黑体" w:eastAsia="黑体"/>
          <w:snapToGrid w:val="0"/>
          <w:sz w:val="30"/>
          <w:szCs w:val="30"/>
        </w:rPr>
        <w:t>四、主要环境影响和保护措施</w:t>
      </w:r>
      <w:bookmarkEnd w:id="38"/>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39"/>
        <w:gridCol w:w="9667"/>
      </w:tblGrid>
      <w:tr w14:paraId="6BB493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64" w:type="pct"/>
            <w:tcMar>
              <w:left w:w="28" w:type="dxa"/>
              <w:right w:w="28" w:type="dxa"/>
            </w:tcMar>
            <w:vAlign w:val="center"/>
          </w:tcPr>
          <w:p w14:paraId="07D6E27C">
            <w:pPr>
              <w:pStyle w:val="31"/>
              <w:adjustRightInd w:val="0"/>
              <w:snapToGrid w:val="0"/>
              <w:spacing w:before="0" w:beforeAutospacing="0" w:after="0" w:afterAutospacing="0"/>
              <w:jc w:val="center"/>
              <w:rPr>
                <w:rFonts w:cs="宋体"/>
                <w:b/>
                <w:kern w:val="2"/>
                <w:szCs w:val="24"/>
              </w:rPr>
            </w:pPr>
            <w:r>
              <w:rPr>
                <w:rFonts w:hint="eastAsia" w:cs="宋体"/>
                <w:b/>
                <w:kern w:val="2"/>
                <w:szCs w:val="24"/>
              </w:rPr>
              <w:t>施工</w:t>
            </w:r>
          </w:p>
          <w:p w14:paraId="1FE3BEE3">
            <w:pPr>
              <w:pStyle w:val="31"/>
              <w:adjustRightInd w:val="0"/>
              <w:snapToGrid w:val="0"/>
              <w:spacing w:before="0" w:beforeAutospacing="0" w:after="0" w:afterAutospacing="0"/>
              <w:jc w:val="center"/>
              <w:rPr>
                <w:rFonts w:cs="宋体"/>
                <w:b/>
                <w:kern w:val="2"/>
                <w:szCs w:val="24"/>
              </w:rPr>
            </w:pPr>
            <w:r>
              <w:rPr>
                <w:rFonts w:hint="eastAsia" w:cs="宋体"/>
                <w:b/>
                <w:kern w:val="2"/>
                <w:szCs w:val="24"/>
              </w:rPr>
              <w:t>期环</w:t>
            </w:r>
          </w:p>
          <w:p w14:paraId="4E0DD045">
            <w:pPr>
              <w:pStyle w:val="31"/>
              <w:adjustRightInd w:val="0"/>
              <w:snapToGrid w:val="0"/>
              <w:spacing w:before="0" w:beforeAutospacing="0" w:after="0" w:afterAutospacing="0"/>
              <w:jc w:val="center"/>
              <w:rPr>
                <w:rFonts w:cs="宋体"/>
                <w:b/>
                <w:kern w:val="2"/>
                <w:szCs w:val="24"/>
              </w:rPr>
            </w:pPr>
            <w:r>
              <w:rPr>
                <w:rFonts w:hint="eastAsia" w:cs="宋体"/>
                <w:b/>
                <w:kern w:val="2"/>
                <w:szCs w:val="24"/>
              </w:rPr>
              <w:t>境保</w:t>
            </w:r>
          </w:p>
          <w:p w14:paraId="5FD8D6EB">
            <w:pPr>
              <w:pStyle w:val="31"/>
              <w:adjustRightInd w:val="0"/>
              <w:snapToGrid w:val="0"/>
              <w:spacing w:before="0" w:beforeAutospacing="0" w:after="0" w:afterAutospacing="0"/>
              <w:jc w:val="center"/>
              <w:rPr>
                <w:rFonts w:cs="宋体"/>
                <w:b/>
                <w:kern w:val="2"/>
                <w:szCs w:val="24"/>
              </w:rPr>
            </w:pPr>
            <w:r>
              <w:rPr>
                <w:rFonts w:hint="eastAsia" w:cs="宋体"/>
                <w:b/>
                <w:kern w:val="2"/>
                <w:szCs w:val="24"/>
              </w:rPr>
              <w:t>护措</w:t>
            </w:r>
          </w:p>
          <w:p w14:paraId="18546B84">
            <w:pPr>
              <w:pStyle w:val="31"/>
              <w:adjustRightInd w:val="0"/>
              <w:snapToGrid w:val="0"/>
              <w:spacing w:before="0" w:beforeAutospacing="0" w:after="0" w:afterAutospacing="0"/>
              <w:jc w:val="center"/>
              <w:rPr>
                <w:rFonts w:cs="宋体"/>
                <w:b/>
                <w:bCs/>
                <w:kern w:val="2"/>
                <w:szCs w:val="24"/>
              </w:rPr>
            </w:pPr>
            <w:r>
              <w:rPr>
                <w:rFonts w:hint="eastAsia" w:cs="宋体"/>
                <w:b/>
                <w:kern w:val="2"/>
                <w:szCs w:val="24"/>
              </w:rPr>
              <w:t>施</w:t>
            </w:r>
          </w:p>
        </w:tc>
        <w:tc>
          <w:tcPr>
            <w:tcW w:w="4736" w:type="pct"/>
            <w:vAlign w:val="center"/>
          </w:tcPr>
          <w:p w14:paraId="656E97CD">
            <w:pPr>
              <w:adjustRightInd w:val="0"/>
              <w:snapToGrid w:val="0"/>
              <w:spacing w:line="360" w:lineRule="auto"/>
              <w:ind w:firstLine="482" w:firstLineChars="200"/>
              <w:rPr>
                <w:b/>
                <w:bCs/>
                <w:sz w:val="24"/>
              </w:rPr>
            </w:pPr>
            <w:r>
              <w:rPr>
                <w:rFonts w:hint="eastAsia"/>
                <w:b/>
                <w:bCs/>
                <w:sz w:val="24"/>
              </w:rPr>
              <w:t>一、</w:t>
            </w:r>
            <w:r>
              <w:rPr>
                <w:rFonts w:hint="eastAsia"/>
                <w:b/>
                <w:sz w:val="24"/>
              </w:rPr>
              <w:t>施工期废气</w:t>
            </w:r>
          </w:p>
          <w:p w14:paraId="1DF68857">
            <w:pPr>
              <w:autoSpaceDE w:val="0"/>
              <w:autoSpaceDN w:val="0"/>
              <w:adjustRightInd w:val="0"/>
              <w:spacing w:line="360" w:lineRule="auto"/>
              <w:ind w:firstLine="480" w:firstLineChars="200"/>
              <w:rPr>
                <w:rFonts w:ascii="宋体" w:hAnsi="宋体"/>
                <w:kern w:val="0"/>
                <w:sz w:val="24"/>
              </w:rPr>
            </w:pPr>
            <w:r>
              <w:rPr>
                <w:rFonts w:hint="eastAsia" w:ascii="宋体" w:hAnsi="宋体"/>
                <w:kern w:val="0"/>
                <w:sz w:val="24"/>
              </w:rPr>
              <w:t>本项目依托已有厂房，无需新建生产车间等基础设施，不涉及土方开挖、地基修建，施工期主要为设备安装，大气污染物来源主要是施工扬尘。环评要求施工过程中通过加强管理、文明施工、轻拿轻放，并及时清扫地面尘土等措施来减小扬尘产生</w:t>
            </w:r>
            <w:r>
              <w:rPr>
                <w:rFonts w:ascii="宋体" w:hAnsi="宋体"/>
                <w:kern w:val="0"/>
                <w:sz w:val="24"/>
              </w:rPr>
              <w:t>。</w:t>
            </w:r>
          </w:p>
          <w:p w14:paraId="63AA5712">
            <w:pPr>
              <w:adjustRightInd w:val="0"/>
              <w:snapToGrid w:val="0"/>
              <w:spacing w:line="360" w:lineRule="auto"/>
              <w:ind w:firstLine="482" w:firstLineChars="200"/>
              <w:rPr>
                <w:b/>
                <w:sz w:val="24"/>
              </w:rPr>
            </w:pPr>
            <w:r>
              <w:rPr>
                <w:rFonts w:hint="eastAsia"/>
                <w:b/>
                <w:sz w:val="24"/>
              </w:rPr>
              <w:t>二、施工废水</w:t>
            </w:r>
          </w:p>
          <w:p w14:paraId="7B761121">
            <w:pPr>
              <w:autoSpaceDE w:val="0"/>
              <w:autoSpaceDN w:val="0"/>
              <w:adjustRightInd w:val="0"/>
              <w:spacing w:line="360" w:lineRule="auto"/>
              <w:ind w:firstLine="480" w:firstLineChars="200"/>
              <w:rPr>
                <w:rFonts w:hAnsi="宋体"/>
                <w:kern w:val="0"/>
                <w:sz w:val="24"/>
              </w:rPr>
            </w:pPr>
            <w:r>
              <w:rPr>
                <w:rFonts w:hint="eastAsia" w:ascii="宋体" w:hAnsi="宋体"/>
                <w:kern w:val="0"/>
                <w:sz w:val="24"/>
              </w:rPr>
              <w:t>本项目不涉及土建工程，施工期废水主要来源于施工人员产生的生活污水施工人员均不在厂内食宿，施工人员生活用水主要为洗手、上厕所等杂用水等。本项目施工期施工人员的生活污水依托已建化粪池处理后</w:t>
            </w:r>
            <w:r>
              <w:rPr>
                <w:rFonts w:hAnsi="宋体"/>
                <w:kern w:val="0"/>
                <w:sz w:val="24"/>
              </w:rPr>
              <w:t>外排至市政管网，纳入</w:t>
            </w:r>
            <w:r>
              <w:rPr>
                <w:rFonts w:hint="eastAsia"/>
                <w:sz w:val="24"/>
              </w:rPr>
              <w:t>衡阳西渡高新区污水处理厂深度处理</w:t>
            </w:r>
            <w:r>
              <w:rPr>
                <w:rFonts w:hint="eastAsia"/>
                <w:bCs/>
                <w:sz w:val="24"/>
              </w:rPr>
              <w:t>后排入蒸水</w:t>
            </w:r>
            <w:r>
              <w:rPr>
                <w:rFonts w:hint="eastAsia" w:ascii="宋体" w:hAnsi="宋体"/>
                <w:kern w:val="0"/>
                <w:sz w:val="24"/>
              </w:rPr>
              <w:t>，不会对地表水环境造成影响。</w:t>
            </w:r>
          </w:p>
          <w:p w14:paraId="53A09180">
            <w:pPr>
              <w:adjustRightInd w:val="0"/>
              <w:snapToGrid w:val="0"/>
              <w:spacing w:line="360" w:lineRule="auto"/>
              <w:ind w:firstLine="482" w:firstLineChars="200"/>
              <w:rPr>
                <w:b/>
                <w:bCs/>
                <w:sz w:val="24"/>
              </w:rPr>
            </w:pPr>
            <w:r>
              <w:rPr>
                <w:rFonts w:hint="eastAsia"/>
                <w:b/>
                <w:bCs/>
                <w:sz w:val="24"/>
              </w:rPr>
              <w:t>三、施工期噪声</w:t>
            </w:r>
          </w:p>
          <w:p w14:paraId="1E00AA78">
            <w:pPr>
              <w:spacing w:line="360" w:lineRule="auto"/>
              <w:ind w:firstLine="480" w:firstLineChars="200"/>
              <w:rPr>
                <w:rFonts w:hAnsi="宋体"/>
                <w:sz w:val="24"/>
              </w:rPr>
            </w:pPr>
            <w:r>
              <w:rPr>
                <w:rFonts w:hint="eastAsia" w:hAnsi="宋体"/>
                <w:sz w:val="24"/>
              </w:rPr>
              <w:t>施工噪声主要来自于场地清理、设备安装和设备调试阶段产生。噪声源主要包括场地清理和设备安装等使用施工机械的固定声源噪声。结合项目施工特点及其外环境关系情况，评价要求施工方应采取噪声防治措施，确保场界噪声满足《建筑施工场界环境噪声排放标准》（GB12523-2011）。采取以下措施防治施工噪声：</w:t>
            </w:r>
          </w:p>
          <w:p w14:paraId="2794B802">
            <w:pPr>
              <w:spacing w:line="360" w:lineRule="auto"/>
              <w:ind w:firstLine="480" w:firstLineChars="200"/>
              <w:rPr>
                <w:rFonts w:hAnsi="宋体"/>
                <w:sz w:val="24"/>
              </w:rPr>
            </w:pPr>
            <w:r>
              <w:rPr>
                <w:rFonts w:hint="eastAsia" w:hAnsi="宋体"/>
                <w:sz w:val="24"/>
              </w:rPr>
              <w:t>①加强管理，合理安排施工时间，尽量避开夜间施工。合理安排施工组织方案，尽量缩短施工周期，并合理安排施工时间。</w:t>
            </w:r>
          </w:p>
          <w:p w14:paraId="7ABBEA73">
            <w:pPr>
              <w:spacing w:line="360" w:lineRule="auto"/>
              <w:ind w:firstLine="480" w:firstLineChars="200"/>
              <w:rPr>
                <w:rFonts w:hAnsi="宋体"/>
                <w:sz w:val="24"/>
              </w:rPr>
            </w:pPr>
            <w:r>
              <w:rPr>
                <w:rFonts w:hint="eastAsia" w:hAnsi="宋体"/>
                <w:sz w:val="24"/>
              </w:rPr>
              <w:t>②在装卸施工设备时轻拿轻放。</w:t>
            </w:r>
          </w:p>
          <w:p w14:paraId="589ECA1B">
            <w:pPr>
              <w:spacing w:line="360" w:lineRule="auto"/>
              <w:ind w:firstLine="480" w:firstLineChars="200"/>
              <w:rPr>
                <w:rFonts w:hAnsi="宋体"/>
                <w:sz w:val="24"/>
              </w:rPr>
            </w:pPr>
            <w:r>
              <w:rPr>
                <w:rFonts w:hint="eastAsia" w:hAnsi="宋体"/>
                <w:sz w:val="24"/>
              </w:rPr>
              <w:t>③在设备选型时尽量采用低噪声设备;对噪声较大的设备，采取隔声降噪措施。尤其是要严格控制施工机械噪声值在85dB（A）以上的作业。</w:t>
            </w:r>
          </w:p>
          <w:p w14:paraId="595E1BB5">
            <w:pPr>
              <w:spacing w:line="360" w:lineRule="auto"/>
              <w:ind w:firstLine="480" w:firstLineChars="200"/>
              <w:rPr>
                <w:rFonts w:hAnsi="宋体"/>
                <w:sz w:val="24"/>
              </w:rPr>
            </w:pPr>
            <w:r>
              <w:rPr>
                <w:rFonts w:hint="eastAsia" w:hAnsi="宋体"/>
                <w:sz w:val="24"/>
              </w:rPr>
              <w:t>④在室内施工时期，关闭窗户，并做到文明施工。</w:t>
            </w:r>
          </w:p>
          <w:p w14:paraId="4A062D7A">
            <w:pPr>
              <w:adjustRightInd w:val="0"/>
              <w:snapToGrid w:val="0"/>
              <w:spacing w:line="360" w:lineRule="auto"/>
              <w:ind w:firstLine="482" w:firstLineChars="200"/>
              <w:rPr>
                <w:b/>
                <w:bCs/>
                <w:sz w:val="24"/>
              </w:rPr>
            </w:pPr>
            <w:r>
              <w:rPr>
                <w:rFonts w:hint="eastAsia"/>
                <w:b/>
                <w:bCs/>
                <w:sz w:val="24"/>
              </w:rPr>
              <w:t>四、</w:t>
            </w:r>
            <w:r>
              <w:rPr>
                <w:b/>
                <w:bCs/>
                <w:sz w:val="24"/>
              </w:rPr>
              <w:t>施工期</w:t>
            </w:r>
            <w:r>
              <w:rPr>
                <w:rFonts w:hint="eastAsia"/>
                <w:b/>
                <w:bCs/>
                <w:sz w:val="24"/>
              </w:rPr>
              <w:t>固体废物污染防治措施</w:t>
            </w:r>
          </w:p>
          <w:p w14:paraId="6201D953">
            <w:pPr>
              <w:spacing w:line="360" w:lineRule="auto"/>
              <w:ind w:firstLine="480" w:firstLineChars="200"/>
              <w:rPr>
                <w:rFonts w:ascii="宋体" w:hAnsi="宋体"/>
                <w:sz w:val="24"/>
              </w:rPr>
            </w:pPr>
            <w:r>
              <w:rPr>
                <w:rFonts w:hint="eastAsia"/>
                <w:sz w:val="24"/>
              </w:rPr>
              <w:t>施工固废产生主要是场地清理、设备安装和设备调试阶段，产生装修垃圾以及施工人员的生活垃圾。装修垃圾主要包括装修时的废木料、水泥、砂石、包装袋、金属材料等，采用分类收集，可回用的尽量回收利用，不能回用的垃圾收集暂存、运往指定的堆场暂存。生活垃圾集中收集由环卫部门统一处理项目施工期较短，施工期对外环境影响较小，且施工结束后施工期影响将消失</w:t>
            </w:r>
            <w:r>
              <w:rPr>
                <w:rFonts w:hint="eastAsia" w:ascii="宋体" w:hAnsi="宋体"/>
                <w:sz w:val="24"/>
              </w:rPr>
              <w:t>。</w:t>
            </w:r>
          </w:p>
        </w:tc>
      </w:tr>
      <w:tr w14:paraId="1211FA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64" w:type="pct"/>
            <w:tcMar>
              <w:left w:w="28" w:type="dxa"/>
              <w:right w:w="28" w:type="dxa"/>
            </w:tcMar>
            <w:vAlign w:val="center"/>
          </w:tcPr>
          <w:p w14:paraId="35F1553D">
            <w:pPr>
              <w:adjustRightInd w:val="0"/>
              <w:snapToGrid w:val="0"/>
              <w:jc w:val="center"/>
              <w:rPr>
                <w:rFonts w:ascii="宋体" w:hAnsi="宋体" w:cs="宋体"/>
                <w:b/>
                <w:bCs/>
                <w:sz w:val="24"/>
              </w:rPr>
            </w:pPr>
            <w:r>
              <w:rPr>
                <w:rFonts w:hint="eastAsia" w:ascii="宋体" w:hAnsi="宋体" w:cs="宋体"/>
                <w:b/>
                <w:bCs/>
                <w:sz w:val="24"/>
              </w:rPr>
              <w:t>运营</w:t>
            </w:r>
          </w:p>
          <w:p w14:paraId="7D0FD3AA">
            <w:pPr>
              <w:adjustRightInd w:val="0"/>
              <w:snapToGrid w:val="0"/>
              <w:jc w:val="center"/>
              <w:rPr>
                <w:rFonts w:ascii="宋体" w:hAnsi="宋体" w:cs="宋体"/>
                <w:b/>
                <w:bCs/>
                <w:sz w:val="24"/>
              </w:rPr>
            </w:pPr>
            <w:r>
              <w:rPr>
                <w:rFonts w:hint="eastAsia" w:ascii="宋体" w:hAnsi="宋体" w:cs="宋体"/>
                <w:b/>
                <w:bCs/>
                <w:sz w:val="24"/>
              </w:rPr>
              <w:t>期环</w:t>
            </w:r>
          </w:p>
          <w:p w14:paraId="48A0063F">
            <w:pPr>
              <w:adjustRightInd w:val="0"/>
              <w:snapToGrid w:val="0"/>
              <w:jc w:val="center"/>
              <w:rPr>
                <w:rFonts w:ascii="宋体" w:hAnsi="宋体" w:cs="宋体"/>
                <w:b/>
                <w:bCs/>
                <w:sz w:val="24"/>
              </w:rPr>
            </w:pPr>
            <w:r>
              <w:rPr>
                <w:rFonts w:hint="eastAsia" w:ascii="宋体" w:hAnsi="宋体" w:cs="宋体"/>
                <w:b/>
                <w:bCs/>
                <w:sz w:val="24"/>
              </w:rPr>
              <w:t>境影</w:t>
            </w:r>
          </w:p>
          <w:p w14:paraId="2EBDD791">
            <w:pPr>
              <w:adjustRightInd w:val="0"/>
              <w:snapToGrid w:val="0"/>
              <w:jc w:val="center"/>
              <w:rPr>
                <w:rFonts w:ascii="宋体" w:hAnsi="宋体" w:cs="宋体"/>
                <w:b/>
                <w:bCs/>
                <w:sz w:val="24"/>
              </w:rPr>
            </w:pPr>
            <w:r>
              <w:rPr>
                <w:rFonts w:hint="eastAsia" w:ascii="宋体" w:hAnsi="宋体" w:cs="宋体"/>
                <w:b/>
                <w:bCs/>
                <w:sz w:val="24"/>
              </w:rPr>
              <w:t>响和</w:t>
            </w:r>
          </w:p>
          <w:p w14:paraId="11B40402">
            <w:pPr>
              <w:adjustRightInd w:val="0"/>
              <w:snapToGrid w:val="0"/>
              <w:jc w:val="center"/>
              <w:rPr>
                <w:rFonts w:ascii="宋体" w:hAnsi="宋体" w:cs="宋体"/>
                <w:b/>
                <w:bCs/>
                <w:sz w:val="24"/>
              </w:rPr>
            </w:pPr>
            <w:r>
              <w:rPr>
                <w:rFonts w:hint="eastAsia" w:ascii="宋体" w:hAnsi="宋体" w:cs="宋体"/>
                <w:b/>
                <w:bCs/>
                <w:sz w:val="24"/>
              </w:rPr>
              <w:t>保护</w:t>
            </w:r>
          </w:p>
          <w:p w14:paraId="0E3362D2">
            <w:pPr>
              <w:adjustRightInd w:val="0"/>
              <w:snapToGrid w:val="0"/>
              <w:jc w:val="center"/>
              <w:rPr>
                <w:rFonts w:ascii="宋体" w:hAnsi="宋体" w:cs="宋体"/>
                <w:b/>
                <w:bCs/>
                <w:sz w:val="24"/>
              </w:rPr>
            </w:pPr>
            <w:r>
              <w:rPr>
                <w:rFonts w:hint="eastAsia" w:ascii="宋体" w:hAnsi="宋体" w:cs="宋体"/>
                <w:b/>
                <w:bCs/>
                <w:sz w:val="24"/>
              </w:rPr>
              <w:t>措施</w:t>
            </w:r>
          </w:p>
        </w:tc>
        <w:tc>
          <w:tcPr>
            <w:tcW w:w="4736" w:type="pct"/>
            <w:vAlign w:val="center"/>
          </w:tcPr>
          <w:p w14:paraId="1C450C70">
            <w:pPr>
              <w:adjustRightInd w:val="0"/>
              <w:snapToGrid w:val="0"/>
              <w:spacing w:line="360" w:lineRule="auto"/>
              <w:ind w:firstLine="482" w:firstLineChars="200"/>
              <w:rPr>
                <w:b/>
                <w:sz w:val="24"/>
              </w:rPr>
            </w:pPr>
            <w:r>
              <w:rPr>
                <w:b/>
                <w:sz w:val="24"/>
              </w:rPr>
              <w:t>一、废气</w:t>
            </w:r>
          </w:p>
          <w:p w14:paraId="643DEE99">
            <w:pPr>
              <w:adjustRightInd w:val="0"/>
              <w:snapToGrid w:val="0"/>
              <w:spacing w:line="360" w:lineRule="auto"/>
              <w:ind w:firstLine="482" w:firstLineChars="200"/>
              <w:rPr>
                <w:b/>
                <w:sz w:val="24"/>
              </w:rPr>
            </w:pPr>
            <w:r>
              <w:rPr>
                <w:rFonts w:hint="eastAsia"/>
                <w:b/>
                <w:sz w:val="24"/>
              </w:rPr>
              <w:t>1、废气源强</w:t>
            </w:r>
          </w:p>
          <w:p w14:paraId="7CCBC642">
            <w:pPr>
              <w:autoSpaceDE w:val="0"/>
              <w:spacing w:line="360" w:lineRule="auto"/>
              <w:ind w:firstLine="480" w:firstLineChars="200"/>
              <w:rPr>
                <w:rFonts w:hAnsi="宋体"/>
                <w:sz w:val="24"/>
              </w:rPr>
            </w:pPr>
            <w:bookmarkStart w:id="39" w:name="OLE_LINK33"/>
            <w:bookmarkStart w:id="40" w:name="OLE_LINK34"/>
            <w:r>
              <w:rPr>
                <w:rFonts w:hint="eastAsia" w:hAnsi="宋体"/>
                <w:sz w:val="24"/>
              </w:rPr>
              <w:t>本项目营运期大气污染物主要有：原料堆场装卸及风力扬尘、投料粉尘、破碎粉尘、传送带输送粉尘、磨粉粉尘、储存筒仓粉尘、包装粉尘、运输扬尘等</w:t>
            </w:r>
            <w:bookmarkEnd w:id="39"/>
            <w:bookmarkEnd w:id="40"/>
            <w:r>
              <w:rPr>
                <w:rFonts w:hint="eastAsia" w:hAnsi="宋体"/>
                <w:sz w:val="24"/>
              </w:rPr>
              <w:t>。</w:t>
            </w:r>
          </w:p>
          <w:p w14:paraId="0ED8A2A4">
            <w:pPr>
              <w:autoSpaceDE w:val="0"/>
              <w:spacing w:line="360" w:lineRule="auto"/>
              <w:ind w:firstLine="482" w:firstLineChars="200"/>
              <w:rPr>
                <w:rFonts w:hAnsi="宋体"/>
                <w:b/>
                <w:sz w:val="24"/>
                <w:u w:val="wave"/>
              </w:rPr>
            </w:pPr>
            <w:r>
              <w:rPr>
                <w:rFonts w:hAnsi="宋体"/>
                <w:b/>
                <w:sz w:val="24"/>
                <w:u w:val="wave"/>
              </w:rPr>
              <w:t>（</w:t>
            </w:r>
            <w:r>
              <w:rPr>
                <w:rFonts w:hint="eastAsia" w:hAnsi="宋体"/>
                <w:b/>
                <w:sz w:val="24"/>
                <w:u w:val="wave"/>
              </w:rPr>
              <w:t>1</w:t>
            </w:r>
            <w:r>
              <w:rPr>
                <w:rFonts w:hAnsi="宋体"/>
                <w:b/>
                <w:sz w:val="24"/>
                <w:u w:val="wave"/>
              </w:rPr>
              <w:t>）</w:t>
            </w:r>
            <w:bookmarkStart w:id="41" w:name="OLE_LINK32"/>
            <w:bookmarkStart w:id="42" w:name="OLE_LINK31"/>
            <w:r>
              <w:rPr>
                <w:rFonts w:hAnsi="宋体"/>
                <w:b/>
                <w:sz w:val="24"/>
                <w:u w:val="wave"/>
              </w:rPr>
              <w:t>原料堆场装卸及风力扬尘</w:t>
            </w:r>
            <w:bookmarkEnd w:id="41"/>
            <w:bookmarkEnd w:id="42"/>
          </w:p>
          <w:p w14:paraId="5888D17B">
            <w:pPr>
              <w:autoSpaceDE w:val="0"/>
              <w:spacing w:line="360" w:lineRule="auto"/>
              <w:ind w:firstLine="480" w:firstLineChars="200"/>
              <w:rPr>
                <w:rFonts w:hAnsi="宋体"/>
                <w:sz w:val="24"/>
                <w:u w:val="wave"/>
              </w:rPr>
            </w:pPr>
            <w:r>
              <w:rPr>
                <w:rFonts w:hint="eastAsia" w:hAnsi="宋体"/>
                <w:sz w:val="24"/>
                <w:u w:val="wave"/>
              </w:rPr>
              <w:t>本项目成品通过管道输送到成品筒仓中，堆场粉尘主要来源于原料区。原料区位于密闭厂房内，占地约1000m</w:t>
            </w:r>
            <w:r>
              <w:rPr>
                <w:rFonts w:hint="eastAsia" w:hAnsi="宋体"/>
                <w:sz w:val="24"/>
                <w:u w:val="wave"/>
                <w:vertAlign w:val="superscript"/>
              </w:rPr>
              <w:t>2</w:t>
            </w:r>
            <w:r>
              <w:rPr>
                <w:rFonts w:hint="eastAsia" w:hAnsi="宋体"/>
                <w:sz w:val="24"/>
                <w:u w:val="wave"/>
              </w:rPr>
              <w:t>。原料装卸可按以下两种情形考虑：</w:t>
            </w:r>
          </w:p>
          <w:p w14:paraId="29196D1E">
            <w:pPr>
              <w:autoSpaceDE w:val="0"/>
              <w:spacing w:line="360" w:lineRule="auto"/>
              <w:ind w:firstLine="480" w:firstLineChars="200"/>
              <w:rPr>
                <w:rFonts w:hAnsi="宋体"/>
                <w:sz w:val="24"/>
                <w:u w:val="wave"/>
              </w:rPr>
            </w:pPr>
            <w:r>
              <w:rPr>
                <w:rFonts w:hint="eastAsia" w:hAnsi="宋体"/>
                <w:sz w:val="24"/>
                <w:u w:val="wave"/>
              </w:rPr>
              <w:t>①原料由货车运抵本场后自卸料堆放在原料堆场（卸料过程），卸料量4万吨。</w:t>
            </w:r>
          </w:p>
          <w:p w14:paraId="64DB57AD">
            <w:pPr>
              <w:autoSpaceDE w:val="0"/>
              <w:spacing w:line="360" w:lineRule="auto"/>
              <w:ind w:firstLine="480" w:firstLineChars="200"/>
              <w:rPr>
                <w:rFonts w:hAnsi="宋体"/>
                <w:sz w:val="24"/>
                <w:u w:val="wave"/>
              </w:rPr>
            </w:pPr>
            <w:r>
              <w:rPr>
                <w:rFonts w:hint="eastAsia" w:hAnsi="宋体"/>
                <w:sz w:val="24"/>
                <w:u w:val="wave"/>
              </w:rPr>
              <w:t>②生产时由装载机将原料装入自身斗中（视为装料过程），装料量为4万吨。</w:t>
            </w:r>
          </w:p>
          <w:p w14:paraId="2E74FBC1">
            <w:pPr>
              <w:autoSpaceDE w:val="0"/>
              <w:spacing w:line="360" w:lineRule="auto"/>
              <w:ind w:firstLine="480" w:firstLineChars="200"/>
              <w:rPr>
                <w:rFonts w:hAnsi="宋体"/>
                <w:sz w:val="24"/>
                <w:u w:val="wave"/>
              </w:rPr>
            </w:pPr>
            <w:r>
              <w:rPr>
                <w:rFonts w:hint="eastAsia" w:hAnsi="宋体"/>
                <w:sz w:val="24"/>
                <w:u w:val="wave"/>
              </w:rPr>
              <w:t>原料堆料场扬尘包括原料装卸扬尘和堆料场风力扬尘，根据</w:t>
            </w:r>
            <w:bookmarkStart w:id="43" w:name="OLE_LINK4"/>
            <w:r>
              <w:rPr>
                <w:rFonts w:hint="eastAsia" w:hAnsi="宋体"/>
                <w:sz w:val="24"/>
                <w:u w:val="wave"/>
              </w:rPr>
              <w:t>《工业源固体物料堆场颗粒物核算系数手册》，附表2“固体物料堆存颗粒物产排污核算系数”</w:t>
            </w:r>
            <w:bookmarkEnd w:id="43"/>
            <w:r>
              <w:rPr>
                <w:rFonts w:hint="eastAsia" w:hAnsi="宋体"/>
                <w:sz w:val="24"/>
                <w:u w:val="wave"/>
              </w:rPr>
              <w:t>颗粒物产生量核算公式如下：</w:t>
            </w:r>
          </w:p>
          <w:p w14:paraId="7F21E693">
            <w:pPr>
              <w:autoSpaceDE w:val="0"/>
              <w:spacing w:line="360" w:lineRule="auto"/>
              <w:ind w:firstLine="420" w:firstLineChars="200"/>
              <w:jc w:val="center"/>
              <w:rPr>
                <w:rFonts w:hAnsi="宋体"/>
                <w:sz w:val="24"/>
                <w:u w:val="wave"/>
              </w:rPr>
            </w:pPr>
            <w:r>
              <w:rPr>
                <w:color w:val="000000"/>
                <w:u w:val="wave"/>
              </w:rPr>
              <w:drawing>
                <wp:inline distT="0" distB="0" distL="114300" distR="114300">
                  <wp:extent cx="3876040" cy="485140"/>
                  <wp:effectExtent l="0" t="0" r="10160" b="1016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13"/>
                          <a:stretch>
                            <a:fillRect/>
                          </a:stretch>
                        </pic:blipFill>
                        <pic:spPr>
                          <a:xfrm>
                            <a:off x="0" y="0"/>
                            <a:ext cx="3876040" cy="485140"/>
                          </a:xfrm>
                          <a:prstGeom prst="rect">
                            <a:avLst/>
                          </a:prstGeom>
                          <a:noFill/>
                          <a:ln>
                            <a:noFill/>
                          </a:ln>
                        </pic:spPr>
                      </pic:pic>
                    </a:graphicData>
                  </a:graphic>
                </wp:inline>
              </w:drawing>
            </w:r>
          </w:p>
          <w:p w14:paraId="73EF83B8">
            <w:pPr>
              <w:spacing w:line="360" w:lineRule="auto"/>
              <w:ind w:firstLine="480" w:firstLineChars="200"/>
              <w:rPr>
                <w:color w:val="000000"/>
                <w:sz w:val="24"/>
                <w:u w:val="wave"/>
              </w:rPr>
            </w:pPr>
            <w:r>
              <w:rPr>
                <w:color w:val="000000"/>
                <w:sz w:val="24"/>
                <w:u w:val="wave"/>
              </w:rPr>
              <w:t>式中：P—指颗粒物产生量（单位：吨）；</w:t>
            </w:r>
          </w:p>
          <w:p w14:paraId="32FF1FD8">
            <w:pPr>
              <w:spacing w:line="360" w:lineRule="auto"/>
              <w:ind w:firstLine="1200" w:firstLineChars="500"/>
              <w:rPr>
                <w:color w:val="000000"/>
                <w:sz w:val="24"/>
                <w:u w:val="wave"/>
              </w:rPr>
            </w:pPr>
            <w:r>
              <w:rPr>
                <w:color w:val="000000"/>
                <w:sz w:val="24"/>
                <w:u w:val="wave"/>
              </w:rPr>
              <w:t>ZC</w:t>
            </w:r>
            <w:r>
              <w:rPr>
                <w:color w:val="000000"/>
                <w:sz w:val="24"/>
                <w:u w:val="wave"/>
                <w:vertAlign w:val="subscript"/>
              </w:rPr>
              <w:t>y</w:t>
            </w:r>
            <w:r>
              <w:rPr>
                <w:color w:val="000000"/>
                <w:sz w:val="24"/>
                <w:u w:val="wave"/>
              </w:rPr>
              <w:t xml:space="preserve">—指装卸扬尘产生量（单位：吨）； </w:t>
            </w:r>
          </w:p>
          <w:p w14:paraId="6E779EF6">
            <w:pPr>
              <w:spacing w:line="360" w:lineRule="auto"/>
              <w:ind w:firstLine="1200" w:firstLineChars="500"/>
              <w:rPr>
                <w:color w:val="000000"/>
                <w:sz w:val="24"/>
                <w:u w:val="wave"/>
              </w:rPr>
            </w:pPr>
            <w:r>
              <w:rPr>
                <w:color w:val="000000"/>
                <w:sz w:val="24"/>
                <w:u w:val="wave"/>
              </w:rPr>
              <w:t>FC</w:t>
            </w:r>
            <w:r>
              <w:rPr>
                <w:color w:val="000000"/>
                <w:sz w:val="24"/>
                <w:u w:val="wave"/>
                <w:vertAlign w:val="subscript"/>
              </w:rPr>
              <w:t>y</w:t>
            </w:r>
            <w:r>
              <w:rPr>
                <w:color w:val="000000"/>
                <w:sz w:val="24"/>
                <w:u w:val="wave"/>
              </w:rPr>
              <w:t xml:space="preserve">—指风蚀扬尘产生量（单位：吨）； </w:t>
            </w:r>
          </w:p>
          <w:p w14:paraId="16F2E1ED">
            <w:pPr>
              <w:spacing w:line="360" w:lineRule="auto"/>
              <w:ind w:firstLine="1200" w:firstLineChars="500"/>
              <w:rPr>
                <w:color w:val="000000"/>
                <w:sz w:val="24"/>
                <w:u w:val="wave"/>
              </w:rPr>
            </w:pPr>
            <w:r>
              <w:rPr>
                <w:color w:val="000000"/>
                <w:sz w:val="24"/>
                <w:u w:val="wave"/>
              </w:rPr>
              <w:t>N</w:t>
            </w:r>
            <w:r>
              <w:rPr>
                <w:color w:val="000000"/>
                <w:sz w:val="24"/>
                <w:u w:val="wave"/>
                <w:vertAlign w:val="subscript"/>
              </w:rPr>
              <w:t>c</w:t>
            </w:r>
            <w:r>
              <w:rPr>
                <w:color w:val="000000"/>
                <w:sz w:val="24"/>
                <w:u w:val="wave"/>
              </w:rPr>
              <w:t>—指年物料运载车次（单位：车）；</w:t>
            </w:r>
          </w:p>
          <w:p w14:paraId="6AE942F0">
            <w:pPr>
              <w:spacing w:line="360" w:lineRule="auto"/>
              <w:ind w:firstLine="1200" w:firstLineChars="500"/>
              <w:rPr>
                <w:color w:val="000000"/>
                <w:sz w:val="24"/>
                <w:u w:val="wave"/>
              </w:rPr>
            </w:pPr>
            <w:r>
              <w:rPr>
                <w:color w:val="000000"/>
                <w:sz w:val="24"/>
                <w:u w:val="wave"/>
              </w:rPr>
              <w:t>D—指单车平均运载量（单位：吨/车）；</w:t>
            </w:r>
          </w:p>
          <w:p w14:paraId="1F665D2F">
            <w:pPr>
              <w:spacing w:line="360" w:lineRule="auto"/>
              <w:ind w:firstLine="1200" w:firstLineChars="500"/>
              <w:rPr>
                <w:color w:val="000000"/>
                <w:sz w:val="24"/>
                <w:u w:val="wave"/>
              </w:rPr>
            </w:pPr>
            <w:r>
              <w:rPr>
                <w:rFonts w:hint="eastAsia"/>
                <w:color w:val="000000"/>
                <w:sz w:val="24"/>
                <w:u w:val="wave"/>
              </w:rPr>
              <w:t>（a/b）</w:t>
            </w:r>
            <w:r>
              <w:rPr>
                <w:color w:val="000000"/>
                <w:sz w:val="24"/>
                <w:u w:val="wave"/>
              </w:rPr>
              <w:t>—指装卸扬尘概化系数（单位：千克/吨），a指各省风速概化系数，b指物料含水率概化系数；</w:t>
            </w:r>
          </w:p>
          <w:p w14:paraId="68567785">
            <w:pPr>
              <w:spacing w:line="360" w:lineRule="auto"/>
              <w:ind w:firstLine="1200" w:firstLineChars="500"/>
              <w:rPr>
                <w:color w:val="000000"/>
                <w:sz w:val="24"/>
                <w:u w:val="wave"/>
              </w:rPr>
            </w:pPr>
            <w:r>
              <w:rPr>
                <w:color w:val="000000"/>
                <w:sz w:val="24"/>
                <w:u w:val="wave"/>
              </w:rPr>
              <w:t>E</w:t>
            </w:r>
            <w:r>
              <w:rPr>
                <w:color w:val="000000"/>
                <w:sz w:val="24"/>
                <w:u w:val="wave"/>
                <w:vertAlign w:val="subscript"/>
              </w:rPr>
              <w:t>f</w:t>
            </w:r>
            <w:r>
              <w:rPr>
                <w:color w:val="000000"/>
                <w:sz w:val="24"/>
                <w:u w:val="wave"/>
              </w:rPr>
              <w:t>—指堆场风蚀扬尘概化系数，（单位：千克/平方米）；</w:t>
            </w:r>
          </w:p>
          <w:p w14:paraId="7DD83AA4">
            <w:pPr>
              <w:spacing w:line="360" w:lineRule="auto"/>
              <w:ind w:firstLine="1200" w:firstLineChars="500"/>
              <w:rPr>
                <w:color w:val="000000"/>
                <w:sz w:val="24"/>
                <w:u w:val="wave"/>
              </w:rPr>
            </w:pPr>
            <w:r>
              <w:rPr>
                <w:color w:val="000000"/>
                <w:sz w:val="24"/>
                <w:u w:val="wave"/>
              </w:rPr>
              <w:t>S—指堆场占地面积（单位：平方米）</w:t>
            </w:r>
            <w:r>
              <w:rPr>
                <w:rFonts w:hint="eastAsia" w:hAnsi="宋体"/>
                <w:sz w:val="24"/>
                <w:u w:val="wave"/>
              </w:rPr>
              <w:t>。</w:t>
            </w:r>
          </w:p>
          <w:p w14:paraId="29D6E07B">
            <w:pPr>
              <w:autoSpaceDE w:val="0"/>
              <w:spacing w:line="360" w:lineRule="auto"/>
              <w:ind w:firstLine="480" w:firstLineChars="200"/>
              <w:rPr>
                <w:rFonts w:hAnsi="宋体"/>
                <w:sz w:val="24"/>
                <w:u w:val="wave"/>
              </w:rPr>
            </w:pPr>
            <w:bookmarkStart w:id="44" w:name="OLE_LINK37"/>
            <w:r>
              <w:rPr>
                <w:rFonts w:hint="eastAsia" w:hAnsi="宋体"/>
                <w:sz w:val="24"/>
                <w:u w:val="wave"/>
              </w:rPr>
              <w:t>本项目原料装卸为8万吨/年（卸料4万吨/年、装料4万吨/年），</w:t>
            </w:r>
            <w:bookmarkEnd w:id="44"/>
            <w:r>
              <w:rPr>
                <w:rFonts w:hint="eastAsia"/>
                <w:color w:val="000000"/>
                <w:sz w:val="24"/>
                <w:u w:val="wave"/>
              </w:rPr>
              <w:t>原料采用载重量25t的货车运至车间内卸料，</w:t>
            </w:r>
            <w:bookmarkStart w:id="45" w:name="OLE_LINK35"/>
            <w:bookmarkStart w:id="46" w:name="OLE_LINK36"/>
            <w:r>
              <w:rPr>
                <w:rFonts w:hint="eastAsia"/>
                <w:color w:val="000000"/>
                <w:sz w:val="24"/>
                <w:u w:val="wave"/>
              </w:rPr>
              <w:t>生产时采用载重量4t的装载机进行装料，</w:t>
            </w:r>
            <w:bookmarkEnd w:id="45"/>
            <w:bookmarkEnd w:id="46"/>
            <w:bookmarkStart w:id="47" w:name="OLE_LINK38"/>
            <w:bookmarkStart w:id="48" w:name="OLE_LINK39"/>
            <w:r>
              <w:rPr>
                <w:rFonts w:hint="eastAsia"/>
                <w:color w:val="000000"/>
                <w:sz w:val="24"/>
                <w:u w:val="wave"/>
              </w:rPr>
              <w:t>运载车次合计为11600次</w:t>
            </w:r>
            <w:bookmarkEnd w:id="47"/>
            <w:bookmarkEnd w:id="48"/>
            <w:r>
              <w:rPr>
                <w:rFonts w:hint="eastAsia"/>
                <w:color w:val="000000"/>
                <w:sz w:val="24"/>
                <w:u w:val="wave"/>
              </w:rPr>
              <w:t>；项目位于湖南省，</w:t>
            </w:r>
            <w:r>
              <w:rPr>
                <w:color w:val="000000"/>
                <w:sz w:val="24"/>
                <w:u w:val="wave"/>
              </w:rPr>
              <w:t>风速概化系数a</w:t>
            </w:r>
            <w:r>
              <w:rPr>
                <w:rFonts w:hint="eastAsia"/>
                <w:color w:val="000000"/>
                <w:sz w:val="24"/>
                <w:u w:val="wave"/>
              </w:rPr>
              <w:t>=0.0008；本项目原料含水率5%，</w:t>
            </w:r>
            <w:r>
              <w:rPr>
                <w:color w:val="000000"/>
                <w:sz w:val="24"/>
                <w:u w:val="wave"/>
              </w:rPr>
              <w:t>类比</w:t>
            </w:r>
            <w:r>
              <w:rPr>
                <w:rFonts w:hint="eastAsia"/>
                <w:color w:val="000000"/>
                <w:sz w:val="24"/>
                <w:u w:val="wave"/>
              </w:rPr>
              <w:t>块矿（含水率5.4%）堆场</w:t>
            </w:r>
            <w:r>
              <w:rPr>
                <w:color w:val="000000"/>
                <w:sz w:val="24"/>
                <w:u w:val="wave"/>
              </w:rPr>
              <w:t>含水率概化系数，b</w:t>
            </w:r>
            <w:r>
              <w:rPr>
                <w:rFonts w:hint="eastAsia"/>
                <w:color w:val="000000"/>
                <w:sz w:val="24"/>
                <w:u w:val="wave"/>
              </w:rPr>
              <w:t>=0.0064；本项目为块状原料，参照块矿堆场风蚀扬尘概化系数，E</w:t>
            </w:r>
            <w:r>
              <w:rPr>
                <w:rFonts w:hint="eastAsia"/>
                <w:color w:val="000000"/>
                <w:sz w:val="24"/>
                <w:u w:val="wave"/>
                <w:vertAlign w:val="subscript"/>
              </w:rPr>
              <w:t>f</w:t>
            </w:r>
            <w:r>
              <w:rPr>
                <w:rFonts w:hint="eastAsia"/>
                <w:color w:val="000000"/>
                <w:sz w:val="24"/>
                <w:u w:val="wave"/>
              </w:rPr>
              <w:t>=0；</w:t>
            </w:r>
            <w:r>
              <w:rPr>
                <w:color w:val="000000"/>
                <w:sz w:val="24"/>
                <w:u w:val="wave"/>
              </w:rPr>
              <w:t>S指堆场占地面积，</w:t>
            </w:r>
            <w:r>
              <w:rPr>
                <w:rFonts w:hint="eastAsia"/>
                <w:color w:val="000000"/>
                <w:sz w:val="24"/>
                <w:u w:val="wave"/>
              </w:rPr>
              <w:t>S=1000</w:t>
            </w:r>
            <w:r>
              <w:rPr>
                <w:rFonts w:hint="eastAsia" w:hAnsi="宋体"/>
                <w:sz w:val="24"/>
                <w:u w:val="wave"/>
              </w:rPr>
              <w:t>m</w:t>
            </w:r>
            <w:r>
              <w:rPr>
                <w:rFonts w:hint="eastAsia" w:hAnsi="宋体"/>
                <w:sz w:val="24"/>
                <w:u w:val="wave"/>
                <w:vertAlign w:val="superscript"/>
              </w:rPr>
              <w:t>2</w:t>
            </w:r>
            <w:r>
              <w:rPr>
                <w:rFonts w:hint="eastAsia" w:hAnsi="宋体"/>
                <w:sz w:val="24"/>
                <w:u w:val="wave"/>
              </w:rPr>
              <w:t>。</w:t>
            </w:r>
          </w:p>
          <w:p w14:paraId="09AA2A3A">
            <w:pPr>
              <w:autoSpaceDE w:val="0"/>
              <w:spacing w:line="360" w:lineRule="auto"/>
              <w:ind w:firstLine="480" w:firstLineChars="200"/>
              <w:rPr>
                <w:rFonts w:hAnsi="宋体"/>
                <w:sz w:val="24"/>
                <w:u w:val="wave"/>
              </w:rPr>
            </w:pPr>
            <w:r>
              <w:rPr>
                <w:rFonts w:hint="eastAsia" w:hAnsi="宋体"/>
                <w:sz w:val="24"/>
                <w:u w:val="wave"/>
              </w:rPr>
              <w:t>经计算，本项目堆场扬尘及装卸扬尘产生量约10t/a，4.167kg/h</w:t>
            </w:r>
            <w:r>
              <w:rPr>
                <w:rFonts w:hAnsi="宋体"/>
                <w:sz w:val="24"/>
                <w:u w:val="wave"/>
              </w:rPr>
              <w:t>。</w:t>
            </w:r>
          </w:p>
          <w:p w14:paraId="4404D2D1">
            <w:pPr>
              <w:autoSpaceDE w:val="0"/>
              <w:spacing w:line="360" w:lineRule="auto"/>
              <w:ind w:firstLine="480" w:firstLineChars="200"/>
              <w:rPr>
                <w:rFonts w:hAnsi="宋体"/>
                <w:sz w:val="24"/>
                <w:u w:val="wave"/>
              </w:rPr>
            </w:pPr>
            <w:r>
              <w:rPr>
                <w:rFonts w:hint="eastAsia" w:hAnsi="宋体"/>
                <w:sz w:val="24"/>
                <w:u w:val="wave"/>
              </w:rPr>
              <w:t>企业原料堆场设置在封闭式的标准厂房内部，厂房设置有排风扇，空间大，原料在进场前均清洗干净，块状或粒状，产尘量较少，通过加强堆场管理，降低装卸高度、定期对地面清扫、堆场周围设置水雾喷淋装置等措施，以降低无组织粉尘的逸散。参考生态环境部《排放源统计调查产排污核算方法和系数手册》附表2固体物料堆存颗粒物产排污核算系数手册中“洒水措施的抑尘效率为74%和密闭式堆场控制效率为99%”，考虑到厂房进出口的影响，密闭厂房控制效率取80%，则粉尘综合去除效率按94.8%计算，故本项目卸料和原料堆存过程中产生的粉尘的排放量约为0.52t/a。</w:t>
            </w:r>
          </w:p>
          <w:p w14:paraId="6D8A60B3">
            <w:pPr>
              <w:autoSpaceDE w:val="0"/>
              <w:spacing w:line="360" w:lineRule="auto"/>
              <w:ind w:firstLine="482" w:firstLineChars="200"/>
              <w:rPr>
                <w:rFonts w:hAnsi="宋体"/>
                <w:b/>
                <w:sz w:val="24"/>
                <w:u w:val="wave"/>
              </w:rPr>
            </w:pPr>
            <w:r>
              <w:rPr>
                <w:rFonts w:hint="eastAsia" w:hAnsi="宋体"/>
                <w:b/>
                <w:sz w:val="24"/>
                <w:u w:val="wave"/>
              </w:rPr>
              <w:t>（2）投料粉尘</w:t>
            </w:r>
          </w:p>
          <w:p w14:paraId="7B3E85A4">
            <w:pPr>
              <w:autoSpaceDE w:val="0"/>
              <w:spacing w:line="360" w:lineRule="auto"/>
              <w:ind w:firstLine="480" w:firstLineChars="200"/>
              <w:rPr>
                <w:color w:val="000000"/>
                <w:sz w:val="24"/>
                <w:u w:val="wave"/>
              </w:rPr>
            </w:pPr>
            <w:r>
              <w:rPr>
                <w:rFonts w:hint="eastAsia" w:hAnsi="宋体"/>
                <w:sz w:val="24"/>
                <w:u w:val="wave"/>
              </w:rPr>
              <w:t>企业原料通过铲车输送到投料斗内，该工序在投料过程中会产生粉尘，</w:t>
            </w:r>
            <w:r>
              <w:rPr>
                <w:color w:val="000000"/>
                <w:sz w:val="24"/>
                <w:u w:val="wave"/>
              </w:rPr>
              <w:t>本次环评采用上文中</w:t>
            </w:r>
            <w:r>
              <w:rPr>
                <w:rFonts w:hint="eastAsia"/>
                <w:color w:val="000000"/>
                <w:sz w:val="24"/>
                <w:u w:val="wave"/>
              </w:rPr>
              <w:t>公式</w:t>
            </w:r>
            <w:r>
              <w:rPr>
                <w:color w:val="000000"/>
                <w:sz w:val="24"/>
                <w:u w:val="wave"/>
              </w:rPr>
              <w:t>卸车过程中的粉尘产生量，具体公式见上文。</w:t>
            </w:r>
          </w:p>
          <w:p w14:paraId="65E59676">
            <w:pPr>
              <w:autoSpaceDE w:val="0"/>
              <w:spacing w:line="360" w:lineRule="auto"/>
              <w:ind w:firstLine="480" w:firstLineChars="200"/>
              <w:rPr>
                <w:rFonts w:hAnsi="宋体"/>
                <w:sz w:val="24"/>
                <w:u w:val="wave"/>
              </w:rPr>
            </w:pPr>
            <w:r>
              <w:rPr>
                <w:rFonts w:hint="eastAsia" w:hAnsi="宋体"/>
                <w:sz w:val="24"/>
                <w:u w:val="wave"/>
              </w:rPr>
              <w:t>本项目原料投料量为4万吨/年，</w:t>
            </w:r>
            <w:r>
              <w:rPr>
                <w:rFonts w:hint="eastAsia"/>
                <w:color w:val="000000"/>
                <w:sz w:val="24"/>
                <w:u w:val="wave"/>
              </w:rPr>
              <w:t>生产时采用载重量4t的装载机进行投料，运载车次合计为10000次，</w:t>
            </w:r>
            <w:bookmarkStart w:id="49" w:name="OLE_LINK40"/>
            <w:bookmarkStart w:id="50" w:name="OLE_LINK41"/>
            <w:r>
              <w:rPr>
                <w:rFonts w:hint="eastAsia" w:hAnsi="宋体"/>
                <w:sz w:val="24"/>
                <w:u w:val="wave"/>
              </w:rPr>
              <w:t>经计算，投料过程中产生的粉尘约为5t/a</w:t>
            </w:r>
            <w:bookmarkEnd w:id="49"/>
            <w:bookmarkEnd w:id="50"/>
            <w:r>
              <w:rPr>
                <w:rFonts w:hint="eastAsia" w:hAnsi="宋体"/>
                <w:sz w:val="24"/>
                <w:u w:val="wave"/>
              </w:rPr>
              <w:t>。</w:t>
            </w:r>
          </w:p>
          <w:p w14:paraId="62E0B371">
            <w:pPr>
              <w:autoSpaceDE w:val="0"/>
              <w:spacing w:line="360" w:lineRule="auto"/>
              <w:ind w:firstLine="480" w:firstLineChars="200"/>
              <w:rPr>
                <w:rFonts w:hAnsi="宋体"/>
                <w:sz w:val="24"/>
                <w:u w:val="wave"/>
              </w:rPr>
            </w:pPr>
            <w:r>
              <w:rPr>
                <w:rFonts w:hint="eastAsia" w:hAnsi="宋体"/>
                <w:sz w:val="24"/>
                <w:u w:val="wave"/>
              </w:rPr>
              <w:t>本项目投料口均在密闭厂房内，并且对投料口进行三面围挡，减少无组织粉尘逸散。参考生态环境部《排放源统计调查产排污核算方法和系数手册》附表2固体物料堆存颗粒物产排污核算系数手册中“围挡的抑尘效率为60%和密闭式堆场控制效率为99%”，考虑到厂房进出口的影响，密闭厂房控制效率取80%，则粉尘综合去除效率按92%计算，故本项目投料粉尘排放量为0.40t/a。</w:t>
            </w:r>
          </w:p>
          <w:p w14:paraId="78C7761D">
            <w:pPr>
              <w:autoSpaceDE w:val="0"/>
              <w:spacing w:line="360" w:lineRule="auto"/>
              <w:ind w:firstLine="482" w:firstLineChars="200"/>
              <w:rPr>
                <w:rFonts w:hAnsi="宋体"/>
                <w:b/>
                <w:sz w:val="24"/>
                <w:u w:val="wave"/>
              </w:rPr>
            </w:pPr>
            <w:r>
              <w:rPr>
                <w:rFonts w:hint="eastAsia" w:hAnsi="宋体"/>
                <w:b/>
                <w:sz w:val="24"/>
                <w:u w:val="wave"/>
              </w:rPr>
              <w:t>（3）破碎粉尘</w:t>
            </w:r>
          </w:p>
          <w:p w14:paraId="75879B8B">
            <w:pPr>
              <w:pStyle w:val="140"/>
              <w:ind w:firstLine="480"/>
              <w:rPr>
                <w:rFonts w:hAnsi="宋体" w:cs="Times New Roman"/>
                <w:bCs w:val="0"/>
                <w:kern w:val="2"/>
                <w:szCs w:val="24"/>
                <w:u w:val="wave"/>
              </w:rPr>
            </w:pPr>
            <w:r>
              <w:rPr>
                <w:rFonts w:hint="eastAsia" w:hAnsi="宋体" w:cs="Times New Roman"/>
                <w:bCs w:val="0"/>
                <w:kern w:val="2"/>
                <w:szCs w:val="24"/>
                <w:u w:val="wave"/>
              </w:rPr>
              <w:t>本项目外购重晶石有两种：一种是经上游公司破碎成型的，满足粒径小于5</w:t>
            </w:r>
            <w:r>
              <w:rPr>
                <w:rFonts w:hAnsi="宋体" w:cs="Times New Roman"/>
                <w:bCs w:val="0"/>
                <w:kern w:val="2"/>
                <w:szCs w:val="24"/>
                <w:u w:val="wave"/>
              </w:rPr>
              <w:t>0mm</w:t>
            </w:r>
            <w:r>
              <w:rPr>
                <w:rFonts w:hint="eastAsia" w:hAnsi="宋体" w:cs="Times New Roman"/>
                <w:bCs w:val="0"/>
                <w:kern w:val="2"/>
                <w:szCs w:val="24"/>
                <w:u w:val="wave"/>
              </w:rPr>
              <w:t>，直接用于研磨；另一部分是当供方市场供应量不满足生产时，也会外购一些原矿来进行破碎加工后再进行研磨，根据企业提供的原料供应方案，拟破碎的原料为4000吨/年，年工作小时6</w:t>
            </w:r>
            <w:r>
              <w:rPr>
                <w:rFonts w:hAnsi="宋体" w:cs="Times New Roman"/>
                <w:bCs w:val="0"/>
                <w:kern w:val="2"/>
                <w:szCs w:val="24"/>
                <w:u w:val="wave"/>
              </w:rPr>
              <w:t>00h</w:t>
            </w:r>
            <w:r>
              <w:rPr>
                <w:rFonts w:hint="eastAsia" w:hAnsi="宋体" w:cs="Times New Roman"/>
                <w:bCs w:val="0"/>
                <w:kern w:val="2"/>
                <w:szCs w:val="24"/>
                <w:u w:val="wave"/>
              </w:rPr>
              <w:t>。采用破碎机将重晶石矿石破碎至不大于5</w:t>
            </w:r>
            <w:r>
              <w:rPr>
                <w:rFonts w:hAnsi="宋体" w:cs="Times New Roman"/>
                <w:bCs w:val="0"/>
                <w:kern w:val="2"/>
                <w:szCs w:val="24"/>
                <w:u w:val="wave"/>
              </w:rPr>
              <w:t>0mm</w:t>
            </w:r>
            <w:r>
              <w:rPr>
                <w:rFonts w:hint="eastAsia" w:hAnsi="宋体" w:cs="Times New Roman"/>
                <w:bCs w:val="0"/>
                <w:kern w:val="2"/>
                <w:szCs w:val="24"/>
                <w:u w:val="wave"/>
              </w:rPr>
              <w:t>的颗粒，破碎的过程中会产生粉尘。参考生态环境部《排放源统计调查产排污核算方法和系数手册》“</w:t>
            </w:r>
            <w:r>
              <w:rPr>
                <w:rFonts w:hAnsi="宋体" w:cs="Times New Roman"/>
                <w:bCs w:val="0"/>
                <w:kern w:val="2"/>
                <w:szCs w:val="24"/>
                <w:u w:val="wave"/>
              </w:rPr>
              <w:t>3099</w:t>
            </w:r>
            <w:r>
              <w:rPr>
                <w:rFonts w:hint="eastAsia" w:hAnsi="宋体" w:cs="Times New Roman"/>
                <w:bCs w:val="0"/>
                <w:kern w:val="2"/>
                <w:szCs w:val="24"/>
                <w:u w:val="wave"/>
              </w:rPr>
              <w:t>其他非金属矿物制品制造行业系数手册”破碎工序粉尘产污系数，破碎工序颗粒物产生量为</w:t>
            </w:r>
            <w:r>
              <w:rPr>
                <w:rFonts w:hAnsi="宋体" w:cs="Times New Roman"/>
                <w:bCs w:val="0"/>
                <w:kern w:val="2"/>
                <w:szCs w:val="24"/>
                <w:u w:val="wave"/>
              </w:rPr>
              <w:t>1.13</w:t>
            </w:r>
            <w:r>
              <w:rPr>
                <w:rFonts w:hint="eastAsia" w:hAnsi="宋体" w:cs="Times New Roman"/>
                <w:bCs w:val="0"/>
                <w:kern w:val="2"/>
                <w:szCs w:val="24"/>
                <w:u w:val="wave"/>
              </w:rPr>
              <w:t>千克</w:t>
            </w:r>
            <w:r>
              <w:rPr>
                <w:rFonts w:hAnsi="宋体" w:cs="Times New Roman"/>
                <w:bCs w:val="0"/>
                <w:kern w:val="2"/>
                <w:szCs w:val="24"/>
                <w:u w:val="wave"/>
              </w:rPr>
              <w:t>/</w:t>
            </w:r>
            <w:r>
              <w:rPr>
                <w:rFonts w:hint="eastAsia" w:hAnsi="宋体" w:cs="Times New Roman"/>
                <w:bCs w:val="0"/>
                <w:kern w:val="2"/>
                <w:szCs w:val="24"/>
                <w:u w:val="wave"/>
              </w:rPr>
              <w:t>吨</w:t>
            </w:r>
            <w:r>
              <w:rPr>
                <w:rFonts w:hAnsi="宋体" w:cs="Times New Roman"/>
                <w:bCs w:val="0"/>
                <w:kern w:val="2"/>
                <w:szCs w:val="24"/>
                <w:u w:val="wave"/>
              </w:rPr>
              <w:t>-</w:t>
            </w:r>
            <w:r>
              <w:rPr>
                <w:rFonts w:hint="eastAsia" w:hAnsi="宋体" w:cs="Times New Roman"/>
                <w:bCs w:val="0"/>
                <w:kern w:val="2"/>
                <w:szCs w:val="24"/>
                <w:u w:val="wave"/>
              </w:rPr>
              <w:t>产品。破碎过程中的粉尘产生量约为4.52</w:t>
            </w:r>
            <w:r>
              <w:rPr>
                <w:rFonts w:hAnsi="宋体" w:cs="Times New Roman"/>
                <w:bCs w:val="0"/>
                <w:kern w:val="2"/>
                <w:szCs w:val="24"/>
                <w:u w:val="wave"/>
              </w:rPr>
              <w:t>t/a</w:t>
            </w:r>
            <w:r>
              <w:rPr>
                <w:rFonts w:hint="eastAsia" w:hAnsi="宋体" w:cs="Times New Roman"/>
                <w:bCs w:val="0"/>
                <w:kern w:val="2"/>
                <w:szCs w:val="24"/>
                <w:u w:val="wave"/>
              </w:rPr>
              <w:t>。</w:t>
            </w:r>
          </w:p>
          <w:p w14:paraId="49B72516">
            <w:pPr>
              <w:autoSpaceDE w:val="0"/>
              <w:spacing w:line="360" w:lineRule="auto"/>
              <w:ind w:firstLine="480" w:firstLineChars="200"/>
              <w:rPr>
                <w:color w:val="000000"/>
                <w:sz w:val="24"/>
                <w:u w:val="wave"/>
              </w:rPr>
            </w:pPr>
            <w:r>
              <w:rPr>
                <w:rFonts w:hint="eastAsia"/>
                <w:color w:val="000000"/>
                <w:sz w:val="24"/>
                <w:u w:val="wave"/>
              </w:rPr>
              <w:t>项目破碎工段设置在车间内，建设单位拟在破碎机上方设置集气罩收集，经布袋除尘器处理后车间内无组织排放。集气罩的收集效率按90%计算，布袋除尘器的除尘效率按99%计算，则无组织排放量为0.492t/a</w:t>
            </w:r>
            <w:bookmarkStart w:id="51" w:name="OLE_LINK74"/>
            <w:bookmarkStart w:id="52" w:name="OLE_LINK73"/>
            <w:r>
              <w:rPr>
                <w:rFonts w:hint="eastAsia"/>
                <w:color w:val="000000"/>
                <w:sz w:val="24"/>
                <w:u w:val="wave"/>
              </w:rPr>
              <w:t>，经厂房阻隔后外逸至外环境，</w:t>
            </w:r>
            <w:bookmarkStart w:id="53" w:name="OLE_LINK28"/>
            <w:bookmarkStart w:id="54" w:name="OLE_LINK27"/>
            <w:r>
              <w:rPr>
                <w:rFonts w:hint="eastAsia"/>
                <w:color w:val="000000"/>
                <w:sz w:val="24"/>
                <w:u w:val="wave"/>
              </w:rPr>
              <w:t>逸出部分按20%计，则无组织排放量为0.098t/a</w:t>
            </w:r>
            <w:bookmarkEnd w:id="51"/>
            <w:bookmarkEnd w:id="52"/>
            <w:r>
              <w:rPr>
                <w:rFonts w:hint="eastAsia"/>
                <w:color w:val="000000"/>
                <w:sz w:val="24"/>
                <w:u w:val="wave"/>
              </w:rPr>
              <w:t>（0.164kg/h）</w:t>
            </w:r>
            <w:bookmarkEnd w:id="53"/>
            <w:bookmarkEnd w:id="54"/>
            <w:r>
              <w:rPr>
                <w:rFonts w:hint="eastAsia"/>
                <w:color w:val="000000"/>
                <w:sz w:val="24"/>
                <w:u w:val="wave"/>
              </w:rPr>
              <w:t>。</w:t>
            </w:r>
          </w:p>
          <w:p w14:paraId="21A2CB7D">
            <w:pPr>
              <w:autoSpaceDE w:val="0"/>
              <w:spacing w:line="360" w:lineRule="auto"/>
              <w:ind w:firstLine="482" w:firstLineChars="200"/>
              <w:rPr>
                <w:color w:val="000000"/>
                <w:sz w:val="24"/>
                <w:u w:val="wave"/>
              </w:rPr>
            </w:pPr>
            <w:r>
              <w:rPr>
                <w:rFonts w:hint="eastAsia"/>
                <w:b/>
                <w:color w:val="000000"/>
                <w:sz w:val="24"/>
                <w:u w:val="wave"/>
              </w:rPr>
              <w:t>（4）</w:t>
            </w:r>
            <w:r>
              <w:rPr>
                <w:rFonts w:hint="eastAsia"/>
                <w:b/>
                <w:bCs/>
                <w:color w:val="000000"/>
                <w:sz w:val="24"/>
                <w:u w:val="wave"/>
              </w:rPr>
              <w:t>传送带输送粉尘</w:t>
            </w:r>
          </w:p>
          <w:p w14:paraId="02B7704C">
            <w:pPr>
              <w:pStyle w:val="140"/>
              <w:ind w:firstLine="480"/>
              <w:rPr>
                <w:rFonts w:cs="Times New Roman"/>
                <w:bCs w:val="0"/>
                <w:color w:val="000000"/>
                <w:kern w:val="2"/>
                <w:szCs w:val="24"/>
                <w:u w:val="wave"/>
              </w:rPr>
            </w:pPr>
            <w:r>
              <w:rPr>
                <w:rFonts w:hint="eastAsia"/>
                <w:u w:val="wave"/>
              </w:rPr>
              <w:t>皮带输送机采用全封闭廊道设置，输送过程中产生的粉尘均可在皮带输送机停车过程中沉降下来，收集后亦可回用于生产，基本无逸散，本次评价不对此进行核算</w:t>
            </w:r>
            <w:r>
              <w:rPr>
                <w:rFonts w:hint="eastAsia" w:cs="Times New Roman"/>
                <w:bCs w:val="0"/>
                <w:color w:val="000000"/>
                <w:kern w:val="2"/>
                <w:szCs w:val="24"/>
                <w:u w:val="wave"/>
              </w:rPr>
              <w:t>。</w:t>
            </w:r>
          </w:p>
          <w:p w14:paraId="7055914B">
            <w:pPr>
              <w:autoSpaceDE w:val="0"/>
              <w:spacing w:line="360" w:lineRule="auto"/>
              <w:ind w:firstLine="482" w:firstLineChars="200"/>
              <w:rPr>
                <w:rFonts w:hAnsi="宋体"/>
                <w:b/>
                <w:sz w:val="24"/>
                <w:u w:val="wave"/>
              </w:rPr>
            </w:pPr>
            <w:r>
              <w:rPr>
                <w:rFonts w:hAnsi="宋体"/>
                <w:b/>
                <w:sz w:val="24"/>
                <w:u w:val="wave"/>
              </w:rPr>
              <w:t>（</w:t>
            </w:r>
            <w:r>
              <w:rPr>
                <w:rFonts w:hint="eastAsia" w:hAnsi="宋体"/>
                <w:b/>
                <w:sz w:val="24"/>
                <w:u w:val="wave"/>
              </w:rPr>
              <w:t>5</w:t>
            </w:r>
            <w:r>
              <w:rPr>
                <w:rFonts w:hAnsi="宋体"/>
                <w:b/>
                <w:sz w:val="24"/>
                <w:u w:val="wave"/>
              </w:rPr>
              <w:t>）磨粉粉尘</w:t>
            </w:r>
          </w:p>
          <w:p w14:paraId="47586C75">
            <w:pPr>
              <w:autoSpaceDE w:val="0"/>
              <w:spacing w:line="360" w:lineRule="auto"/>
              <w:ind w:firstLine="480" w:firstLineChars="200"/>
              <w:rPr>
                <w:rFonts w:cstheme="minorBidi"/>
                <w:bCs/>
                <w:kern w:val="24"/>
                <w:sz w:val="24"/>
                <w:szCs w:val="32"/>
                <w:u w:val="wave"/>
              </w:rPr>
            </w:pPr>
            <w:r>
              <w:rPr>
                <w:rFonts w:hint="eastAsia" w:ascii="宋体" w:hAnsi="宋体" w:cs="宋体"/>
                <w:color w:val="000000"/>
                <w:kern w:val="0"/>
                <w:sz w:val="24"/>
                <w:u w:val="wave"/>
                <w:lang w:bidi="ar"/>
              </w:rPr>
              <w:t>储料斗中的原料通过密闭电磁振动给料机进入磨粉主机研磨。研磨后合格的粉体通过密闭的风送系统送走，分级机控制粉体的粒径，旋风收集器分离出产品，净化后的气流经大旋风收集器上端的管道流入鼓风机，风路是循环的，除鼓风机至研磨室为正压外，其余管路内气流均在负压下流动。多余的风量经除尘斗收集器收集后经脉冲布袋除尘器净化后排出大气</w:t>
            </w:r>
            <w:r>
              <w:rPr>
                <w:rFonts w:hint="eastAsia" w:cstheme="minorBidi"/>
                <w:bCs/>
                <w:kern w:val="24"/>
                <w:sz w:val="24"/>
                <w:szCs w:val="32"/>
                <w:u w:val="wave"/>
              </w:rPr>
              <w:t>。根据</w:t>
            </w:r>
            <w:r>
              <w:rPr>
                <w:rFonts w:cstheme="minorBidi"/>
                <w:bCs/>
                <w:kern w:val="24"/>
                <w:sz w:val="24"/>
                <w:szCs w:val="32"/>
                <w:u w:val="wave"/>
              </w:rPr>
              <w:t>《排放源统计调查产排污核算方法和系数手册》</w:t>
            </w:r>
            <w:r>
              <w:rPr>
                <w:rFonts w:hint="eastAsia" w:cstheme="minorBidi"/>
                <w:bCs/>
                <w:kern w:val="24"/>
                <w:sz w:val="24"/>
                <w:szCs w:val="32"/>
                <w:u w:val="wave"/>
              </w:rPr>
              <w:t>“</w:t>
            </w:r>
            <w:r>
              <w:rPr>
                <w:rFonts w:cstheme="minorBidi"/>
                <w:bCs/>
                <w:kern w:val="24"/>
                <w:sz w:val="24"/>
                <w:szCs w:val="32"/>
                <w:u w:val="wave"/>
              </w:rPr>
              <w:t>3099</w:t>
            </w:r>
            <w:r>
              <w:rPr>
                <w:rFonts w:hint="eastAsia" w:cstheme="minorBidi"/>
                <w:bCs/>
                <w:kern w:val="24"/>
                <w:sz w:val="24"/>
                <w:szCs w:val="32"/>
                <w:u w:val="wave"/>
              </w:rPr>
              <w:t>其他非金属矿物制品制造行业系数手册”粉磨工序粉尘产污系数，粉磨工序颗粒物产生量为</w:t>
            </w:r>
            <w:r>
              <w:rPr>
                <w:rFonts w:cstheme="minorBidi"/>
                <w:bCs/>
                <w:kern w:val="24"/>
                <w:sz w:val="24"/>
                <w:szCs w:val="32"/>
                <w:u w:val="wave"/>
              </w:rPr>
              <w:t>1.19</w:t>
            </w:r>
            <w:r>
              <w:rPr>
                <w:rFonts w:hint="eastAsia" w:cstheme="minorBidi"/>
                <w:bCs/>
                <w:kern w:val="24"/>
                <w:sz w:val="24"/>
                <w:szCs w:val="32"/>
                <w:u w:val="wave"/>
              </w:rPr>
              <w:t>千克</w:t>
            </w:r>
            <w:r>
              <w:rPr>
                <w:rFonts w:cstheme="minorBidi"/>
                <w:bCs/>
                <w:kern w:val="24"/>
                <w:sz w:val="24"/>
                <w:szCs w:val="32"/>
                <w:u w:val="wave"/>
              </w:rPr>
              <w:t>/</w:t>
            </w:r>
            <w:r>
              <w:rPr>
                <w:rFonts w:hint="eastAsia" w:cstheme="minorBidi"/>
                <w:bCs/>
                <w:kern w:val="24"/>
                <w:sz w:val="24"/>
                <w:szCs w:val="32"/>
                <w:u w:val="wave"/>
              </w:rPr>
              <w:t>吨</w:t>
            </w:r>
            <w:r>
              <w:rPr>
                <w:rFonts w:cstheme="minorBidi"/>
                <w:bCs/>
                <w:kern w:val="24"/>
                <w:sz w:val="24"/>
                <w:szCs w:val="32"/>
                <w:u w:val="wave"/>
              </w:rPr>
              <w:t>-</w:t>
            </w:r>
            <w:r>
              <w:rPr>
                <w:rFonts w:hint="eastAsia" w:cstheme="minorBidi"/>
                <w:bCs/>
                <w:kern w:val="24"/>
                <w:sz w:val="24"/>
                <w:szCs w:val="32"/>
                <w:u w:val="wave"/>
              </w:rPr>
              <w:t>产品。本项目年产量约为4万吨，粉磨过程中的粉尘产生量为47.6</w:t>
            </w:r>
            <w:r>
              <w:rPr>
                <w:rFonts w:cstheme="minorBidi"/>
                <w:bCs/>
                <w:kern w:val="24"/>
                <w:sz w:val="24"/>
                <w:szCs w:val="32"/>
                <w:u w:val="wave"/>
              </w:rPr>
              <w:t>t/a</w:t>
            </w:r>
            <w:r>
              <w:rPr>
                <w:rFonts w:hint="eastAsia" w:cstheme="minorBidi"/>
                <w:bCs/>
                <w:kern w:val="24"/>
                <w:sz w:val="24"/>
                <w:szCs w:val="32"/>
                <w:u w:val="wave"/>
              </w:rPr>
              <w:t>（19.83kg/h）。</w:t>
            </w:r>
          </w:p>
          <w:p w14:paraId="5658B8E2">
            <w:pPr>
              <w:pStyle w:val="140"/>
              <w:ind w:firstLine="480"/>
              <w:rPr>
                <w:u w:val="wave"/>
              </w:rPr>
            </w:pPr>
            <w:r>
              <w:rPr>
                <w:rFonts w:hint="eastAsia"/>
                <w:u w:val="wave"/>
              </w:rPr>
              <w:t>项目磨粉系统在微负压闭路循环状态下运行（集气效率以100%计），磨粉粉尘由配备的箱式脉冲除尘器（除尘效率99%）进行处理，后由1根15m</w:t>
            </w:r>
            <w:r>
              <w:rPr>
                <w:rFonts w:hint="eastAsia"/>
                <w:color w:val="000000"/>
                <w:u w:val="wave"/>
              </w:rPr>
              <w:t>高排气筒（DA001）排放</w:t>
            </w:r>
            <w:r>
              <w:rPr>
                <w:rFonts w:hint="eastAsia"/>
                <w:u w:val="wave"/>
              </w:rPr>
              <w:t>，风机风量约为9000m</w:t>
            </w:r>
            <w:r>
              <w:rPr>
                <w:rFonts w:hint="eastAsia"/>
                <w:u w:val="wave"/>
                <w:vertAlign w:val="superscript"/>
              </w:rPr>
              <w:t>3</w:t>
            </w:r>
            <w:r>
              <w:rPr>
                <w:rFonts w:hint="eastAsia"/>
                <w:u w:val="wave"/>
              </w:rPr>
              <w:t>/h。废气收集率按100%计，布袋除尘器处理效率按99%计，则磨粉工序有组织排放量为0.476t/a（0.198kg/h），排放浓度为22.04</w:t>
            </w:r>
            <w:r>
              <w:rPr>
                <w:rFonts w:hint="eastAsia"/>
                <w:color w:val="000000"/>
                <w:u w:val="wave"/>
              </w:rPr>
              <w:t>mg/m</w:t>
            </w:r>
            <w:r>
              <w:rPr>
                <w:rFonts w:hint="eastAsia"/>
                <w:color w:val="000000"/>
                <w:u w:val="wave"/>
                <w:vertAlign w:val="superscript"/>
              </w:rPr>
              <w:t>3</w:t>
            </w:r>
            <w:r>
              <w:rPr>
                <w:rFonts w:hint="eastAsia"/>
                <w:color w:val="000000"/>
                <w:u w:val="wave"/>
              </w:rPr>
              <w:t>。</w:t>
            </w:r>
          </w:p>
          <w:p w14:paraId="301E496B">
            <w:pPr>
              <w:autoSpaceDE w:val="0"/>
              <w:spacing w:line="360" w:lineRule="auto"/>
              <w:ind w:firstLine="482" w:firstLineChars="200"/>
              <w:rPr>
                <w:rFonts w:hAnsi="宋体"/>
                <w:b/>
                <w:sz w:val="24"/>
              </w:rPr>
            </w:pPr>
            <w:r>
              <w:rPr>
                <w:rFonts w:hint="eastAsia" w:hAnsi="宋体"/>
                <w:b/>
                <w:sz w:val="24"/>
              </w:rPr>
              <w:t>（6）</w:t>
            </w:r>
            <w:bookmarkStart w:id="55" w:name="OLE_LINK59"/>
            <w:bookmarkStart w:id="56" w:name="OLE_LINK58"/>
            <w:r>
              <w:rPr>
                <w:rFonts w:hint="eastAsia" w:hAnsi="宋体"/>
                <w:b/>
                <w:sz w:val="24"/>
              </w:rPr>
              <w:t>储存筒仓粉尘</w:t>
            </w:r>
            <w:bookmarkEnd w:id="55"/>
            <w:bookmarkEnd w:id="56"/>
          </w:p>
          <w:p w14:paraId="124BD3D7">
            <w:pPr>
              <w:autoSpaceDE w:val="0"/>
              <w:spacing w:line="360" w:lineRule="auto"/>
              <w:ind w:firstLine="480" w:firstLineChars="200"/>
              <w:rPr>
                <w:rFonts w:cstheme="minorBidi"/>
                <w:bCs/>
                <w:kern w:val="24"/>
                <w:sz w:val="24"/>
                <w:szCs w:val="32"/>
              </w:rPr>
            </w:pPr>
            <w:r>
              <w:rPr>
                <w:rFonts w:hint="eastAsia" w:cstheme="minorBidi"/>
                <w:bCs/>
                <w:kern w:val="24"/>
                <w:sz w:val="24"/>
                <w:szCs w:val="32"/>
              </w:rPr>
              <w:t>本项目设置3个重晶石粉储存筒仓，研磨后产生的重晶石粉输送至储存筒仓储存，受气流冲击，料仓内的粉料将从仓顶排气口排出。</w:t>
            </w:r>
          </w:p>
          <w:p w14:paraId="172C86C8">
            <w:pPr>
              <w:autoSpaceDE w:val="0"/>
              <w:spacing w:line="360" w:lineRule="auto"/>
              <w:ind w:firstLine="480" w:firstLineChars="200"/>
              <w:rPr>
                <w:rFonts w:cstheme="minorBidi"/>
                <w:bCs/>
                <w:kern w:val="24"/>
                <w:sz w:val="24"/>
                <w:szCs w:val="32"/>
              </w:rPr>
            </w:pPr>
            <w:r>
              <w:rPr>
                <w:rFonts w:hint="eastAsia" w:cstheme="minorBidi"/>
                <w:bCs/>
                <w:kern w:val="24"/>
                <w:sz w:val="24"/>
                <w:szCs w:val="32"/>
              </w:rPr>
              <w:t>本项目储存筒仓顶呼吸孔粉尘产生量参照《排放源统计调查产排污核算方法和系数手册》中“水泥制品制造行业系数手册”中物料输送储存产污系数0.19千克/吨-产品进行核算，本项目年产重晶石粉约4万吨，则料仓呼吸粉尘产生量为7.6t/a。</w:t>
            </w:r>
          </w:p>
          <w:p w14:paraId="62908C47">
            <w:pPr>
              <w:autoSpaceDE w:val="0"/>
              <w:spacing w:line="360" w:lineRule="auto"/>
              <w:ind w:firstLine="480" w:firstLineChars="200"/>
              <w:rPr>
                <w:rFonts w:cstheme="minorBidi"/>
                <w:bCs/>
                <w:kern w:val="24"/>
                <w:sz w:val="24"/>
                <w:szCs w:val="32"/>
              </w:rPr>
            </w:pPr>
            <w:r>
              <w:rPr>
                <w:rFonts w:hint="eastAsia" w:cstheme="minorBidi"/>
                <w:bCs/>
                <w:kern w:val="24"/>
                <w:sz w:val="24"/>
                <w:szCs w:val="32"/>
              </w:rPr>
              <w:t>本项目设置筒仓为密闭式（收集效率100%），储存顶部均设置了仓顶脉冲布袋除尘器（处理效率99%），经处理后车间内无组织排放，则无组织粉尘产生量为0.076t/a。</w:t>
            </w:r>
            <w:r>
              <w:rPr>
                <w:rFonts w:hint="eastAsia"/>
                <w:color w:val="000000"/>
                <w:sz w:val="24"/>
              </w:rPr>
              <w:t>经厂房阻隔后外逸至外环境，逸出部分按20%计，则无组织排放量为0.015t/a。</w:t>
            </w:r>
          </w:p>
          <w:p w14:paraId="5BB8957D">
            <w:pPr>
              <w:autoSpaceDE w:val="0"/>
              <w:spacing w:line="360" w:lineRule="auto"/>
              <w:ind w:firstLine="482" w:firstLineChars="200"/>
              <w:rPr>
                <w:rFonts w:cstheme="minorBidi"/>
                <w:b/>
                <w:bCs/>
                <w:kern w:val="24"/>
                <w:sz w:val="24"/>
                <w:szCs w:val="32"/>
                <w:u w:val="wave"/>
              </w:rPr>
            </w:pPr>
            <w:r>
              <w:rPr>
                <w:rFonts w:hint="eastAsia" w:cstheme="minorBidi"/>
                <w:b/>
                <w:bCs/>
                <w:kern w:val="24"/>
                <w:sz w:val="24"/>
                <w:szCs w:val="32"/>
                <w:u w:val="wave"/>
              </w:rPr>
              <w:t>（7）包装粉尘</w:t>
            </w:r>
          </w:p>
          <w:p w14:paraId="387FA09D">
            <w:pPr>
              <w:autoSpaceDE w:val="0"/>
              <w:spacing w:line="360" w:lineRule="auto"/>
              <w:ind w:firstLine="480" w:firstLineChars="200"/>
              <w:rPr>
                <w:rFonts w:hint="eastAsia" w:cstheme="minorBidi"/>
                <w:bCs/>
                <w:kern w:val="24"/>
                <w:sz w:val="24"/>
                <w:szCs w:val="32"/>
                <w:u w:val="wave"/>
              </w:rPr>
            </w:pPr>
            <w:r>
              <w:rPr>
                <w:rFonts w:hint="eastAsia" w:cstheme="minorBidi"/>
                <w:bCs/>
                <w:kern w:val="24"/>
                <w:sz w:val="24"/>
                <w:szCs w:val="32"/>
                <w:u w:val="wave"/>
              </w:rPr>
              <w:t>项目使用阀口袋自动计量包装机对产品进行包装，免计量免称重免封口，出够即停。建设单位所采用的相应规格的特制编织带。放料的过程中放料管道直接和编织袋绑在一起，等放料到95%的时候则停止放料，整个过程中基本上无粉尘逸出，根据《逸散性工业粉尘控制技术》，包装粉尘产生速率为0.005kg/t，需包装的粉料约为4万吨t/a，粉尘产生量约为0.2t/a，产尘量较少，采取封闭作业方式，加强管理后通过车间天窗无组织排放。</w:t>
            </w:r>
          </w:p>
          <w:p w14:paraId="473292F9">
            <w:pPr>
              <w:autoSpaceDE w:val="0"/>
              <w:spacing w:line="360" w:lineRule="auto"/>
              <w:ind w:firstLine="482" w:firstLineChars="200"/>
              <w:rPr>
                <w:rFonts w:hAnsi="宋体"/>
                <w:b/>
                <w:sz w:val="24"/>
              </w:rPr>
            </w:pPr>
            <w:r>
              <w:rPr>
                <w:rFonts w:hint="eastAsia" w:hAnsi="宋体"/>
                <w:b/>
                <w:sz w:val="24"/>
              </w:rPr>
              <w:t>（8）运输扬尘</w:t>
            </w:r>
          </w:p>
          <w:p w14:paraId="0EB4B2D6">
            <w:pPr>
              <w:pStyle w:val="140"/>
              <w:ind w:firstLine="480"/>
            </w:pPr>
            <w:r>
              <w:t>本项目车辆运输过程中会产生</w:t>
            </w:r>
            <w:r>
              <w:rPr>
                <w:rFonts w:hint="eastAsia"/>
              </w:rPr>
              <w:t>运输扬尘</w:t>
            </w:r>
            <w:r>
              <w:t>及汽车尾气。车辆排放尾气污染物主要有SO</w:t>
            </w:r>
            <w:r>
              <w:rPr>
                <w:vertAlign w:val="subscript"/>
              </w:rPr>
              <w:t>2</w:t>
            </w:r>
            <w:r>
              <w:t>、CO等，车辆尾气为无组织排放，具有间歇性和流动性等特点，且场内空旷，对周围环境影响较小。地面扬尘的产生量与地面清洁度有很大关系，</w:t>
            </w:r>
            <w:r>
              <w:rPr>
                <w:rFonts w:hint="eastAsia"/>
              </w:rPr>
              <w:t>本项目场区内车辆、装载机进行原料运输将产生运输扬尘，产生量采用经验公式：</w:t>
            </w:r>
          </w:p>
          <w:p w14:paraId="1C926DD5">
            <w:pPr>
              <w:widowControl/>
              <w:spacing w:line="360" w:lineRule="auto"/>
              <w:jc w:val="center"/>
              <w:rPr>
                <w:sz w:val="24"/>
              </w:rPr>
            </w:pPr>
            <m:oMathPara>
              <m:oMath>
                <m:sSub>
                  <m:sSubPr>
                    <m:ctrlPr>
                      <w:rPr>
                        <w:rFonts w:ascii="Cambria Math" w:hAnsi="Cambria Math"/>
                        <w:color w:val="000000"/>
                        <w:sz w:val="24"/>
                      </w:rPr>
                    </m:ctrlPr>
                  </m:sSubPr>
                  <m:e>
                    <m:r>
                      <m:rPr/>
                      <w:rPr>
                        <w:rFonts w:ascii="Cambria Math" w:hAnsi="Cambria Math"/>
                        <w:color w:val="000000"/>
                        <w:sz w:val="24"/>
                      </w:rPr>
                      <m:t>Q</m:t>
                    </m:r>
                    <m:ctrlPr>
                      <w:rPr>
                        <w:rFonts w:ascii="Cambria Math" w:hAnsi="Cambria Math"/>
                        <w:color w:val="000000"/>
                        <w:sz w:val="24"/>
                      </w:rPr>
                    </m:ctrlPr>
                  </m:e>
                  <m:sub>
                    <m:r>
                      <m:rPr/>
                      <w:rPr>
                        <w:rFonts w:ascii="Cambria Math" w:hAnsi="Cambria Math"/>
                        <w:color w:val="000000"/>
                        <w:sz w:val="24"/>
                      </w:rPr>
                      <m:t>i</m:t>
                    </m:r>
                    <m:ctrlPr>
                      <w:rPr>
                        <w:rFonts w:ascii="Cambria Math" w:hAnsi="Cambria Math"/>
                        <w:color w:val="000000"/>
                        <w:sz w:val="24"/>
                      </w:rPr>
                    </m:ctrlPr>
                  </m:sub>
                </m:sSub>
                <m:r>
                  <m:rPr/>
                  <w:rPr>
                    <w:rFonts w:ascii="Cambria Math" w:hAnsi="Cambria Math"/>
                    <w:color w:val="000000"/>
                    <w:sz w:val="24"/>
                  </w:rPr>
                  <m:t>=0.0079U×</m:t>
                </m:r>
                <m:sSup>
                  <m:sSupPr>
                    <m:ctrlPr>
                      <w:rPr>
                        <w:rFonts w:ascii="Cambria Math" w:hAnsi="Cambria Math"/>
                        <w:i/>
                        <w:color w:val="000000"/>
                        <w:sz w:val="24"/>
                      </w:rPr>
                    </m:ctrlPr>
                  </m:sSupPr>
                  <m:e>
                    <m:r>
                      <m:rPr/>
                      <w:rPr>
                        <w:rFonts w:ascii="Cambria Math" w:hAnsi="Cambria Math"/>
                        <w:color w:val="000000"/>
                        <w:sz w:val="24"/>
                      </w:rPr>
                      <m:t>W</m:t>
                    </m:r>
                    <m:ctrlPr>
                      <w:rPr>
                        <w:rFonts w:ascii="Cambria Math" w:hAnsi="Cambria Math"/>
                        <w:i/>
                        <w:color w:val="000000"/>
                        <w:sz w:val="24"/>
                      </w:rPr>
                    </m:ctrlPr>
                  </m:e>
                  <m:sup>
                    <m:r>
                      <m:rPr/>
                      <w:rPr>
                        <w:rFonts w:ascii="Cambria Math" w:hAnsi="Cambria Math"/>
                        <w:color w:val="000000"/>
                        <w:sz w:val="24"/>
                      </w:rPr>
                      <m:t>0.85</m:t>
                    </m:r>
                    <m:ctrlPr>
                      <w:rPr>
                        <w:rFonts w:ascii="Cambria Math" w:hAnsi="Cambria Math"/>
                        <w:i/>
                        <w:color w:val="000000"/>
                        <w:sz w:val="24"/>
                      </w:rPr>
                    </m:ctrlPr>
                  </m:sup>
                </m:sSup>
                <m:r>
                  <m:rPr/>
                  <w:rPr>
                    <w:rFonts w:ascii="Cambria Math" w:hAnsi="Cambria Math"/>
                    <w:color w:val="000000"/>
                    <w:sz w:val="24"/>
                  </w:rPr>
                  <m:t>×</m:t>
                </m:r>
                <m:sSup>
                  <m:sSupPr>
                    <m:ctrlPr>
                      <w:rPr>
                        <w:rFonts w:ascii="Cambria Math" w:hAnsi="Cambria Math"/>
                        <w:i/>
                        <w:color w:val="000000"/>
                        <w:sz w:val="24"/>
                      </w:rPr>
                    </m:ctrlPr>
                  </m:sSupPr>
                  <m:e>
                    <m:r>
                      <m:rPr/>
                      <w:rPr>
                        <w:rFonts w:ascii="Cambria Math" w:hAnsi="Cambria Math"/>
                        <w:color w:val="000000"/>
                        <w:sz w:val="24"/>
                      </w:rPr>
                      <m:t>P</m:t>
                    </m:r>
                    <m:ctrlPr>
                      <w:rPr>
                        <w:rFonts w:ascii="Cambria Math" w:hAnsi="Cambria Math"/>
                        <w:i/>
                        <w:color w:val="000000"/>
                        <w:sz w:val="24"/>
                      </w:rPr>
                    </m:ctrlPr>
                  </m:e>
                  <m:sup>
                    <m:r>
                      <m:rPr/>
                      <w:rPr>
                        <w:rFonts w:ascii="Cambria Math" w:hAnsi="Cambria Math"/>
                        <w:color w:val="000000"/>
                        <w:sz w:val="24"/>
                      </w:rPr>
                      <m:t>0.72</m:t>
                    </m:r>
                    <m:ctrlPr>
                      <w:rPr>
                        <w:rFonts w:ascii="Cambria Math" w:hAnsi="Cambria Math"/>
                        <w:i/>
                        <w:color w:val="000000"/>
                        <w:sz w:val="24"/>
                      </w:rPr>
                    </m:ctrlPr>
                  </m:sup>
                </m:sSup>
              </m:oMath>
            </m:oMathPara>
          </w:p>
          <w:p w14:paraId="61240D25">
            <w:pPr>
              <w:widowControl/>
              <w:spacing w:line="360" w:lineRule="auto"/>
              <w:jc w:val="center"/>
              <w:rPr>
                <w:sz w:val="24"/>
              </w:rPr>
            </w:pPr>
            <m:oMathPara>
              <m:oMath>
                <m:r>
                  <m:rPr>
                    <m:sty m:val="p"/>
                  </m:rPr>
                  <w:rPr>
                    <w:rFonts w:ascii="Cambria Math" w:hAnsi="Cambria Math"/>
                    <w:color w:val="000000"/>
                    <w:sz w:val="24"/>
                  </w:rPr>
                  <m:t>Q=</m:t>
                </m:r>
                <m:r>
                  <m:rPr/>
                  <w:rPr>
                    <w:rFonts w:ascii="Cambria Math" w:hAnsi="Cambria Math"/>
                    <w:color w:val="000000"/>
                    <w:sz w:val="24"/>
                  </w:rPr>
                  <m:t>∑</m:t>
                </m:r>
                <m:sSub>
                  <m:sSubPr>
                    <m:ctrlPr>
                      <w:rPr>
                        <w:rFonts w:ascii="Cambria Math" w:hAnsi="Cambria Math"/>
                        <w:i/>
                        <w:color w:val="000000"/>
                        <w:sz w:val="24"/>
                      </w:rPr>
                    </m:ctrlPr>
                  </m:sSubPr>
                  <m:e>
                    <m:r>
                      <m:rPr/>
                      <w:rPr>
                        <w:rFonts w:ascii="Cambria Math" w:hAnsi="Cambria Math"/>
                        <w:color w:val="000000"/>
                        <w:sz w:val="24"/>
                      </w:rPr>
                      <m:t>Q</m:t>
                    </m:r>
                    <m:ctrlPr>
                      <w:rPr>
                        <w:rFonts w:ascii="Cambria Math" w:hAnsi="Cambria Math"/>
                        <w:i/>
                        <w:color w:val="000000"/>
                        <w:sz w:val="24"/>
                      </w:rPr>
                    </m:ctrlPr>
                  </m:e>
                  <m:sub>
                    <m:r>
                      <m:rPr/>
                      <w:rPr>
                        <w:rFonts w:ascii="Cambria Math" w:hAnsi="Cambria Math"/>
                        <w:color w:val="000000"/>
                        <w:sz w:val="24"/>
                      </w:rPr>
                      <m:t>i</m:t>
                    </m:r>
                    <m:ctrlPr>
                      <w:rPr>
                        <w:rFonts w:ascii="Cambria Math" w:hAnsi="Cambria Math"/>
                        <w:i/>
                        <w:color w:val="000000"/>
                        <w:sz w:val="24"/>
                      </w:rPr>
                    </m:ctrlPr>
                  </m:sub>
                </m:sSub>
              </m:oMath>
            </m:oMathPara>
          </w:p>
          <w:p w14:paraId="5259F347">
            <w:pPr>
              <w:widowControl/>
              <w:spacing w:line="360" w:lineRule="auto"/>
              <w:ind w:right="130" w:firstLine="480"/>
              <w:jc w:val="left"/>
              <w:rPr>
                <w:sz w:val="24"/>
              </w:rPr>
            </w:pPr>
            <w:r>
              <w:rPr>
                <w:rFonts w:hint="eastAsia"/>
                <w:sz w:val="24"/>
              </w:rPr>
              <w:t>式中：</w:t>
            </w:r>
            <w:r>
              <w:rPr>
                <w:sz w:val="24"/>
              </w:rPr>
              <w:fldChar w:fldCharType="begin"/>
            </w:r>
            <w:r>
              <w:rPr>
                <w:sz w:val="24"/>
              </w:rPr>
              <w:instrText xml:space="preserve"> QUOTE </w:instrText>
            </w:r>
            <w:r>
              <w:rPr>
                <w:position w:val="-6"/>
              </w:rPr>
              <w:pict>
                <v:shape id="_x0000_i1026"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rPr>
                <w:sz w:val="24"/>
              </w:rPr>
              <w:instrText xml:space="preserve"> </w:instrText>
            </w:r>
            <w:r>
              <w:rPr>
                <w:sz w:val="24"/>
              </w:rPr>
              <w:fldChar w:fldCharType="separate"/>
            </w:r>
            <w:r>
              <w:rPr>
                <w:position w:val="-6"/>
              </w:rPr>
              <w:pict>
                <v:shape id="_x0000_i1027"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rPr>
                <w:sz w:val="24"/>
              </w:rPr>
              <w:fldChar w:fldCharType="end"/>
            </w:r>
            <w:r>
              <w:rPr>
                <w:sz w:val="24"/>
              </w:rPr>
              <w:t>——</w:t>
            </w:r>
            <w:r>
              <w:rPr>
                <w:rFonts w:hint="eastAsia"/>
                <w:sz w:val="24"/>
              </w:rPr>
              <w:t>每辆汽车行驶扬尘量，</w:t>
            </w:r>
            <w:r>
              <w:rPr>
                <w:sz w:val="24"/>
              </w:rPr>
              <w:t>kg/km</w:t>
            </w:r>
            <w:r>
              <w:rPr>
                <w:rFonts w:hint="eastAsia"/>
                <w:sz w:val="24"/>
              </w:rPr>
              <w:t>；</w:t>
            </w:r>
          </w:p>
          <w:p w14:paraId="4304D179">
            <w:pPr>
              <w:widowControl/>
              <w:spacing w:line="360" w:lineRule="auto"/>
              <w:ind w:firstLine="1200" w:firstLineChars="500"/>
              <w:rPr>
                <w:sz w:val="24"/>
              </w:rPr>
            </w:pPr>
            <w:r>
              <w:rPr>
                <w:sz w:val="24"/>
              </w:rPr>
              <w:fldChar w:fldCharType="begin"/>
            </w:r>
            <w:r>
              <w:rPr>
                <w:sz w:val="24"/>
              </w:rPr>
              <w:instrText xml:space="preserve"> QUOTE </w:instrText>
            </w:r>
            <w:r>
              <w:rPr>
                <w:position w:val="-6"/>
              </w:rPr>
              <w:pict>
                <v:shape id="_x0000_i1028" o:spt="75" type="#_x0000_t75" style="height:14.25pt;width:8.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2F4DB0&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2F4DB0&quot; wsp:rsidP=&quot;002F4DB0&quot;&gt;&lt;m:oMathPara&gt;&lt;m:oMath&gt;&lt;m:r&gt;&lt;w:rPr&gt;&lt;w:rFonts w:ascii=&quot;Cambria Math&quot; w:h-ansi=&quot;Cambria Math&quot;/&gt;&lt;wx:font wx:val=&quot;Cambria Math&quot;/&gt;&lt;w:i/&gt;&lt;w:color w:val=&quot;000000&quot;/&gt;&lt;w:sz w:val=&quot;24&quot;/&gt;&lt;/w:rPr&gt;&lt;m:t&gt;Q&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5" chromakey="#FFFFFF" o:title=""/>
                  <o:lock v:ext="edit" aspectratio="t"/>
                  <w10:wrap type="none"/>
                  <w10:anchorlock/>
                </v:shape>
              </w:pict>
            </w:r>
            <w:r>
              <w:rPr>
                <w:sz w:val="24"/>
              </w:rPr>
              <w:instrText xml:space="preserve"> </w:instrText>
            </w:r>
            <w:r>
              <w:rPr>
                <w:sz w:val="24"/>
              </w:rPr>
              <w:fldChar w:fldCharType="separate"/>
            </w:r>
            <w:r>
              <w:rPr>
                <w:position w:val="-6"/>
              </w:rPr>
              <w:pict>
                <v:shape id="_x0000_i1029" o:spt="75" type="#_x0000_t75" style="height:14.25pt;width:8.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2F4DB0&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2F4DB0&quot; wsp:rsidP=&quot;002F4DB0&quot;&gt;&lt;m:oMathPara&gt;&lt;m:oMath&gt;&lt;m:r&gt;&lt;w:rPr&gt;&lt;w:rFonts w:ascii=&quot;Cambria Math&quot; w:h-ansi=&quot;Cambria Math&quot;/&gt;&lt;wx:font wx:val=&quot;Cambria Math&quot;/&gt;&lt;w:i/&gt;&lt;w:color w:val=&quot;000000&quot;/&gt;&lt;w:sz w:val=&quot;24&quot;/&gt;&lt;/w:rPr&gt;&lt;m:t&gt;Q&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5" chromakey="#FFFFFF" o:title=""/>
                  <o:lock v:ext="edit" aspectratio="t"/>
                  <w10:wrap type="none"/>
                  <w10:anchorlock/>
                </v:shape>
              </w:pict>
            </w:r>
            <w:r>
              <w:rPr>
                <w:sz w:val="24"/>
              </w:rPr>
              <w:fldChar w:fldCharType="end"/>
            </w:r>
            <w:r>
              <w:rPr>
                <w:sz w:val="24"/>
              </w:rPr>
              <w:t>——</w:t>
            </w:r>
            <w:r>
              <w:rPr>
                <w:rFonts w:hint="eastAsia"/>
                <w:sz w:val="24"/>
              </w:rPr>
              <w:t>每辆运输总扬尘量，</w:t>
            </w:r>
            <w:r>
              <w:rPr>
                <w:sz w:val="24"/>
              </w:rPr>
              <w:t>t/a</w:t>
            </w:r>
            <w:r>
              <w:rPr>
                <w:rFonts w:hint="eastAsia"/>
                <w:sz w:val="24"/>
              </w:rPr>
              <w:t>；</w:t>
            </w:r>
          </w:p>
          <w:p w14:paraId="48DA559D">
            <w:pPr>
              <w:widowControl/>
              <w:spacing w:line="360" w:lineRule="auto"/>
              <w:ind w:firstLine="1200" w:firstLineChars="500"/>
              <w:rPr>
                <w:sz w:val="24"/>
              </w:rPr>
            </w:pPr>
            <w:r>
              <w:rPr>
                <w:sz w:val="24"/>
              </w:rPr>
              <w:fldChar w:fldCharType="begin"/>
            </w:r>
            <w:r>
              <w:rPr>
                <w:sz w:val="24"/>
              </w:rPr>
              <w:instrText xml:space="preserve"> QUOTE </w:instrText>
            </w:r>
            <w:r>
              <w:rPr>
                <w:position w:val="-6"/>
              </w:rPr>
              <w:pict>
                <v:shape id="_x0000_i1030" o:spt="75" type="#_x0000_t75" style="height:14.25pt;width:7.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2782&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B82782&quot; wsp:rsidP=&quot;00B82782&quot;&gt;&lt;m:oMathPara&gt;&lt;m:oMath&gt;&lt;m:r&gt;&lt;m:rPr&gt;&lt;m:sty m:val=&quot;p&quot;/&gt;&lt;/m:rPr&gt;&lt;w:rPr&gt;&lt;w:rFonts w:ascii=&quot;Cambria Math&quot; w:h-ansi=&quot;Cambria Math&quot;/&gt;&lt;wx:font wx:val=&quot;Cambria Math&quot;/&gt;&lt;w:color w:val=&quot;000000&quot;/&gt;&lt;w:sz w:val=&quot;24&quot;/&gt;&lt;/w:rPr&gt;&lt;m:t&gt;U&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6" chromakey="#FFFFFF" o:title=""/>
                  <o:lock v:ext="edit" aspectratio="t"/>
                  <w10:wrap type="none"/>
                  <w10:anchorlock/>
                </v:shape>
              </w:pict>
            </w:r>
            <w:r>
              <w:rPr>
                <w:sz w:val="24"/>
              </w:rPr>
              <w:instrText xml:space="preserve"> </w:instrText>
            </w:r>
            <w:r>
              <w:rPr>
                <w:sz w:val="24"/>
              </w:rPr>
              <w:fldChar w:fldCharType="separate"/>
            </w:r>
            <w:r>
              <w:rPr>
                <w:position w:val="-6"/>
              </w:rPr>
              <w:pict>
                <v:shape id="_x0000_i1031" o:spt="75" type="#_x0000_t75" style="height:14.25pt;width:7.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2782&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B82782&quot; wsp:rsidP=&quot;00B82782&quot;&gt;&lt;m:oMathPara&gt;&lt;m:oMath&gt;&lt;m:r&gt;&lt;m:rPr&gt;&lt;m:sty m:val=&quot;p&quot;/&gt;&lt;/m:rPr&gt;&lt;w:rPr&gt;&lt;w:rFonts w:ascii=&quot;Cambria Math&quot; w:h-ansi=&quot;Cambria Math&quot;/&gt;&lt;wx:font wx:val=&quot;Cambria Math&quot;/&gt;&lt;w:color w:val=&quot;000000&quot;/&gt;&lt;w:sz w:val=&quot;24&quot;/&gt;&lt;/w:rPr&gt;&lt;m:t&gt;U&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6" chromakey="#FFFFFF" o:title=""/>
                  <o:lock v:ext="edit" aspectratio="t"/>
                  <w10:wrap type="none"/>
                  <w10:anchorlock/>
                </v:shape>
              </w:pict>
            </w:r>
            <w:r>
              <w:rPr>
                <w:sz w:val="24"/>
              </w:rPr>
              <w:fldChar w:fldCharType="end"/>
            </w:r>
            <w:r>
              <w:rPr>
                <w:sz w:val="24"/>
              </w:rPr>
              <w:t>——</w:t>
            </w:r>
            <w:r>
              <w:rPr>
                <w:rFonts w:hint="eastAsia"/>
                <w:sz w:val="24"/>
              </w:rPr>
              <w:t>汽车速度，</w:t>
            </w:r>
            <w:r>
              <w:rPr>
                <w:sz w:val="24"/>
              </w:rPr>
              <w:t>km/h</w:t>
            </w:r>
            <w:r>
              <w:rPr>
                <w:rFonts w:hint="eastAsia"/>
                <w:sz w:val="24"/>
              </w:rPr>
              <w:t>；</w:t>
            </w:r>
          </w:p>
          <w:p w14:paraId="664D3C63">
            <w:pPr>
              <w:widowControl/>
              <w:spacing w:line="360" w:lineRule="auto"/>
              <w:ind w:firstLine="1200" w:firstLineChars="500"/>
              <w:rPr>
                <w:sz w:val="24"/>
              </w:rPr>
            </w:pPr>
            <w:r>
              <w:rPr>
                <w:sz w:val="24"/>
              </w:rPr>
              <w:fldChar w:fldCharType="begin"/>
            </w:r>
            <w:r>
              <w:rPr>
                <w:sz w:val="24"/>
              </w:rPr>
              <w:instrText xml:space="preserve"> QUOTE </w:instrText>
            </w:r>
            <w:r>
              <w:rPr>
                <w:position w:val="-6"/>
              </w:rPr>
              <w:pict>
                <v:shape id="_x0000_i1032" o:spt="75" type="#_x0000_t75" style="height:14.25pt;width:12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A5087&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7A5087&quot; wsp:rsidP=&quot;007A5087&quot;&gt;&lt;m:oMathPara&gt;&lt;m:oMath&gt;&lt;m:r&gt;&lt;w:rPr&gt;&lt;w:rFonts w:ascii=&quot;Cambria Math&quot; w:h-ansi=&quot;Cambria Math&quot;/&gt;&lt;wx:font wx:val=&quot;Cambria Math&quot;/&gt;&lt;w:i/&gt;&lt;w:color w:val=&quot;000000&quot;/&gt;&lt;w:sz w:val=&quot;24&quot;/&gt;&lt;/w:rPr&gt;&lt;m:t&gt;W&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7" chromakey="#FFFFFF" o:title=""/>
                  <o:lock v:ext="edit" aspectratio="t"/>
                  <w10:wrap type="none"/>
                  <w10:anchorlock/>
                </v:shape>
              </w:pict>
            </w:r>
            <w:r>
              <w:rPr>
                <w:sz w:val="24"/>
              </w:rPr>
              <w:instrText xml:space="preserve"> </w:instrText>
            </w:r>
            <w:r>
              <w:rPr>
                <w:sz w:val="24"/>
              </w:rPr>
              <w:fldChar w:fldCharType="separate"/>
            </w:r>
            <w:r>
              <w:rPr>
                <w:position w:val="-6"/>
              </w:rPr>
              <w:pict>
                <v:shape id="_x0000_i1033" o:spt="75" type="#_x0000_t75" style="height:14.25pt;width:12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A5087&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7A5087&quot; wsp:rsidP=&quot;007A5087&quot;&gt;&lt;m:oMathPara&gt;&lt;m:oMath&gt;&lt;m:r&gt;&lt;w:rPr&gt;&lt;w:rFonts w:ascii=&quot;Cambria Math&quot; w:h-ansi=&quot;Cambria Math&quot;/&gt;&lt;wx:font wx:val=&quot;Cambria Math&quot;/&gt;&lt;w:i/&gt;&lt;w:color w:val=&quot;000000&quot;/&gt;&lt;w:sz w:val=&quot;24&quot;/&gt;&lt;/w:rPr&gt;&lt;m:t&gt;W&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7" chromakey="#FFFFFF" o:title=""/>
                  <o:lock v:ext="edit" aspectratio="t"/>
                  <w10:wrap type="none"/>
                  <w10:anchorlock/>
                </v:shape>
              </w:pict>
            </w:r>
            <w:r>
              <w:rPr>
                <w:sz w:val="24"/>
              </w:rPr>
              <w:fldChar w:fldCharType="end"/>
            </w:r>
            <w:r>
              <w:rPr>
                <w:sz w:val="24"/>
              </w:rPr>
              <w:t>——</w:t>
            </w:r>
            <w:r>
              <w:rPr>
                <w:rFonts w:hint="eastAsia"/>
                <w:sz w:val="24"/>
              </w:rPr>
              <w:t>汽车重量，</w:t>
            </w:r>
            <w:r>
              <w:rPr>
                <w:sz w:val="24"/>
              </w:rPr>
              <w:t>t</w:t>
            </w:r>
            <w:r>
              <w:rPr>
                <w:rFonts w:hint="eastAsia"/>
                <w:sz w:val="24"/>
              </w:rPr>
              <w:t>；</w:t>
            </w:r>
          </w:p>
          <w:p w14:paraId="51F2B90F">
            <w:pPr>
              <w:widowControl/>
              <w:spacing w:line="360" w:lineRule="auto"/>
              <w:ind w:firstLine="1200" w:firstLineChars="500"/>
            </w:pPr>
            <w:r>
              <w:rPr>
                <w:sz w:val="24"/>
              </w:rPr>
              <w:fldChar w:fldCharType="begin"/>
            </w:r>
            <w:r>
              <w:rPr>
                <w:sz w:val="24"/>
              </w:rPr>
              <w:instrText xml:space="preserve"> QUOTE </w:instrText>
            </w:r>
            <w:r>
              <w:rPr>
                <w:position w:val="-6"/>
              </w:rPr>
              <w:pict>
                <v:shape id="_x0000_i1034" o:spt="75" type="#_x0000_t75" style="height:14.25pt;width:7.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415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34150&quot; wsp:rsidP=&quot;00134150&quot;&gt;&lt;m:oMathPara&gt;&lt;m:oMath&gt;&lt;m:r&gt;&lt;w:rPr&gt;&lt;w:rFonts w:ascii=&quot;Cambria Math&quot; w:h-ansi=&quot;Cambria Math&quot;/&gt;&lt;wx:font wx:val=&quot;Cambria Math&quot;/&gt;&lt;w:i/&gt;&lt;w:color w:val=&quot;000000&quot;/&gt;&lt;w:sz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8" chromakey="#FFFFFF" o:title=""/>
                  <o:lock v:ext="edit" aspectratio="t"/>
                  <w10:wrap type="none"/>
                  <w10:anchorlock/>
                </v:shape>
              </w:pict>
            </w:r>
            <w:r>
              <w:rPr>
                <w:sz w:val="24"/>
              </w:rPr>
              <w:instrText xml:space="preserve"> </w:instrText>
            </w:r>
            <w:r>
              <w:rPr>
                <w:sz w:val="24"/>
              </w:rPr>
              <w:fldChar w:fldCharType="separate"/>
            </w:r>
            <w:r>
              <w:rPr>
                <w:position w:val="-6"/>
              </w:rPr>
              <w:pict>
                <v:shape id="_x0000_i1035" o:spt="75" type="#_x0000_t75" style="height:14.25pt;width:7.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415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34150&quot; wsp:rsidP=&quot;00134150&quot;&gt;&lt;m:oMathPara&gt;&lt;m:oMath&gt;&lt;m:r&gt;&lt;w:rPr&gt;&lt;w:rFonts w:ascii=&quot;Cambria Math&quot; w:h-ansi=&quot;Cambria Math&quot;/&gt;&lt;wx:font wx:val=&quot;Cambria Math&quot;/&gt;&lt;w:i/&gt;&lt;w:color w:val=&quot;000000&quot;/&gt;&lt;w:sz w:val=&quot;24&quot;/&gt;&lt;/w:rPr&gt;&lt;m:t&gt;P&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8" chromakey="#FFFFFF" o:title=""/>
                  <o:lock v:ext="edit" aspectratio="t"/>
                  <w10:wrap type="none"/>
                  <w10:anchorlock/>
                </v:shape>
              </w:pict>
            </w:r>
            <w:r>
              <w:rPr>
                <w:sz w:val="24"/>
              </w:rPr>
              <w:fldChar w:fldCharType="end"/>
            </w:r>
            <w:r>
              <w:rPr>
                <w:sz w:val="24"/>
              </w:rPr>
              <w:t>——</w:t>
            </w:r>
            <w:r>
              <w:rPr>
                <w:rFonts w:hint="eastAsia"/>
                <w:sz w:val="24"/>
              </w:rPr>
              <w:t>道路表面粉尘量，</w:t>
            </w:r>
            <w:r>
              <w:rPr>
                <w:sz w:val="24"/>
              </w:rPr>
              <w:t>kg/m</w:t>
            </w:r>
            <w:r>
              <w:rPr>
                <w:sz w:val="24"/>
                <w:vertAlign w:val="superscript"/>
              </w:rPr>
              <w:t>2</w:t>
            </w:r>
            <w:r>
              <w:rPr>
                <w:rFonts w:hint="eastAsia"/>
                <w:sz w:val="24"/>
              </w:rPr>
              <w:t>，场区路面取</w:t>
            </w:r>
            <w:r>
              <w:rPr>
                <w:sz w:val="24"/>
              </w:rPr>
              <w:t>0.1kg/m</w:t>
            </w:r>
            <w:r>
              <w:rPr>
                <w:sz w:val="24"/>
                <w:vertAlign w:val="superscript"/>
              </w:rPr>
              <w:t>2</w:t>
            </w:r>
            <w:r>
              <w:rPr>
                <w:rFonts w:hint="eastAsia"/>
                <w:sz w:val="24"/>
              </w:rPr>
              <w:t>。</w:t>
            </w:r>
          </w:p>
          <w:p w14:paraId="78605658">
            <w:pPr>
              <w:pStyle w:val="140"/>
              <w:ind w:firstLine="480"/>
            </w:pPr>
            <w:r>
              <w:rPr>
                <w:rFonts w:hint="eastAsia"/>
              </w:rPr>
              <w:t>本项目原料及成品采用汽车运输，运输量约为8万</w:t>
            </w:r>
            <w:r>
              <w:t>t/a</w:t>
            </w:r>
            <w:r>
              <w:rPr>
                <w:rFonts w:hint="eastAsia"/>
              </w:rPr>
              <w:t>，车辆满载重量以35</w:t>
            </w:r>
            <w:r>
              <w:t>t</w:t>
            </w:r>
            <w:r>
              <w:rPr>
                <w:rFonts w:hint="eastAsia"/>
              </w:rPr>
              <w:t>计，空载时以10</w:t>
            </w:r>
            <w:r>
              <w:t>t</w:t>
            </w:r>
            <w:r>
              <w:rPr>
                <w:rFonts w:hint="eastAsia"/>
              </w:rPr>
              <w:t>计，则年平均需汽车运输6400辆次，即空载和满载车流量均为3200辆次。在厂区道路行驶速度按</w:t>
            </w:r>
            <w:r>
              <w:t>10km/h</w:t>
            </w:r>
            <w:r>
              <w:rPr>
                <w:rFonts w:hint="eastAsia"/>
              </w:rPr>
              <w:t>计。</w:t>
            </w:r>
            <w:r>
              <w:t>根据计算：空车</w:t>
            </w:r>
            <w:r>
              <w:fldChar w:fldCharType="begin"/>
            </w:r>
            <w:r>
              <w:instrText xml:space="preserve"> QUOTE </w:instrText>
            </w:r>
            <w:r>
              <w:pict>
                <v:shape id="_x0000_i1036"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instrText xml:space="preserve"> </w:instrText>
            </w:r>
            <w:r>
              <w:fldChar w:fldCharType="separate"/>
            </w:r>
            <w:r>
              <w:pict>
                <v:shape id="_x0000_i1037"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fldChar w:fldCharType="end"/>
            </w:r>
            <w:r>
              <w:t>=</w:t>
            </w:r>
            <w:r>
              <w:rPr>
                <w:rFonts w:hint="eastAsia"/>
              </w:rPr>
              <w:t>0.107</w:t>
            </w:r>
            <w:r>
              <w:t>kg/</w:t>
            </w:r>
            <w:r>
              <w:rPr>
                <w:rFonts w:hint="eastAsia"/>
              </w:rPr>
              <w:t>km；</w:t>
            </w:r>
            <w:r>
              <w:t>重车</w:t>
            </w:r>
            <w:r>
              <w:fldChar w:fldCharType="begin"/>
            </w:r>
            <w:r>
              <w:instrText xml:space="preserve"> QUOTE </w:instrText>
            </w:r>
            <w:r>
              <w:pict>
                <v:shape id="_x0000_i1038"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instrText xml:space="preserve"> </w:instrText>
            </w:r>
            <w:r>
              <w:fldChar w:fldCharType="separate"/>
            </w:r>
            <w:r>
              <w:pict>
                <v:shape id="_x0000_i1039"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fldChar w:fldCharType="end"/>
            </w:r>
            <w:r>
              <w:t>=0.</w:t>
            </w:r>
            <w:r>
              <w:rPr>
                <w:rFonts w:hint="eastAsia"/>
              </w:rPr>
              <w:t>309</w:t>
            </w:r>
            <w:r>
              <w:t>kg/</w:t>
            </w:r>
            <w:r>
              <w:rPr>
                <w:rFonts w:hint="eastAsia"/>
              </w:rPr>
              <w:t>km。厂区行驶距离按40</w:t>
            </w:r>
            <w:r>
              <w:t>m</w:t>
            </w:r>
            <w:r>
              <w:rPr>
                <w:rFonts w:hint="eastAsia"/>
              </w:rPr>
              <w:t>计算，则汽车运输扬尘产生量0.053</w:t>
            </w:r>
            <w:r>
              <w:t>t/a</w:t>
            </w:r>
            <w:r>
              <w:rPr>
                <w:rFonts w:hint="eastAsia"/>
              </w:rPr>
              <w:t>。</w:t>
            </w:r>
          </w:p>
          <w:p w14:paraId="5331ADBD">
            <w:pPr>
              <w:pStyle w:val="140"/>
              <w:ind w:firstLine="480"/>
            </w:pPr>
            <w:r>
              <w:rPr>
                <w:rFonts w:hint="eastAsia"/>
              </w:rPr>
              <w:t>本项目原料采用装载机进行转运，运输量约为4万</w:t>
            </w:r>
            <w:r>
              <w:t>t/a</w:t>
            </w:r>
            <w:r>
              <w:rPr>
                <w:rFonts w:hint="eastAsia"/>
              </w:rPr>
              <w:t>，装载机满载重量以10</w:t>
            </w:r>
            <w:r>
              <w:t>t</w:t>
            </w:r>
            <w:r>
              <w:rPr>
                <w:rFonts w:hint="eastAsia"/>
              </w:rPr>
              <w:t>计，空载时以6</w:t>
            </w:r>
            <w:r>
              <w:t>t</w:t>
            </w:r>
            <w:r>
              <w:rPr>
                <w:rFonts w:hint="eastAsia"/>
              </w:rPr>
              <w:t>计，则年平均需装载机运输20000辆次，即空载和满载车流量均为10000辆次。在厂区道路行驶速度按5</w:t>
            </w:r>
            <w:r>
              <w:t>km/h</w:t>
            </w:r>
            <w:r>
              <w:rPr>
                <w:rFonts w:hint="eastAsia"/>
              </w:rPr>
              <w:t>计。</w:t>
            </w:r>
            <w:r>
              <w:t>根据计算：空车</w:t>
            </w:r>
            <w:r>
              <w:fldChar w:fldCharType="begin"/>
            </w:r>
            <w:r>
              <w:instrText xml:space="preserve"> QUOTE </w:instrText>
            </w:r>
            <w:r>
              <w:pict>
                <v:shape id="_x0000_i1040"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instrText xml:space="preserve"> </w:instrText>
            </w:r>
            <w:r>
              <w:fldChar w:fldCharType="separate"/>
            </w:r>
            <w:r>
              <w:pict>
                <v:shape id="_x0000_i1041"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fldChar w:fldCharType="end"/>
            </w:r>
            <w:r>
              <w:t>=</w:t>
            </w:r>
            <w:r>
              <w:rPr>
                <w:rFonts w:hint="eastAsia"/>
              </w:rPr>
              <w:t>0.034</w:t>
            </w:r>
            <w:r>
              <w:t>kg/</w:t>
            </w:r>
            <w:r>
              <w:rPr>
                <w:rFonts w:hint="eastAsia"/>
              </w:rPr>
              <w:t>km；</w:t>
            </w:r>
            <w:r>
              <w:t>重车</w:t>
            </w:r>
            <w:r>
              <w:fldChar w:fldCharType="begin"/>
            </w:r>
            <w:r>
              <w:instrText xml:space="preserve"> QUOTE </w:instrText>
            </w:r>
            <w:r>
              <w:pict>
                <v:shape id="_x0000_i1042"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instrText xml:space="preserve"> </w:instrText>
            </w:r>
            <w:r>
              <w:fldChar w:fldCharType="separate"/>
            </w:r>
            <w:r>
              <w:pict>
                <v:shape id="_x0000_i1043" o:spt="75" type="#_x0000_t75" style="height:14.25pt;width:11.25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10&quot;/&gt;&lt;w:doNotEmbedSystemFonts/&gt;&lt;w:bordersDontSurroundHeader/&gt;&lt;w:bordersDontSurroundFooter/&gt;&lt;w:hideSpellingError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noLineBreaksAfter w:lang=&quot;ZH-CN&quot; w:val=&quot;([{·‘“〈《「?VerticVerticVerticVerticVerticVerticVerticVerticVerticVertic?ertical尽病迹ǎ郏辏?/&gt;&lt;w:noLineBreaksBefore w:lang=&quot;ZH-CN&quot; w:val=&quot;!),.:;?]}¨·ˇˉ―‖’”…∶、。〃々〉》」』】〕〗！＂＇），．：；？］｀｜｝～￠&quot;/&gt;&lt;w:webPageEncoding w:val=&quot;x-cp20936&quot;/&gt;&lt;w:optimAfter w:lang=&quot;ZH-CN&quot; w:val=&quot;([{·‘“〈《「?VerticizeForAfter w:lang=&quot;ZH-CN&quot; w:val=&quot;([{·‘“〈《「?VerticBrowseAfter w:lang=&quot;ZH-CN&quot; w:val=&quot;([{·‘“〈《「?Verticr/&gt;&lt;w:After w:lang=&quot;ZH-CN&quot; w:val=&quot;([{·‘“〈《「?VertictargetAfter w:lang=&quot;ZH-CN&quot; w:val=&quot;([{·‘“〈《「?VerticScreenAfter w:lang=&quot;ZH-CN&quot; w:va w:val=&quot;([{·‘“〈《「?Verticl=&quot;([{·‘“〈《「?VerticSz w:vAfter w:lang=&quot;ZH-CN&quot; w:va w:val=&quot;([{·‘“〈《「?Verticl=&quot;([{·‘“〈《「?Vertical=&quot;80After w:lang=&quot;ZH-CN&quot; w:va w:val=&quot;([{·‘“〈《「?Verticl=&quot;([{·‘“〈《「?Vertic0x600&quot;After w:lang=&quot;ZH-CN&quot; w:va w:val=&quot;([{·‘“〈《「?Ver&quot;ZH-CN&quot; w:va w:val=&quot;([{·‘“〈《「?Verticticl=&quot;([{·‘“〈《「?Vertic/&gt;&lt;w:sAfter w:lang=&quot;ZH-CN&quot; w:va w:val=&quot;([{·‘“〈《「?Ver&quot;ZH-CN&quot; w:va w:val=&quot;([{·‘“〈《「?Verticticl=&quot;([{·‘“〈《「?Verticvalidatefter w:lang=&quot;ZH-CN&quot; w:v w:val=&quot;([{·‘“〈《「?Ver&quot;ZH-CN&quot; w:va w:val=&quot;([{·‘“〈《「?Verti&quot;ZH-CN&quot; w:va w:val=&quot;([{·‘“〈《「?Verticctical=&quot;([{·‘“〈《「『?erticalAgainstSchema w:val=&quot;off&quot;/&gt;&quot; w:val=&quot;([{·‘“〈《「?Ve=&quot;ZH-CN&quot; w:va w:val=&quot;([{·‘“〈《「?Vertr&quot;ZH-CN&quot; w:va w:val=&quot;([{·‘“〈《「?Verticicrtic&lt;w:saveInvalidXML w:val=&quot;off&quot;/&gt;&lt;w:ignoreMixedContent w:vl=&quot;([{·‘“〈《「?VerN&quot; w:va w:val=&quot;([{·‘“〈《「?VerticticaN&quot; w:va w:val=&quot;([{·‘“〈《「?Verticl=&quot;N&quot; w:va w:val=&quot;([{·‘“〈《「?Verticoff&quot;/&gt;&lt;w:alwaysShowPlaceholderText w:val=&quot;off&quot;/&gt;&lt;w:d·‘“〈《「?VerticoNotUnderlinv w:val w:val=&quot;([{·‘“〈《「?Vertic=&quot;([{·‘“〈《「?VerticeInvalidXML/&gt;&lt;w w:val=&quot;([{·‘rN&quot; w:va w:val=&quot;([{·‘“〈《「?Vertic“〈《「?Vertic:compat&gt;&lt;w:spaceForUL/&gt;&lt;w:bal?VerticanceSingleByteDoubleByteWidth/&gt;&lt;w:do‘“〈《「?VerticNotLeavw:val=&quot;([{·‘“〈《「?VerticeBackslashAlone/&gt;&lt;w:ulTrail&quot;([{·‘“〈《「?VerticSpace/&gt;&lt;w:dw:val w:val=&quot;([{·‘“〈《「?VerticoNotExpandShiftRetu:va w:val=&quot;([{·‘“〈《「?Verticrn/&gt;&lt;w:adjustLineVerticHeightInTable/&gt;&lt;w:breakWrappedTables/&gt;&lt;w:snapToGridInCel“〈《「?Verticl/&gt;&lt;w:wrerticapTextWithPunct/&gt;&lt;w:useAsianBreakRules/&gt;&lt;w:dontGrowAutofit/&gt;&lt;w:useFE〈《「?VerticLayout/&gt;&lt;/w:compat&gt;&lt;wsp:rsids&gt;&lt;wsp:rsidRoot wsp:?Verticval=&quot;00A1494?Vertic7&quot;/&gt;&lt;wsp:rsid wsp:val=&quot;00002552&quot;/&gt;&lt;wsp:rsid wsp:val=&quot;00003654&quot;/&gt;&lt;wsp:rsid wsp:val=&quot;000036D8&quot;/&gt;&lt;wsp:rsid wsp:val=&quot;000038E1&quot;/&gt;&lt;wsp:rsid wsp:val=&quot;000060B3&quot;/&gt;&lt;wsp:rsid wsp:val=&quot;00016A48&quot;/&gt;&lt;wsp:rsid wsp:val=&quot;00025B0F&quot;/&gt;&lt;wsp:rsid wsp:val=&quot;00032475&quot;/&gt;&lt;wsp:rsid wsp:val=&quot;000328BF&quot;/&gt;&lt;wsp:rsid wsp:val=&quot;00033E0C&quot;/&gt;&lt;wsp:rsid wsp:val=&quot;00033FF6&quot;/&gt;&lt;wsp:rsid wsp:val=&quot;00036B4E&quot;/&gt;&lt;wsp:rsid wsp:val=&quot;00037A60&quot;/&gt;&lt;wsp:rsid wsp:val=&quot;00042680&quot;/&gt;&lt;wsp:rsid wsp:val=&quot;0004364B&quot;/&gt;&lt;wsp:rsid wsp:val=&quot;0005175D&quot;/&gt;&lt;wsp:rsid wsp:val=&quot;000522EA&quot;/&gt;&lt;wsp:rsid wsp:val=&quot;000529D7&quot;/&gt;&lt;wsp:rsid wsp:val=&quot;000543C0&quot;/&gt;&lt;wsp:rsid wsp:val=&quot;000549C7&quot;/&gt;&lt;wsp:rsid wsp:val=&quot;00055CAC&quot;/&gt;&lt;wsp:rsid wsp:val=&quot;00061B1F&quot;/&gt;&lt;wsp:rsid wsp:val=&quot;00065853&quot;/&gt;&lt;wsp:rsid wsp:val=&quot;000733C4&quot;/&gt;&lt;wsp:rsid wsp:val=&quot;000738D7&quot;/&gt;&lt;wsp:rsid wsp:val=&quot;000741C0&quot;/&gt;&lt;wsp:rsid wsp:val=&quot;00074783&quot;/&gt;&lt;wsp:rsid wsp:val=&quot;00076C5C&quot;/&gt;&lt;wsp:rsid wsp:val=&quot;00077D8C&quot;/&gt;&lt;wsp:rsid wsp:val=&quot;0008070B&quot;/&gt;&lt;wsp:rsid wsp:val=&quot;000810AC&quot;/&gt;&lt;wsp:rsid wsp:val=&quot;00081A02&quot;/&gt;&lt;wsp:rsid wsp:val=&quot;00081C69&quot;/&gt;&lt;wsp:rsid wsp:val=&quot;00081ED4&quot;/&gt;&lt;wsp:rsid wsp:val=&quot;00082231&quot;/&gt;&lt;wsp:rsid wsp:val=&quot;00084949&quot;/&gt;&lt;wsp:rsid wsp:val=&quot;00091AAB&quot;/&gt;&lt;wsp:rsid wsp:val=&quot;0009290E&quot;/&gt;&lt;wsp:rsid wsp:val=&quot;00092D38&quot;/&gt;&lt;wsp:rsid wsp:val=&quot;0009377B&quot;/&gt;&lt;wsp:rsid wsp:val=&quot;000A20C9&quot;/&gt;&lt;wsp:rsid wsp:val=&quot;000A5185&quot;/&gt;&lt;wsp:rsid wsp:val=&quot;000A5B3C&quot;/&gt;&lt;wsp:rsid wsp:val=&quot;000B058F&quot;/&gt;&lt;wsp:rsid wsp:val=&quot;000B0B31&quot;/&gt;&lt;wsp:rsid wsp:val=&quot;000B1285&quot;/&gt;&lt;wsp:rsid wsp:val=&quot;000B1A30&quot;/&gt;&lt;wsp:rsid wsp:val=&quot;000B4467&quot;/&gt;&lt;wsp:rsid wsp:val=&quot;000B4DB9&quot;/&gt;&lt;wsp:rsid wsp:val=&quot;000C09AC&quot;/&gt;&lt;wsp:rsid wsp:val=&quot;000C6D90&quot;/&gt;&lt;wsp:rsid wsp:val=&quot;000C767F&quot;/&gt;&lt;wsp:rsid wsp:val=&quot;000D5A44&quot;/&gt;&lt;wsp:rsid wsp:val=&quot;000E1746&quot;/&gt;&lt;wsp:rsid wsp:val=&quot;000E207C&quot;/&gt;&lt;wsp:rsid wsp:val=&quot;000E3ED2&quot;/&gt;&lt;wsp:rsid wsp:val=&quot;000E6773&quot;/&gt;&lt;wsp:rsid wsp:val=&quot;000F0FC3&quot;/&gt;&lt;wsp:rsid wsp:val=&quot;000F37CF&quot;/&gt;&lt;wsp:rsid wsp:val=&quot;000F5C69&quot;/&gt;&lt;wsp:rsid wsp:val=&quot;000F619F&quot;/&gt;&lt;wsp:rsid wsp:val=&quot;000F6450&quot;/&gt;&lt;wsp:rsid wsp:val=&quot;000F7EA8&quot;/&gt;&lt;wsp:rsid wsp:val=&quot;00104D63&quot;/&gt;&lt;wsp:rsid wsp:val=&quot;00113E14&quot;/&gt;&lt;wsp:rsid wsp:val=&quot;00114F9F&quot;/&gt;&lt;wsp:rsid wsp:val=&quot;00116060&quot;/&gt;&lt;wsp:rsid wsp:val=&quot;0011655F&quot;/&gt;&lt;wsp:rsid wsp:val=&quot;00123434&quot;/&gt;&lt;wsp:rsid wsp:val=&quot;00124F53&quot;/&gt;&lt;wsp:rsid wsp:val=&quot;001314B4&quot;/&gt;&lt;wsp:rsid wsp:val=&quot;00131F42&quot;/&gt;&lt;wsp:rsid wsp:val=&quot;00132CF0&quot;/&gt;&lt;wsp:rsid wsp:val=&quot;001357F1&quot;/&gt;&lt;wsp:rsid wsp:val=&quot;00140FA8&quot;/&gt;&lt;wsp:rsid wsp:val=&quot;00142271&quot;/&gt;&lt;wsp:rsid wsp:val=&quot;00142FEB&quot;/&gt;&lt;wsp:rsid wsp:val=&quot;00143A2D&quot;/&gt;&lt;wsp:rsid wsp:val=&quot;00145A41&quot;/&gt;&lt;wsp:rsid wsp:val=&quot;00146412&quot;/&gt;&lt;wsp:rsid wsp:val=&quot;0014679B&quot;/&gt;&lt;wsp:rsid wsp:val=&quot;00151675&quot;/&gt;&lt;wsp:rsid wsp:val=&quot;00157435&quot;/&gt;&lt;wsp:rsid wsp:val=&quot;001615EF&quot;/&gt;&lt;wsp:rsid wsp:val=&quot;001710CB&quot;/&gt;&lt;wsp:rsid wsp:val=&quot;00174F7E&quot;/&gt;&lt;wsp:rsid wsp:val=&quot;0017504D&quot;/&gt;&lt;wsp:rsid wsp:val=&quot;00176515&quot;/&gt;&lt;wsp:rsid wsp:val=&quot;0017671A&quot;/&gt;&lt;wsp:rsid wsp:val=&quot;00177422&quot;/&gt;&lt;wsp:rsid wsp:val=&quot;00181F65&quot;/&gt;&lt;wsp:rsid wsp:val=&quot;00184590&quot;/&gt;&lt;wsp:rsid wsp:val=&quot;00186E0D&quot;/&gt;&lt;wsp:rsid wsp:val=&quot;001870D1&quot;/&gt;&lt;wsp:rsid wsp:val=&quot;0018781E&quot;/&gt;&lt;wsp:rsid wsp:val=&quot;0019262D&quot;/&gt;&lt;wsp:rsid wsp:val=&quot;00193C19&quot;/&gt;&lt;wsp:rsid wsp:val=&quot;001A1B35&quot;/&gt;&lt;wsp:rsid wsp:val=&quot;001A41DC&quot;/&gt;&lt;wsp:rsid wsp:val=&quot;001A48A2&quot;/&gt;&lt;wsp:rsid wsp:val=&quot;001A50D2&quot;/&gt;&lt;wsp:rsid wsp:val=&quot;001A6F61&quot;/&gt;&lt;wsp:rsid wsp:val=&quot;001A754E&quot;/&gt;&lt;wsp:rsid wsp:val=&quot;001B05DF&quot;/&gt;&lt;wsp:rsid wsp:val=&quot;001B5B45&quot;/&gt;&lt;wsp:rsid wsp:val=&quot;001B72B8&quot;/&gt;&lt;wsp:rsid wsp:val=&quot;001C1673&quot;/&gt;&lt;wsp:rsid wsp:val=&quot;001C69B3&quot;/&gt;&lt;wsp:rsid wsp:val=&quot;001D5595&quot;/&gt;&lt;wsp:rsid wsp:val=&quot;001D564A&quot;/&gt;&lt;wsp:rsid wsp:val=&quot;001D7874&quot;/&gt;&lt;wsp:rsid wsp:val=&quot;001D7F22&quot;/&gt;&lt;wsp:rsid wsp:val=&quot;001E25A6&quot;/&gt;&lt;wsp:rsid wsp:val=&quot;001E7705&quot;/&gt;&lt;wsp:rsid wsp:val=&quot;001F0F17&quot;/&gt;&lt;wsp:rsid wsp:val=&quot;001F17D5&quot;/&gt;&lt;wsp:rsid wsp:val=&quot;001F3154&quot;/&gt;&lt;wsp:rsid wsp:val=&quot;001F3169&quot;/&gt;&lt;wsp:rsid wsp:val=&quot;001F3347&quot;/&gt;&lt;wsp:rsid wsp:val=&quot;001F4499&quot;/&gt;&lt;wsp:rsid wsp:val=&quot;001F53D2&quot;/&gt;&lt;wsp:rsid wsp:val=&quot;001F69E4&quot;/&gt;&lt;wsp:rsid wsp:val=&quot;001F6DA3&quot;/&gt;&lt;wsp:rsid wsp:val=&quot;00200592&quot;/&gt;&lt;wsp:rsid wsp:val=&quot;002035D4&quot;/&gt;&lt;wsp:rsid wsp:val=&quot;00211BD6&quot;/&gt;&lt;wsp:rsid wsp:val=&quot;00212060&quot;/&gt;&lt;wsp:rsid wsp:val=&quot;002125B4&quot;/&gt;&lt;wsp:rsid wsp:val=&quot;00215433&quot;/&gt;&lt;wsp:rsid wsp:val=&quot;002155B8&quot;/&gt;&lt;wsp:rsid wsp:val=&quot;002216E4&quot;/&gt;&lt;wsp:rsid wsp:val=&quot;00223F3E&quot;/&gt;&lt;wsp:rsid wsp:val=&quot;00224839&quot;/&gt;&lt;wsp:rsid wsp:val=&quot;002249B2&quot;/&gt;&lt;wsp:rsid wsp:val=&quot;00226574&quot;/&gt;&lt;wsp:rsid wsp:val=&quot;002278EC&quot;/&gt;&lt;wsp:rsid wsp:val=&quot;00230585&quot;/&gt;&lt;wsp:rsid wsp:val=&quot;0023280E&quot;/&gt;&lt;wsp:rsid wsp:val=&quot;002358C4&quot;/&gt;&lt;wsp:rsid wsp:val=&quot;0023640B&quot;/&gt;&lt;wsp:rsid wsp:val=&quot;002369D2&quot;/&gt;&lt;wsp:rsid wsp:val=&quot;002377D1&quot;/&gt;&lt;wsp:rsid wsp:val=&quot;002420B7&quot;/&gt;&lt;wsp:rsid wsp:val=&quot;00243119&quot;/&gt;&lt;wsp:rsid wsp:val=&quot;00246BBE&quot;/&gt;&lt;wsp:rsid wsp:val=&quot;002506BC&quot;/&gt;&lt;wsp:rsid wsp:val=&quot;0025297B&quot;/&gt;&lt;wsp:rsid wsp:val=&quot;00254345&quot;/&gt;&lt;wsp:rsid wsp:val=&quot;00262889&quot;/&gt;&lt;wsp:rsid wsp:val=&quot;00262A6A&quot;/&gt;&lt;wsp:rsid wsp:val=&quot;00263D25&quot;/&gt;&lt;wsp:rsid wsp:val=&quot;00264557&quot;/&gt;&lt;wsp:rsid wsp:val=&quot;002805AB&quot;/&gt;&lt;wsp:rsid wsp:val=&quot;00281724&quot;/&gt;&lt;wsp:rsid wsp:val=&quot;002820E9&quot;/&gt;&lt;wsp:rsid wsp:val=&quot;002832D4&quot;/&gt;&lt;wsp:rsid wsp:val=&quot;00284204&quot;/&gt;&lt;wsp:rsid wsp:val=&quot;00284EE3&quot;/&gt;&lt;wsp:rsid wsp:val=&quot;00291773&quot;/&gt;&lt;wsp:rsid wsp:val=&quot;00297DCD&quot;/&gt;&lt;wsp:rsid wsp:val=&quot;002A0428&quot;/&gt;&lt;wsp:rsid wsp:val=&quot;002A168C&quot;/&gt;&lt;wsp:rsid wsp:val=&quot;002A3DC7&quot;/&gt;&lt;wsp:rsid wsp:val=&quot;002A528B&quot;/&gt;&lt;wsp:rsid wsp:val=&quot;002B1484&quot;/&gt;&lt;wsp:rsid wsp:val=&quot;002B1B68&quot;/&gt;&lt;wsp:rsid wsp:val=&quot;002B49E2&quot;/&gt;&lt;wsp:rsid wsp:val=&quot;002B7B00&quot;/&gt;&lt;wsp:rsid wsp:val=&quot;002B7C44&quot;/&gt;&lt;wsp:rsid wsp:val=&quot;002C054E&quot;/&gt;&lt;wsp:rsid wsp:val=&quot;002C2B17&quot;/&gt;&lt;wsp:rsid wsp:val=&quot;002C5132&quot;/&gt;&lt;wsp:rsid wsp:val=&quot;002C5C4D&quot;/&gt;&lt;wsp:rsid wsp:val=&quot;002D00EB&quot;/&gt;&lt;wsp:rsid wsp:val=&quot;002D038B&quot;/&gt;&lt;wsp:rsid wsp:val=&quot;002D193C&quot;/&gt;&lt;wsp:rsid wsp:val=&quot;002D2BC2&quot;/&gt;&lt;wsp:rsid wsp:val=&quot;002D3165&quot;/&gt;&lt;wsp:rsid wsp:val=&quot;002D3DD0&quot;/&gt;&lt;wsp:rsid wsp:val=&quot;002D3F4A&quot;/&gt;&lt;wsp:rsid wsp:val=&quot;002D6A44&quot;/&gt;&lt;wsp:rsid wsp:val=&quot;002E1F3A&quot;/&gt;&lt;wsp:rsid wsp:val=&quot;002E298A&quot;/&gt;&lt;wsp:rsid wsp:val=&quot;002E4117&quot;/&gt;&lt;wsp:rsid wsp:val=&quot;002E62AD&quot;/&gt;&lt;wsp:rsid wsp:val=&quot;002F0535&quot;/&gt;&lt;wsp:rsid wsp:val=&quot;00301978&quot;/&gt;&lt;wsp:rsid wsp:val=&quot;0030332C&quot;/&gt;&lt;wsp:rsid wsp:val=&quot;00304102&quot;/&gt;&lt;wsp:rsid wsp:val=&quot;00304220&quot;/&gt;&lt;wsp:rsid wsp:val=&quot;003051C2&quot;/&gt;&lt;wsp:rsid wsp:val=&quot;003114D1&quot;/&gt;&lt;wsp:rsid wsp:val=&quot;00312178&quot;/&gt;&lt;wsp:rsid wsp:val=&quot;00312296&quot;/&gt;&lt;wsp:rsid wsp:val=&quot;0031351C&quot;/&gt;&lt;wsp:rsid wsp:val=&quot;00314F0E&quot;/&gt;&lt;wsp:rsid wsp:val=&quot;0031744B&quot;/&gt;&lt;wsp:rsid wsp:val=&quot;003211D5&quot;/&gt;&lt;wsp:rsid wsp:val=&quot;00321D8E&quot;/&gt;&lt;wsp:rsid wsp:val=&quot;0032362F&quot;/&gt;&lt;wsp:rsid wsp:val=&quot;00325928&quot;/&gt;&lt;wsp:rsid wsp:val=&quot;00331D78&quot;/&gt;&lt;wsp:rsid wsp:val=&quot;00331DDB&quot;/&gt;&lt;wsp:rsid wsp:val=&quot;0033225A&quot;/&gt;&lt;wsp:rsid wsp:val=&quot;00332656&quot;/&gt;&lt;wsp:rsid wsp:val=&quot;00332863&quot;/&gt;&lt;wsp:rsid wsp:val=&quot;003329BE&quot;/&gt;&lt;wsp:rsid wsp:val=&quot;00334B7C&quot;/&gt;&lt;wsp:rsid wsp:val=&quot;0033684D&quot;/&gt;&lt;wsp:rsid wsp:val=&quot;00337B42&quot;/&gt;&lt;wsp:rsid wsp:val=&quot;00341B42&quot;/&gt;&lt;wsp:rsid wsp:val=&quot;00341B5B&quot;/&gt;&lt;wsp:rsid wsp:val=&quot;0034348F&quot;/&gt;&lt;wsp:rsid wsp:val=&quot;00347BA9&quot;/&gt;&lt;wsp:rsid wsp:val=&quot;00355A4A&quot;/&gt;&lt;wsp:rsid wsp:val=&quot;00356574&quot;/&gt;&lt;wsp:rsid wsp:val=&quot;00356653&quot;/&gt;&lt;wsp:rsid wsp:val=&quot;0035743F&quot;/&gt;&lt;wsp:rsid wsp:val=&quot;00357BE2&quot;/&gt;&lt;wsp:rsid wsp:val=&quot;0036170C&quot;/&gt;&lt;wsp:rsid wsp:val=&quot;00361CAE&quot;/&gt;&lt;wsp:rsid wsp:val=&quot;00366E0F&quot;/&gt;&lt;wsp:rsid wsp:val=&quot;003804F8&quot;/&gt;&lt;wsp:rsid wsp:val=&quot;00381A72&quot;/&gt;&lt;wsp:rsid wsp:val=&quot;0038349A&quot;/&gt;&lt;wsp:rsid wsp:val=&quot;00383CFD&quot;/&gt;&lt;wsp:rsid wsp:val=&quot;00384676&quot;/&gt;&lt;wsp:rsid wsp:val=&quot;0038515D&quot;/&gt;&lt;wsp:rsid wsp:val=&quot;00386EBE&quot;/&gt;&lt;wsp:rsid wsp:val=&quot;00390857&quot;/&gt;&lt;wsp:rsid wsp:val=&quot;003908AB&quot;/&gt;&lt;wsp:rsid wsp:val=&quot;003917B9&quot;/&gt;&lt;wsp:rsid wsp:val=&quot;00392899&quot;/&gt;&lt;wsp:rsid wsp:val=&quot;003947FC&quot;/&gt;&lt;wsp:rsid wsp:val=&quot;00395072&quot;/&gt;&lt;wsp:rsid wsp:val=&quot;00397958&quot;/&gt;&lt;wsp:rsid wsp:val=&quot;003A05B9&quot;/&gt;&lt;wsp:rsid wsp:val=&quot;003A2942&quot;/&gt;&lt;wsp:rsid wsp:val=&quot;003A4BF3&quot;/&gt;&lt;wsp:rsid wsp:val=&quot;003A51D3&quot;/&gt;&lt;wsp:rsid wsp:val=&quot;003A6E75&quot;/&gt;&lt;wsp:rsid wsp:val=&quot;003A79AA&quot;/&gt;&lt;wsp:rsid wsp:val=&quot;003B420D&quot;/&gt;&lt;wsp:rsid wsp:val=&quot;003B7DE2&quot;/&gt;&lt;wsp:rsid wsp:val=&quot;003C38DB&quot;/&gt;&lt;wsp:rsid wsp:val=&quot;003C6C16&quot;/&gt;&lt;wsp:rsid wsp:val=&quot;003D3233&quot;/&gt;&lt;wsp:rsid wsp:val=&quot;003D6392&quot;/&gt;&lt;wsp:rsid wsp:val=&quot;003D6B6E&quot;/&gt;&lt;wsp:rsid wsp:val=&quot;003D7907&quot;/&gt;&lt;wsp:rsid wsp:val=&quot;003D794D&quot;/&gt;&lt;wsp:rsid wsp:val=&quot;003E3058&quot;/&gt;&lt;wsp:rsid wsp:val=&quot;003E3313&quot;/&gt;&lt;wsp:rsid wsp:val=&quot;003E4493&quot;/&gt;&lt;wsp:rsid wsp:val=&quot;003E76A9&quot;/&gt;&lt;wsp:rsid wsp:val=&quot;003E7D90&quot;/&gt;&lt;wsp:rsid wsp:val=&quot;003F0809&quot;/&gt;&lt;wsp:rsid wsp:val=&quot;003F1788&quot;/&gt;&lt;wsp:rsid wsp:val=&quot;003F46C6&quot;/&gt;&lt;wsp:rsid wsp:val=&quot;003F6A8C&quot;/&gt;&lt;wsp:rsid wsp:val=&quot;003F755C&quot;/&gt;&lt;wsp:rsid wsp:val=&quot;00400155&quot;/&gt;&lt;wsp:rsid wsp:val=&quot;0040075C&quot;/&gt;&lt;wsp:rsid wsp:val=&quot;00406F01&quot;/&gt;&lt;wsp:rsid wsp:val=&quot;00411037&quot;/&gt;&lt;wsp:rsid wsp:val=&quot;00411CDC&quot;/&gt;&lt;wsp:rsid wsp:val=&quot;004159F7&quot;/&gt;&lt;wsp:rsid wsp:val=&quot;00416D50&quot;/&gt;&lt;wsp:rsid wsp:val=&quot;00416FD5&quot;/&gt;&lt;wsp:rsid wsp:val=&quot;00417772&quot;/&gt;&lt;wsp:rsid wsp:val=&quot;00420ABF&quot;/&gt;&lt;wsp:rsid wsp:val=&quot;00420E6A&quot;/&gt;&lt;wsp:rsid wsp:val=&quot;00425A9E&quot;/&gt;&lt;wsp:rsid wsp:val=&quot;00425C51&quot;/&gt;&lt;wsp:rsid wsp:val=&quot;00426952&quot;/&gt;&lt;wsp:rsid wsp:val=&quot;00426D6B&quot;/&gt;&lt;wsp:rsid wsp:val=&quot;00431E6C&quot;/&gt;&lt;wsp:rsid wsp:val=&quot;004338FB&quot;/&gt;&lt;wsp:rsid wsp:val=&quot;00433CE7&quot;/&gt;&lt;wsp:rsid wsp:val=&quot;004350EB&quot;/&gt;&lt;wsp:rsid wsp:val=&quot;00444FEF&quot;/&gt;&lt;wsp:rsid wsp:val=&quot;00445F97&quot;/&gt;&lt;wsp:rsid wsp:val=&quot;00452738&quot;/&gt;&lt;wsp:rsid wsp:val=&quot;0045349C&quot;/&gt;&lt;wsp:rsid wsp:val=&quot;00455B41&quot;/&gt;&lt;wsp:rsid wsp:val=&quot;00456091&quot;/&gt;&lt;wsp:rsid wsp:val=&quot;00465964&quot;/&gt;&lt;wsp:rsid wsp:val=&quot;00466321&quot;/&gt;&lt;wsp:rsid wsp:val=&quot;0046763D&quot;/&gt;&lt;wsp:rsid wsp:val=&quot;00477D1B&quot;/&gt;&lt;wsp:rsid wsp:val=&quot;004814EB&quot;/&gt;&lt;wsp:rsid wsp:val=&quot;00481C33&quot;/&gt;&lt;wsp:rsid wsp:val=&quot;00482D8A&quot;/&gt;&lt;wsp:rsid wsp:val=&quot;00484B9B&quot;/&gt;&lt;wsp:rsid wsp:val=&quot;004855F6&quot;/&gt;&lt;wsp:rsid wsp:val=&quot;00485E39&quot;/&gt;&lt;wsp:rsid wsp:val=&quot;0048661E&quot;/&gt;&lt;wsp:rsid wsp:val=&quot;00486F65&quot;/&gt;&lt;wsp:rsid wsp:val=&quot;00490D2A&quot;/&gt;&lt;wsp:rsid wsp:val=&quot;00492FA4&quot;/&gt;&lt;wsp:rsid wsp:val=&quot;00494670&quot;/&gt;&lt;wsp:rsid wsp:val=&quot;00497969&quot;/&gt;&lt;wsp:rsid wsp:val=&quot;00497E0A&quot;/&gt;&lt;wsp:rsid wsp:val=&quot;004A1202&quot;/&gt;&lt;wsp:rsid wsp:val=&quot;004A3823&quot;/&gt;&lt;wsp:rsid wsp:val=&quot;004A5292&quot;/&gt;&lt;wsp:rsid wsp:val=&quot;004A612E&quot;/&gt;&lt;wsp:rsid wsp:val=&quot;004B1B97&quot;/&gt;&lt;wsp:rsid wsp:val=&quot;004B37C2&quot;/&gt;&lt;wsp:rsid wsp:val=&quot;004B7E2C&quot;/&gt;&lt;wsp:rsid wsp:val=&quot;004C49C3&quot;/&gt;&lt;wsp:rsid wsp:val=&quot;004C6DD8&quot;/&gt;&lt;wsp:rsid wsp:val=&quot;004C77E4&quot;/&gt;&lt;wsp:rsid wsp:val=&quot;004D00E3&quot;/&gt;&lt;wsp:rsid wsp:val=&quot;004D23AA&quot;/&gt;&lt;wsp:rsid wsp:val=&quot;004D4E36&quot;/&gt;&lt;wsp:rsid wsp:val=&quot;004D7F48&quot;/&gt;&lt;wsp:rsid wsp:val=&quot;004E5BE1&quot;/&gt;&lt;wsp:rsid wsp:val=&quot;004E6946&quot;/&gt;&lt;wsp:rsid wsp:val=&quot;004F1846&quot;/&gt;&lt;wsp:rsid wsp:val=&quot;004F1AD8&quot;/&gt;&lt;wsp:rsid wsp:val=&quot;004F1BCB&quot;/&gt;&lt;wsp:rsid wsp:val=&quot;004F6E32&quot;/&gt;&lt;wsp:rsid wsp:val=&quot;00500A55&quot;/&gt;&lt;wsp:rsid wsp:val=&quot;005039CB&quot;/&gt;&lt;wsp:rsid wsp:val=&quot;0050558F&quot;/&gt;&lt;wsp:rsid wsp:val=&quot;00506286&quot;/&gt;&lt;wsp:rsid wsp:val=&quot;00506C12&quot;/&gt;&lt;wsp:rsid wsp:val=&quot;005106B4&quot;/&gt;&lt;wsp:rsid wsp:val=&quot;00510813&quot;/&gt;&lt;wsp:rsid wsp:val=&quot;00511020&quot;/&gt;&lt;wsp:rsid wsp:val=&quot;00511990&quot;/&gt;&lt;wsp:rsid wsp:val=&quot;00511DE0&quot;/&gt;&lt;wsp:rsid wsp:val=&quot;00512959&quot;/&gt;&lt;wsp:rsid wsp:val=&quot;00512F3A&quot;/&gt;&lt;wsp:rsid wsp:val=&quot;00514870&quot;/&gt;&lt;wsp:rsid wsp:val=&quot;00514B9B&quot;/&gt;&lt;wsp:rsid wsp:val=&quot;00517F02&quot;/&gt;&lt;wsp:rsid wsp:val=&quot;00521FC4&quot;/&gt;&lt;wsp:rsid wsp:val=&quot;00522183&quot;/&gt;&lt;wsp:rsid wsp:val=&quot;00522EA5&quot;/&gt;&lt;wsp:rsid wsp:val=&quot;00524303&quot;/&gt;&lt;wsp:rsid wsp:val=&quot;005258A2&quot;/&gt;&lt;wsp:rsid wsp:val=&quot;005401AE&quot;/&gt;&lt;wsp:rsid wsp:val=&quot;00542E07&quot;/&gt;&lt;wsp:rsid wsp:val=&quot;00545424&quot;/&gt;&lt;wsp:rsid wsp:val=&quot;005501A4&quot;/&gt;&lt;wsp:rsid wsp:val=&quot;00554A59&quot;/&gt;&lt;wsp:rsid wsp:val=&quot;00554A7B&quot;/&gt;&lt;wsp:rsid wsp:val=&quot;0055572C&quot;/&gt;&lt;wsp:rsid wsp:val=&quot;0055613F&quot;/&gt;&lt;wsp:rsid wsp:val=&quot;0056106A&quot;/&gt;&lt;wsp:rsid wsp:val=&quot;00563562&quot;/&gt;&lt;wsp:rsid wsp:val=&quot;00571188&quot;/&gt;&lt;wsp:rsid wsp:val=&quot;005720AE&quot;/&gt;&lt;wsp:rsid wsp:val=&quot;00573705&quot;/&gt;&lt;wsp:rsid wsp:val=&quot;00586925&quot;/&gt;&lt;wsp:rsid wsp:val=&quot;00587664&quot;/&gt;&lt;wsp:rsid wsp:val=&quot;00592514&quot;/&gt;&lt;wsp:rsid wsp:val=&quot;00594D77&quot;/&gt;&lt;wsp:rsid wsp:val=&quot;005969E4&quot;/&gt;&lt;wsp:rsid wsp:val=&quot;005A06B7&quot;/&gt;&lt;wsp:rsid wsp:val=&quot;005A0A7E&quot;/&gt;&lt;wsp:rsid wsp:val=&quot;005A1759&quot;/&gt;&lt;wsp:rsid wsp:val=&quot;005A3229&quot;/&gt;&lt;wsp:rsid wsp:val=&quot;005A68A7&quot;/&gt;&lt;wsp:rsid wsp:val=&quot;005B3C80&quot;/&gt;&lt;wsp:rsid wsp:val=&quot;005B42B3&quot;/&gt;&lt;wsp:rsid wsp:val=&quot;005B5AEA&quot;/&gt;&lt;wsp:rsid wsp:val=&quot;005B6A48&quot;/&gt;&lt;wsp:rsid wsp:val=&quot;005B784A&quot;/&gt;&lt;wsp:rsid wsp:val=&quot;005C6178&quot;/&gt;&lt;wsp:rsid wsp:val=&quot;005C7E7D&quot;/&gt;&lt;wsp:rsid wsp:val=&quot;005C7EFD&quot;/&gt;&lt;wsp:rsid wsp:val=&quot;005D0CA8&quot;/&gt;&lt;wsp:rsid wsp:val=&quot;005D36AB&quot;/&gt;&lt;wsp:rsid wsp:val=&quot;005D54DA&quot;/&gt;&lt;wsp:rsid wsp:val=&quot;005D75C4&quot;/&gt;&lt;wsp:rsid wsp:val=&quot;005E33E6&quot;/&gt;&lt;wsp:rsid wsp:val=&quot;005F700F&quot;/&gt;&lt;wsp:rsid wsp:val=&quot;005F7FD0&quot;/&gt;&lt;wsp:rsid wsp:val=&quot;006002E3&quot;/&gt;&lt;wsp:rsid wsp:val=&quot;00605D03&quot;/&gt;&lt;wsp:rsid wsp:val=&quot;00611556&quot;/&gt;&lt;wsp:rsid wsp:val=&quot;00611B29&quot;/&gt;&lt;wsp:rsid wsp:val=&quot;00614A5F&quot;/&gt;&lt;wsp:rsid wsp:val=&quot;00617CC3&quot;/&gt;&lt;wsp:rsid wsp:val=&quot;0062719F&quot;/&gt;&lt;wsp:rsid wsp:val=&quot;00635E8D&quot;/&gt;&lt;wsp:rsid wsp:val=&quot;006377A6&quot;/&gt;&lt;wsp:rsid wsp:val=&quot;00637A3D&quot;/&gt;&lt;wsp:rsid wsp:val=&quot;006411EF&quot;/&gt;&lt;wsp:rsid wsp:val=&quot;006473AF&quot;/&gt;&lt;wsp:rsid wsp:val=&quot;00653F19&quot;/&gt;&lt;wsp:rsid wsp:val=&quot;006540AA&quot;/&gt;&lt;wsp:rsid wsp:val=&quot;006545A3&quot;/&gt;&lt;wsp:rsid wsp:val=&quot;00654CB5&quot;/&gt;&lt;wsp:rsid wsp:val=&quot;006550EC&quot;/&gt;&lt;wsp:rsid wsp:val=&quot;00655447&quot;/&gt;&lt;wsp:rsid wsp:val=&quot;00661C81&quot;/&gt;&lt;wsp:rsid wsp:val=&quot;006623F8&quot;/&gt;&lt;wsp:rsid wsp:val=&quot;00663492&quot;/&gt;&lt;wsp:rsid wsp:val=&quot;006641A4&quot;/&gt;&lt;wsp:rsid wsp:val=&quot;006651DD&quot;/&gt;&lt;wsp:rsid wsp:val=&quot;00666CDA&quot;/&gt;&lt;wsp:rsid wsp:val=&quot;006748B8&quot;/&gt;&lt;wsp:rsid wsp:val=&quot;006775C3&quot;/&gt;&lt;wsp:rsid wsp:val=&quot;00686E66&quot;/&gt;&lt;wsp:rsid wsp:val=&quot;0069290A&quot;/&gt;&lt;wsp:rsid wsp:val=&quot;00693352&quot;/&gt;&lt;wsp:rsid wsp:val=&quot;00693B8B&quot;/&gt;&lt;wsp:rsid wsp:val=&quot;00695FD5&quot;/&gt;&lt;wsp:rsid wsp:val=&quot;0069775A&quot;/&gt;&lt;wsp:rsid wsp:val=&quot;00697813&quot;/&gt;&lt;wsp:rsid wsp:val=&quot;006A3D9F&quot;/&gt;&lt;wsp:rsid wsp:val=&quot;006A3E7E&quot;/&gt;&lt;wsp:rsid wsp:val=&quot;006A3EE8&quot;/&gt;&lt;wsp:rsid wsp:val=&quot;006A5FC0&quot;/&gt;&lt;wsp:rsid wsp:val=&quot;006A6DB8&quot;/&gt;&lt;wsp:rsid wsp:val=&quot;006A72BF&quot;/&gt;&lt;wsp:rsid wsp:val=&quot;006B03F2&quot;/&gt;&lt;wsp:rsid wsp:val=&quot;006B37DC&quot;/&gt;&lt;wsp:rsid wsp:val=&quot;006B4F68&quot;/&gt;&lt;wsp:rsid wsp:val=&quot;006B64D8&quot;/&gt;&lt;wsp:rsid wsp:val=&quot;006C0592&quot;/&gt;&lt;wsp:rsid wsp:val=&quot;006C26E4&quot;/&gt;&lt;wsp:rsid wsp:val=&quot;006C272E&quot;/&gt;&lt;wsp:rsid wsp:val=&quot;006C4D15&quot;/&gt;&lt;wsp:rsid wsp:val=&quot;006C5479&quot;/&gt;&lt;wsp:rsid wsp:val=&quot;006C587C&quot;/&gt;&lt;wsp:rsid wsp:val=&quot;006D1281&quot;/&gt;&lt;wsp:rsid wsp:val=&quot;006D13B5&quot;/&gt;&lt;wsp:rsid wsp:val=&quot;006D6378&quot;/&gt;&lt;wsp:rsid wsp:val=&quot;006D715C&quot;/&gt;&lt;wsp:rsid wsp:val=&quot;006D72F5&quot;/&gt;&lt;wsp:rsid wsp:val=&quot;006E12FF&quot;/&gt;&lt;wsp:rsid wsp:val=&quot;006E607E&quot;/&gt;&lt;wsp:rsid wsp:val=&quot;006E63D0&quot;/&gt;&lt;wsp:rsid wsp:val=&quot;006E64DB&quot;/&gt;&lt;wsp:rsid wsp:val=&quot;006F364C&quot;/&gt;&lt;wsp:rsid wsp:val=&quot;006F63AD&quot;/&gt;&lt;wsp:rsid wsp:val=&quot;006F679C&quot;/&gt;&lt;wsp:rsid wsp:val=&quot;00700630&quot;/&gt;&lt;wsp:rsid wsp:val=&quot;0070170E&quot;/&gt;&lt;wsp:rsid wsp:val=&quot;00702F2F&quot;/&gt;&lt;wsp:rsid wsp:val=&quot;00704089&quot;/&gt;&lt;wsp:rsid wsp:val=&quot;00704270&quot;/&gt;&lt;wsp:rsid wsp:val=&quot;00704379&quot;/&gt;&lt;wsp:rsid wsp:val=&quot;00706C5D&quot;/&gt;&lt;wsp:rsid wsp:val=&quot;00706DE4&quot;/&gt;&lt;wsp:rsid wsp:val=&quot;00714BEC&quot;/&gt;&lt;wsp:rsid wsp:val=&quot;00715A46&quot;/&gt;&lt;wsp:rsid wsp:val=&quot;00716CC9&quot;/&gt;&lt;wsp:rsid wsp:val=&quot;00716E07&quot;/&gt;&lt;wsp:rsid wsp:val=&quot;0071773B&quot;/&gt;&lt;wsp:rsid wsp:val=&quot;00723932&quot;/&gt;&lt;wsp:rsid wsp:val=&quot;0072474C&quot;/&gt;&lt;wsp:rsid wsp:val=&quot;00724F81&quot;/&gt;&lt;wsp:rsid wsp:val=&quot;00732907&quot;/&gt;&lt;wsp:rsid wsp:val=&quot;00732922&quot;/&gt;&lt;wsp:rsid wsp:val=&quot;00743FFD&quot;/&gt;&lt;wsp:rsid wsp:val=&quot;00745262&quot;/&gt;&lt;wsp:rsid wsp:val=&quot;007503D6&quot;/&gt;&lt;wsp:rsid wsp:val=&quot;0075162E&quot;/&gt;&lt;wsp:rsid wsp:val=&quot;007539E8&quot;/&gt;&lt;wsp:rsid wsp:val=&quot;00754034&quot;/&gt;&lt;wsp:rsid wsp:val=&quot;00756556&quot;/&gt;&lt;wsp:rsid wsp:val=&quot;007618C4&quot;/&gt;&lt;wsp:rsid wsp:val=&quot;00762C3E&quot;/&gt;&lt;wsp:rsid wsp:val=&quot;00762E5C&quot;/&gt;&lt;wsp:rsid wsp:val=&quot;007647ED&quot;/&gt;&lt;wsp:rsid wsp:val=&quot;00767980&quot;/&gt;&lt;wsp:rsid wsp:val=&quot;00770094&quot;/&gt;&lt;wsp:rsid wsp:val=&quot;00770B19&quot;/&gt;&lt;wsp:rsid wsp:val=&quot;0077119F&quot;/&gt;&lt;wsp:rsid wsp:val=&quot;007740B7&quot;/&gt;&lt;wsp:rsid wsp:val=&quot;0077463F&quot;/&gt;&lt;wsp:rsid wsp:val=&quot;0077578D&quot;/&gt;&lt;wsp:rsid wsp:val=&quot;007774B1&quot;/&gt;&lt;wsp:rsid wsp:val=&quot;0077774F&quot;/&gt;&lt;wsp:rsid wsp:val=&quot;007836EA&quot;/&gt;&lt;wsp:rsid wsp:val=&quot;00784140&quot;/&gt;&lt;wsp:rsid wsp:val=&quot;00784CDA&quot;/&gt;&lt;wsp:rsid wsp:val=&quot;007906C4&quot;/&gt;&lt;wsp:rsid wsp:val=&quot;00791728&quot;/&gt;&lt;wsp:rsid wsp:val=&quot;00792BB0&quot;/&gt;&lt;wsp:rsid wsp:val=&quot;007937E8&quot;/&gt;&lt;wsp:rsid wsp:val=&quot;007940EA&quot;/&gt;&lt;wsp:rsid wsp:val=&quot;007963FE&quot;/&gt;&lt;wsp:rsid wsp:val=&quot;007967E8&quot;/&gt;&lt;wsp:rsid wsp:val=&quot;007A2170&quot;/&gt;&lt;wsp:rsid wsp:val=&quot;007A22BF&quot;/&gt;&lt;wsp:rsid wsp:val=&quot;007A3323&quot;/&gt;&lt;wsp:rsid wsp:val=&quot;007B0555&quot;/&gt;&lt;wsp:rsid wsp:val=&quot;007B72B8&quot;/&gt;&lt;wsp:rsid wsp:val=&quot;007B7A58&quot;/&gt;&lt;wsp:rsid wsp:val=&quot;007B7A83&quot;/&gt;&lt;wsp:rsid wsp:val=&quot;007C21B5&quot;/&gt;&lt;wsp:rsid wsp:val=&quot;007C47A0&quot;/&gt;&lt;wsp:rsid wsp:val=&quot;007C7537&quot;/&gt;&lt;wsp:rsid wsp:val=&quot;007E4BD2&quot;/&gt;&lt;wsp:rsid wsp:val=&quot;007F5341&quot;/&gt;&lt;wsp:rsid wsp:val=&quot;00801393&quot;/&gt;&lt;wsp:rsid wsp:val=&quot;00801A50&quot;/&gt;&lt;wsp:rsid wsp:val=&quot;00802E4F&quot;/&gt;&lt;wsp:rsid wsp:val=&quot;00802F88&quot;/&gt;&lt;wsp:rsid wsp:val=&quot;0081293E&quot;/&gt;&lt;wsp:rsid wsp:val=&quot;00815465&quot;/&gt;&lt;wsp:rsid wsp:val=&quot;00816CAE&quot;/&gt;&lt;wsp:rsid wsp:val=&quot;00817E9A&quot;/&gt;&lt;wsp:rsid wsp:val=&quot;00820D9E&quot;/&gt;&lt;wsp:rsid wsp:val=&quot;0082587F&quot;/&gt;&lt;wsp:rsid wsp:val=&quot;008306BD&quot;/&gt;&lt;wsp:rsid wsp:val=&quot;00831A80&quot;/&gt;&lt;wsp:rsid wsp:val=&quot;00831E18&quot;/&gt;&lt;wsp:rsid wsp:val=&quot;00833743&quot;/&gt;&lt;wsp:rsid wsp:val=&quot;008340A4&quot;/&gt;&lt;wsp:rsid wsp:val=&quot;00834A98&quot;/&gt;&lt;wsp:rsid wsp:val=&quot;00836511&quot;/&gt;&lt;wsp:rsid wsp:val=&quot;00836BAA&quot;/&gt;&lt;wsp:rsid wsp:val=&quot;00840D79&quot;/&gt;&lt;wsp:rsid wsp:val=&quot;00841C72&quot;/&gt;&lt;wsp:rsid wsp:val=&quot;008431CB&quot;/&gt;&lt;wsp:rsid wsp:val=&quot;008451A5&quot;/&gt;&lt;wsp:rsid wsp:val=&quot;008457E3&quot;/&gt;&lt;wsp:rsid wsp:val=&quot;00853356&quot;/&gt;&lt;wsp:rsid wsp:val=&quot;00855075&quot;/&gt;&lt;wsp:rsid wsp:val=&quot;00856945&quot;/&gt;&lt;wsp:rsid wsp:val=&quot;00856B0A&quot;/&gt;&lt;wsp:rsid wsp:val=&quot;0086045E&quot;/&gt;&lt;wsp:rsid wsp:val=&quot;00862D25&quot;/&gt;&lt;wsp:rsid wsp:val=&quot;0087135F&quot;/&gt;&lt;wsp:rsid wsp:val=&quot;00872D94&quot;/&gt;&lt;wsp:rsid wsp:val=&quot;00873EED&quot;/&gt;&lt;wsp:rsid wsp:val=&quot;00874F9D&quot;/&gt;&lt;wsp:rsid wsp:val=&quot;00875A2A&quot;/&gt;&lt;wsp:rsid wsp:val=&quot;00875B3B&quot;/&gt;&lt;wsp:rsid wsp:val=&quot;008771A4&quot;/&gt;&lt;wsp:rsid wsp:val=&quot;00880364&quot;/&gt;&lt;wsp:rsid wsp:val=&quot;008806AF&quot;/&gt;&lt;wsp:rsid wsp:val=&quot;008862FD&quot;/&gt;&lt;wsp:rsid wsp:val=&quot;00891592&quot;/&gt;&lt;wsp:rsid wsp:val=&quot;008919E9&quot;/&gt;&lt;wsp:rsid wsp:val=&quot;00891E9E&quot;/&gt;&lt;wsp:rsid wsp:val=&quot;0089496F&quot;/&gt;&lt;wsp:rsid wsp:val=&quot;00895B6F&quot;/&gt;&lt;wsp:rsid wsp:val=&quot;008A0324&quot;/&gt;&lt;wsp:rsid wsp:val=&quot;008A2F68&quot;/&gt;&lt;wsp:rsid wsp:val=&quot;008A5609&quot;/&gt;&lt;wsp:rsid wsp:val=&quot;008A5E6A&quot;/&gt;&lt;wsp:rsid wsp:val=&quot;008B3AD3&quot;/&gt;&lt;wsp:rsid wsp:val=&quot;008B4FA6&quot;/&gt;&lt;wsp:rsid wsp:val=&quot;008B5282&quot;/&gt;&lt;wsp:rsid wsp:val=&quot;008B648E&quot;/&gt;&lt;wsp:rsid wsp:val=&quot;008B7C17&quot;/&gt;&lt;wsp:rsid wsp:val=&quot;008C2157&quot;/&gt;&lt;wsp:rsid wsp:val=&quot;008C2D01&quot;/&gt;&lt;wsp:rsid wsp:val=&quot;008C40E6&quot;/&gt;&lt;wsp:rsid wsp:val=&quot;008C49B3&quot;/&gt;&lt;wsp:rsid wsp:val=&quot;008C6726&quot;/&gt;&lt;wsp:rsid wsp:val=&quot;008D0F7A&quot;/&gt;&lt;wsp:rsid wsp:val=&quot;008D1AE3&quot;/&gt;&lt;wsp:rsid wsp:val=&quot;008D34D1&quot;/&gt;&lt;wsp:rsid wsp:val=&quot;008D4593&quot;/&gt;&lt;wsp:rsid wsp:val=&quot;008D68E4&quot;/&gt;&lt;wsp:rsid wsp:val=&quot;008E0506&quot;/&gt;&lt;wsp:rsid wsp:val=&quot;008E073C&quot;/&gt;&lt;wsp:rsid wsp:val=&quot;008E0CFF&quot;/&gt;&lt;wsp:rsid wsp:val=&quot;008E16D9&quot;/&gt;&lt;wsp:rsid wsp:val=&quot;008E3AB2&quot;/&gt;&lt;wsp:rsid wsp:val=&quot;008E5D6B&quot;/&gt;&lt;wsp:rsid wsp:val=&quot;008E67AF&quot;/&gt;&lt;wsp:rsid wsp:val=&quot;008E76F0&quot;/&gt;&lt;wsp:rsid wsp:val=&quot;008E78DF&quot;/&gt;&lt;wsp:rsid wsp:val=&quot;008F15FE&quot;/&gt;&lt;wsp:rsid wsp:val=&quot;008F2D29&quot;/&gt;&lt;wsp:rsid wsp:val=&quot;008F5187&quot;/&gt;&lt;wsp:rsid wsp:val=&quot;008F60D8&quot;/&gt;&lt;wsp:rsid wsp:val=&quot;008F6B7D&quot;/&gt;&lt;wsp:rsid wsp:val=&quot;008F7A91&quot;/&gt;&lt;wsp:rsid wsp:val=&quot;00900124&quot;/&gt;&lt;wsp:rsid wsp:val=&quot;00902727&quot;/&gt;&lt;wsp:rsid wsp:val=&quot;0090312B&quot;/&gt;&lt;wsp:rsid wsp:val=&quot;00905E8D&quot;/&gt;&lt;wsp:rsid wsp:val=&quot;00907C39&quot;/&gt;&lt;wsp:rsid wsp:val=&quot;00911538&quot;/&gt;&lt;wsp:rsid wsp:val=&quot;00916396&quot;/&gt;&lt;wsp:rsid wsp:val=&quot;0091736D&quot;/&gt;&lt;wsp:rsid wsp:val=&quot;009208E3&quot;/&gt;&lt;wsp:rsid wsp:val=&quot;00924360&quot;/&gt;&lt;wsp:rsid wsp:val=&quot;00924FFE&quot;/&gt;&lt;wsp:rsid wsp:val=&quot;0093037A&quot;/&gt;&lt;wsp:rsid wsp:val=&quot;009315E0&quot;/&gt;&lt;wsp:rsid wsp:val=&quot;00933F8C&quot;/&gt;&lt;wsp:rsid wsp:val=&quot;009372E8&quot;/&gt;&lt;wsp:rsid wsp:val=&quot;0094154D&quot;/&gt;&lt;wsp:rsid wsp:val=&quot;00944A43&quot;/&gt;&lt;wsp:rsid wsp:val=&quot;0095002E&quot;/&gt;&lt;wsp:rsid wsp:val=&quot;00951073&quot;/&gt;&lt;wsp:rsid wsp:val=&quot;0095155F&quot;/&gt;&lt;wsp:rsid wsp:val=&quot;0095218D&quot;/&gt;&lt;wsp:rsid wsp:val=&quot;0095321E&quot;/&gt;&lt;wsp:rsid wsp:val=&quot;009535F4&quot;/&gt;&lt;wsp:rsid wsp:val=&quot;00954429&quot;/&gt;&lt;wsp:rsid wsp:val=&quot;009563CE&quot;/&gt;&lt;wsp:rsid wsp:val=&quot;00960734&quot;/&gt;&lt;wsp:rsid wsp:val=&quot;009629CC&quot;/&gt;&lt;wsp:rsid wsp:val=&quot;009649BC&quot;/&gt;&lt;wsp:rsid wsp:val=&quot;00966E63&quot;/&gt;&lt;wsp:rsid wsp:val=&quot;009745A6&quot;/&gt;&lt;wsp:rsid wsp:val=&quot;00975DD9&quot;/&gt;&lt;wsp:rsid wsp:val=&quot;00976328&quot;/&gt;&lt;wsp:rsid wsp:val=&quot;0097680D&quot;/&gt;&lt;wsp:rsid wsp:val=&quot;00976D89&quot;/&gt;&lt;wsp:rsid wsp:val=&quot;00982438&quot;/&gt;&lt;wsp:rsid wsp:val=&quot;0098404C&quot;/&gt;&lt;wsp:rsid wsp:val=&quot;00984647&quot;/&gt;&lt;wsp:rsid wsp:val=&quot;00985283&quot;/&gt;&lt;wsp:rsid wsp:val=&quot;009863CB&quot;/&gt;&lt;wsp:rsid wsp:val=&quot;009864D3&quot;/&gt;&lt;wsp:rsid wsp:val=&quot;00990C88&quot;/&gt;&lt;wsp:rsid wsp:val=&quot;00994A87&quot;/&gt;&lt;wsp:rsid wsp:val=&quot;00994FD3&quot;/&gt;&lt;wsp:rsid wsp:val=&quot;00995992&quot;/&gt;&lt;wsp:rsid wsp:val=&quot;00996097&quot;/&gt;&lt;wsp:rsid wsp:val=&quot;00996834&quot;/&gt;&lt;wsp:rsid wsp:val=&quot;0099696C&quot;/&gt;&lt;wsp:rsid wsp:val=&quot;00997EFC&quot;/&gt;&lt;wsp:rsid wsp:val=&quot;009A03E5&quot;/&gt;&lt;wsp:rsid wsp:val=&quot;009A0F3B&quot;/&gt;&lt;wsp:rsid wsp:val=&quot;009A1BB4&quot;/&gt;&lt;wsp:rsid wsp:val=&quot;009A2628&quot;/&gt;&lt;wsp:rsid wsp:val=&quot;009A3200&quot;/&gt;&lt;wsp:rsid wsp:val=&quot;009A5728&quot;/&gt;&lt;wsp:rsid wsp:val=&quot;009B074C&quot;/&gt;&lt;wsp:rsid wsp:val=&quot;009B0897&quot;/&gt;&lt;wsp:rsid wsp:val=&quot;009B39B1&quot;/&gt;&lt;wsp:rsid wsp:val=&quot;009B3E0B&quot;/&gt;&lt;wsp:rsid wsp:val=&quot;009B7BD9&quot;/&gt;&lt;wsp:rsid wsp:val=&quot;009C12C1&quot;/&gt;&lt;wsp:rsid wsp:val=&quot;009C5B90&quot;/&gt;&lt;wsp:rsid wsp:val=&quot;009C6AE0&quot;/&gt;&lt;wsp:rsid wsp:val=&quot;009C7DD5&quot;/&gt;&lt;wsp:rsid wsp:val=&quot;009D40B6&quot;/&gt;&lt;wsp:rsid wsp:val=&quot;009D435F&quot;/&gt;&lt;wsp:rsid wsp:val=&quot;009D4B59&quot;/&gt;&lt;wsp:rsid wsp:val=&quot;009D5519&quot;/&gt;&lt;wsp:rsid wsp:val=&quot;009D5D6A&quot;/&gt;&lt;wsp:rsid wsp:val=&quot;009E0143&quot;/&gt;&lt;wsp:rsid wsp:val=&quot;009E1B99&quot;/&gt;&lt;wsp:rsid wsp:val=&quot;009E227D&quot;/&gt;&lt;wsp:rsid wsp:val=&quot;009E46D2&quot;/&gt;&lt;wsp:rsid wsp:val=&quot;009E5019&quot;/&gt;&lt;wsp:rsid wsp:val=&quot;00A04F1B&quot;/&gt;&lt;wsp:rsid wsp:val=&quot;00A0501B&quot;/&gt;&lt;wsp:rsid wsp:val=&quot;00A06D6B&quot;/&gt;&lt;wsp:rsid wsp:val=&quot;00A122C9&quot;/&gt;&lt;wsp:rsid wsp:val=&quot;00A133E7&quot;/&gt;&lt;wsp:rsid wsp:val=&quot;00A13AAA&quot;/&gt;&lt;wsp:rsid wsp:val=&quot;00A13E83&quot;/&gt;&lt;wsp:rsid wsp:val=&quot;00A1407D&quot;/&gt;&lt;wsp:rsid wsp:val=&quot;00A14947&quot;/&gt;&lt;wsp:rsid wsp:val=&quot;00A14D77&quot;/&gt;&lt;wsp:rsid wsp:val=&quot;00A175D2&quot;/&gt;&lt;wsp:rsid wsp:val=&quot;00A20CA4&quot;/&gt;&lt;wsp:rsid wsp:val=&quot;00A301BE&quot;/&gt;&lt;wsp:rsid wsp:val=&quot;00A30DB8&quot;/&gt;&lt;wsp:rsid wsp:val=&quot;00A3171E&quot;/&gt;&lt;wsp:rsid wsp:val=&quot;00A32106&quot;/&gt;&lt;wsp:rsid wsp:val=&quot;00A3261D&quot;/&gt;&lt;wsp:rsid wsp:val=&quot;00A32A83&quot;/&gt;&lt;wsp:rsid wsp:val=&quot;00A34DD2&quot;/&gt;&lt;wsp:rsid wsp:val=&quot;00A35B21&quot;/&gt;&lt;wsp:rsid wsp:val=&quot;00A368DB&quot;/&gt;&lt;wsp:rsid wsp:val=&quot;00A40688&quot;/&gt;&lt;wsp:rsid wsp:val=&quot;00A423AA&quot;/&gt;&lt;wsp:rsid wsp:val=&quot;00A437E8&quot;/&gt;&lt;wsp:rsid wsp:val=&quot;00A512F0&quot;/&gt;&lt;wsp:rsid wsp:val=&quot;00A5254B&quot;/&gt;&lt;wsp:rsid wsp:val=&quot;00A53EC6&quot;/&gt;&lt;wsp:rsid wsp:val=&quot;00A55C0F&quot;/&gt;&lt;wsp:rsid wsp:val=&quot;00A56BAB&quot;/&gt;&lt;wsp:rsid wsp:val=&quot;00A56C86&quot;/&gt;&lt;wsp:rsid wsp:val=&quot;00A617A0&quot;/&gt;&lt;wsp:rsid wsp:val=&quot;00A61B7D&quot;/&gt;&lt;wsp:rsid wsp:val=&quot;00A706F2&quot;/&gt;&lt;wsp:rsid wsp:val=&quot;00A71C8C&quot;/&gt;&lt;wsp:rsid wsp:val=&quot;00A71CB8&quot;/&gt;&lt;wsp:rsid wsp:val=&quot;00A752C5&quot;/&gt;&lt;wsp:rsid wsp:val=&quot;00A83030&quot;/&gt;&lt;wsp:rsid wsp:val=&quot;00A84C61&quot;/&gt;&lt;wsp:rsid wsp:val=&quot;00A8713F&quot;/&gt;&lt;wsp:rsid wsp:val=&quot;00A8786E&quot;/&gt;&lt;wsp:rsid wsp:val=&quot;00A87F36&quot;/&gt;&lt;wsp:rsid wsp:val=&quot;00A90BA1&quot;/&gt;&lt;wsp:rsid wsp:val=&quot;00A9162D&quot;/&gt;&lt;wsp:rsid wsp:val=&quot;00A933AA&quot;/&gt;&lt;wsp:rsid wsp:val=&quot;00A963DF&quot;/&gt;&lt;wsp:rsid wsp:val=&quot;00A97A9A&quot;/&gt;&lt;wsp:rsid wsp:val=&quot;00AA0671&quot;/&gt;&lt;wsp:rsid wsp:val=&quot;00AA2531&quot;/&gt;&lt;wsp:rsid wsp:val=&quot;00AA2691&quot;/&gt;&lt;wsp:rsid wsp:val=&quot;00AA2E69&quot;/&gt;&lt;wsp:rsid wsp:val=&quot;00AA5D91&quot;/&gt;&lt;wsp:rsid wsp:val=&quot;00AB1E09&quot;/&gt;&lt;wsp:rsid wsp:val=&quot;00AB5330&quot;/&gt;&lt;wsp:rsid wsp:val=&quot;00AB7747&quot;/&gt;&lt;wsp:rsid wsp:val=&quot;00AC0CFF&quot;/&gt;&lt;wsp:rsid wsp:val=&quot;00AC14CE&quot;/&gt;&lt;wsp:rsid wsp:val=&quot;00AC2A56&quot;/&gt;&lt;wsp:rsid wsp:val=&quot;00AC2FBF&quot;/&gt;&lt;wsp:rsid wsp:val=&quot;00AC4B4D&quot;/&gt;&lt;wsp:rsid wsp:val=&quot;00AD038D&quot;/&gt;&lt;wsp:rsid wsp:val=&quot;00AD055E&quot;/&gt;&lt;wsp:rsid wsp:val=&quot;00AD47A7&quot;/&gt;&lt;wsp:rsid wsp:val=&quot;00AD4856&quot;/&gt;&lt;wsp:rsid wsp:val=&quot;00AD6475&quot;/&gt;&lt;wsp:rsid wsp:val=&quot;00AE1D1F&quot;/&gt;&lt;wsp:rsid wsp:val=&quot;00AF00DF&quot;/&gt;&lt;wsp:rsid wsp:val=&quot;00AF0CBF&quot;/&gt;&lt;wsp:rsid wsp:val=&quot;00AF257F&quot;/&gt;&lt;wsp:rsid wsp:val=&quot;00AF33CF&quot;/&gt;&lt;wsp:rsid wsp:val=&quot;00AF4D50&quot;/&gt;&lt;wsp:rsid wsp:val=&quot;00AF6179&quot;/&gt;&lt;wsp:rsid wsp:val=&quot;00B07C38&quot;/&gt;&lt;wsp:rsid wsp:val=&quot;00B07DDA&quot;/&gt;&lt;wsp:rsid wsp:val=&quot;00B1295A&quot;/&gt;&lt;wsp:rsid wsp:val=&quot;00B17EF2&quot;/&gt;&lt;wsp:rsid wsp:val=&quot;00B20A45&quot;/&gt;&lt;wsp:rsid wsp:val=&quot;00B22391&quot;/&gt;&lt;wsp:rsid wsp:val=&quot;00B22C5C&quot;/&gt;&lt;wsp:rsid wsp:val=&quot;00B24B09&quot;/&gt;&lt;wsp:rsid wsp:val=&quot;00B24F30&quot;/&gt;&lt;wsp:rsid wsp:val=&quot;00B2572B&quot;/&gt;&lt;wsp:rsid wsp:val=&quot;00B276EA&quot;/&gt;&lt;wsp:rsid wsp:val=&quot;00B27EB6&quot;/&gt;&lt;wsp:rsid wsp:val=&quot;00B31ABF&quot;/&gt;&lt;wsp:rsid wsp:val=&quot;00B33BE3&quot;/&gt;&lt;wsp:rsid wsp:val=&quot;00B44CE4&quot;/&gt;&lt;wsp:rsid wsp:val=&quot;00B518B5&quot;/&gt;&lt;wsp:rsid wsp:val=&quot;00B520BA&quot;/&gt;&lt;wsp:rsid wsp:val=&quot;00B53B5D&quot;/&gt;&lt;wsp:rsid wsp:val=&quot;00B6002D&quot;/&gt;&lt;wsp:rsid wsp:val=&quot;00B6055E&quot;/&gt;&lt;wsp:rsid wsp:val=&quot;00B61675&quot;/&gt;&lt;wsp:rsid wsp:val=&quot;00B6317D&quot;/&gt;&lt;wsp:rsid wsp:val=&quot;00B716CB&quot;/&gt;&lt;wsp:rsid wsp:val=&quot;00B7363C&quot;/&gt;&lt;wsp:rsid wsp:val=&quot;00B7723F&quot;/&gt;&lt;wsp:rsid wsp:val=&quot;00B80534&quot;/&gt;&lt;wsp:rsid wsp:val=&quot;00B826B6&quot;/&gt;&lt;wsp:rsid wsp:val=&quot;00B8433C&quot;/&gt;&lt;wsp:rsid wsp:val=&quot;00B87491&quot;/&gt;&lt;wsp:rsid wsp:val=&quot;00B93C56&quot;/&gt;&lt;wsp:rsid wsp:val=&quot;00BA0D90&quot;/&gt;&lt;wsp:rsid wsp:val=&quot;00BA29E9&quot;/&gt;&lt;wsp:rsid wsp:val=&quot;00BA3A3B&quot;/&gt;&lt;wsp:rsid wsp:val=&quot;00BA5D17&quot;/&gt;&lt;wsp:rsid wsp:val=&quot;00BA65AD&quot;/&gt;&lt;wsp:rsid wsp:val=&quot;00BA7142&quot;/&gt;&lt;wsp:rsid wsp:val=&quot;00BA7B9F&quot;/&gt;&lt;wsp:rsid wsp:val=&quot;00BB237C&quot;/&gt;&lt;wsp:rsid wsp:val=&quot;00BB3162&quot;/&gt;&lt;wsp:rsid wsp:val=&quot;00BB32F8&quot;/&gt;&lt;wsp:rsid wsp:val=&quot;00BB41A3&quot;/&gt;&lt;wsp:rsid wsp:val=&quot;00BB624D&quot;/&gt;&lt;wsp:rsid wsp:val=&quot;00BB76BD&quot;/&gt;&lt;wsp:rsid wsp:val=&quot;00BC2EDA&quot;/&gt;&lt;wsp:rsid wsp:val=&quot;00BC32DC&quot;/&gt;&lt;wsp:rsid wsp:val=&quot;00BC35B6&quot;/&gt;&lt;wsp:rsid wsp:val=&quot;00BD11AA&quot;/&gt;&lt;wsp:rsid wsp:val=&quot;00BD1B51&quot;/&gt;&lt;wsp:rsid wsp:val=&quot;00BD3CC0&quot;/&gt;&lt;wsp:rsid wsp:val=&quot;00BD4596&quot;/&gt;&lt;wsp:rsid wsp:val=&quot;00BD75FD&quot;/&gt;&lt;wsp:rsid wsp:val=&quot;00BD7F32&quot;/&gt;&lt;wsp:rsid wsp:val=&quot;00BE0CBE&quot;/&gt;&lt;wsp:rsid wsp:val=&quot;00BE1405&quot;/&gt;&lt;wsp:rsid wsp:val=&quot;00BE312D&quot;/&gt;&lt;wsp:rsid wsp:val=&quot;00BE47D6&quot;/&gt;&lt;wsp:rsid wsp:val=&quot;00BE5897&quot;/&gt;&lt;wsp:rsid wsp:val=&quot;00BE6E6F&quot;/&gt;&lt;wsp:rsid wsp:val=&quot;00BE795F&quot;/&gt;&lt;wsp:rsid wsp:val=&quot;00BF1C20&quot;/&gt;&lt;wsp:rsid wsp:val=&quot;00BF6C12&quot;/&gt;&lt;wsp:rsid wsp:val=&quot;00BF7432&quot;/&gt;&lt;wsp:rsid wsp:val=&quot;00C0031C&quot;/&gt;&lt;wsp:rsid wsp:val=&quot;00C01FC0&quot;/&gt;&lt;wsp:rsid wsp:val=&quot;00C0701D&quot;/&gt;&lt;wsp:rsid wsp:val=&quot;00C10578&quot;/&gt;&lt;wsp:rsid wsp:val=&quot;00C1166B&quot;/&gt;&lt;wsp:rsid wsp:val=&quot;00C135BC&quot;/&gt;&lt;wsp:rsid wsp:val=&quot;00C15C95&quot;/&gt;&lt;wsp:rsid wsp:val=&quot;00C177B8&quot;/&gt;&lt;wsp:rsid wsp:val=&quot;00C22184&quot;/&gt;&lt;wsp:rsid wsp:val=&quot;00C2596A&quot;/&gt;&lt;wsp:rsid wsp:val=&quot;00C268E6&quot;/&gt;&lt;wsp:rsid wsp:val=&quot;00C271FC&quot;/&gt;&lt;wsp:rsid wsp:val=&quot;00C27537&quot;/&gt;&lt;wsp:rsid wsp:val=&quot;00C30310&quot;/&gt;&lt;wsp:rsid wsp:val=&quot;00C328FE&quot;/&gt;&lt;wsp:rsid wsp:val=&quot;00C33507&quot;/&gt;&lt;wsp:rsid wsp:val=&quot;00C36C00&quot;/&gt;&lt;wsp:rsid wsp:val=&quot;00C37BCB&quot;/&gt;&lt;wsp:rsid wsp:val=&quot;00C40EC1&quot;/&gt;&lt;wsp:rsid wsp:val=&quot;00C41847&quot;/&gt;&lt;wsp:rsid wsp:val=&quot;00C4409D&quot;/&gt;&lt;wsp:rsid wsp:val=&quot;00C441A5&quot;/&gt;&lt;wsp:rsid wsp:val=&quot;00C444CE&quot;/&gt;&lt;wsp:rsid wsp:val=&quot;00C44E72&quot;/&gt;&lt;wsp:rsid wsp:val=&quot;00C45A06&quot;/&gt;&lt;wsp:rsid wsp:val=&quot;00C46DA0&quot;/&gt;&lt;wsp:rsid wsp:val=&quot;00C46DA8&quot;/&gt;&lt;wsp:rsid wsp:val=&quot;00C47E5B&quot;/&gt;&lt;wsp:rsid wsp:val=&quot;00C53830&quot;/&gt;&lt;wsp:rsid wsp:val=&quot;00C6000D&quot;/&gt;&lt;wsp:rsid wsp:val=&quot;00C6048B&quot;/&gt;&lt;wsp:rsid wsp:val=&quot;00C6196C&quot;/&gt;&lt;wsp:rsid wsp:val=&quot;00C61E4B&quot;/&gt;&lt;wsp:rsid wsp:val=&quot;00C64BFF&quot;/&gt;&lt;wsp:rsid wsp:val=&quot;00C704E9&quot;/&gt;&lt;wsp:rsid wsp:val=&quot;00C763C9&quot;/&gt;&lt;wsp:rsid wsp:val=&quot;00C76AF7&quot;/&gt;&lt;wsp:rsid wsp:val=&quot;00C7726E&quot;/&gt;&lt;wsp:rsid wsp:val=&quot;00C80057&quot;/&gt;&lt;wsp:rsid wsp:val=&quot;00C8025F&quot;/&gt;&lt;wsp:rsid wsp:val=&quot;00C81452&quot;/&gt;&lt;wsp:rsid wsp:val=&quot;00C82232&quot;/&gt;&lt;wsp:rsid wsp:val=&quot;00C822EC&quot;/&gt;&lt;wsp:rsid wsp:val=&quot;00C82913&quot;/&gt;&lt;wsp:rsid wsp:val=&quot;00C832A6&quot;/&gt;&lt;wsp:rsid wsp:val=&quot;00C85E05&quot;/&gt;&lt;wsp:rsid wsp:val=&quot;00C928A6&quot;/&gt;&lt;wsp:rsid wsp:val=&quot;00C96A3F&quot;/&gt;&lt;wsp:rsid wsp:val=&quot;00C972B1&quot;/&gt;&lt;wsp:rsid wsp:val=&quot;00CA2CCE&quot;/&gt;&lt;wsp:rsid wsp:val=&quot;00CA2EA4&quot;/&gt;&lt;wsp:rsid wsp:val=&quot;00CA3822&quot;/&gt;&lt;wsp:rsid wsp:val=&quot;00CA43FD&quot;/&gt;&lt;wsp:rsid wsp:val=&quot;00CA7EF8&quot;/&gt;&lt;wsp:rsid wsp:val=&quot;00CB164E&quot;/&gt;&lt;wsp:rsid wsp:val=&quot;00CB2D9B&quot;/&gt;&lt;wsp:rsid wsp:val=&quot;00CB4BEC&quot;/&gt;&lt;wsp:rsid wsp:val=&quot;00CB6515&quot;/&gt;&lt;wsp:rsid wsp:val=&quot;00CC09FB&quot;/&gt;&lt;wsp:rsid wsp:val=&quot;00CC28A6&quot;/&gt;&lt;wsp:rsid wsp:val=&quot;00CC2CC2&quot;/&gt;&lt;wsp:rsid wsp:val=&quot;00CC3743&quot;/&gt;&lt;wsp:rsid wsp:val=&quot;00CC489B&quot;/&gt;&lt;wsp:rsid wsp:val=&quot;00CC5808&quot;/&gt;&lt;wsp:rsid wsp:val=&quot;00CD0388&quot;/&gt;&lt;wsp:rsid wsp:val=&quot;00CD1304&quot;/&gt;&lt;wsp:rsid wsp:val=&quot;00CD2BCD&quot;/&gt;&lt;wsp:rsid wsp:val=&quot;00CD3A4C&quot;/&gt;&lt;wsp:rsid wsp:val=&quot;00CD40BD&quot;/&gt;&lt;wsp:rsid wsp:val=&quot;00CD7211&quot;/&gt;&lt;wsp:rsid wsp:val=&quot;00CE10E9&quot;/&gt;&lt;wsp:rsid wsp:val=&quot;00CE27A8&quot;/&gt;&lt;wsp:rsid wsp:val=&quot;00CE2910&quot;/&gt;&lt;wsp:rsid wsp:val=&quot;00CE3013&quot;/&gt;&lt;wsp:rsid wsp:val=&quot;00CE5393&quot;/&gt;&lt;wsp:rsid wsp:val=&quot;00CE7862&quot;/&gt;&lt;wsp:rsid wsp:val=&quot;00CF00F9&quot;/&gt;&lt;wsp:rsid wsp:val=&quot;00CF300E&quot;/&gt;&lt;wsp:rsid wsp:val=&quot;00CF36BE&quot;/&gt;&lt;wsp:rsid wsp:val=&quot;00CF6000&quot;/&gt;&lt;wsp:rsid wsp:val=&quot;00CF69A4&quot;/&gt;&lt;wsp:rsid wsp:val=&quot;00CF6DDA&quot;/&gt;&lt;wsp:rsid wsp:val=&quot;00D003F3&quot;/&gt;&lt;wsp:rsid wsp:val=&quot;00D0364F&quot;/&gt;&lt;wsp:rsid wsp:val=&quot;00D0457A&quot;/&gt;&lt;wsp:rsid wsp:val=&quot;00D0492D&quot;/&gt;&lt;wsp:rsid wsp:val=&quot;00D0641A&quot;/&gt;&lt;wsp:rsid wsp:val=&quot;00D06834&quot;/&gt;&lt;wsp:rsid wsp:val=&quot;00D111BB&quot;/&gt;&lt;wsp:rsid wsp:val=&quot;00D16F7E&quot;/&gt;&lt;wsp:rsid wsp:val=&quot;00D17D7C&quot;/&gt;&lt;wsp:rsid wsp:val=&quot;00D21527&quot;/&gt;&lt;wsp:rsid wsp:val=&quot;00D21B81&quot;/&gt;&lt;wsp:rsid wsp:val=&quot;00D21BC4&quot;/&gt;&lt;wsp:rsid wsp:val=&quot;00D25146&quot;/&gt;&lt;wsp:rsid wsp:val=&quot;00D25A17&quot;/&gt;&lt;wsp:rsid wsp:val=&quot;00D308ED&quot;/&gt;&lt;wsp:rsid wsp:val=&quot;00D36D86&quot;/&gt;&lt;wsp:rsid wsp:val=&quot;00D428AA&quot;/&gt;&lt;wsp:rsid wsp:val=&quot;00D43D94&quot;/&gt;&lt;wsp:rsid wsp:val=&quot;00D50A34&quot;/&gt;&lt;wsp:rsid wsp:val=&quot;00D539DF&quot;/&gt;&lt;wsp:rsid wsp:val=&quot;00D53EFA&quot;/&gt;&lt;wsp:rsid wsp:val=&quot;00D543A3&quot;/&gt;&lt;wsp:rsid wsp:val=&quot;00D603BB&quot;/&gt;&lt;wsp:rsid wsp:val=&quot;00D665FC&quot;/&gt;&lt;wsp:rsid wsp:val=&quot;00D674BE&quot;/&gt;&lt;wsp:rsid wsp:val=&quot;00D7340E&quot;/&gt;&lt;wsp:rsid wsp:val=&quot;00D7656A&quot;/&gt;&lt;wsp:rsid wsp:val=&quot;00D909CB&quot;/&gt;&lt;wsp:rsid wsp:val=&quot;00D92041&quot;/&gt;&lt;wsp:rsid wsp:val=&quot;00D92121&quot;/&gt;&lt;wsp:rsid wsp:val=&quot;00D94001&quot;/&gt;&lt;wsp:rsid wsp:val=&quot;00D94A7C&quot;/&gt;&lt;wsp:rsid wsp:val=&quot;00D95896&quot;/&gt;&lt;wsp:rsid wsp:val=&quot;00DA2474&quot;/&gt;&lt;wsp:rsid wsp:val=&quot;00DA3F23&quot;/&gt;&lt;wsp:rsid wsp:val=&quot;00DA613E&quot;/&gt;&lt;wsp:rsid wsp:val=&quot;00DB0AD7&quot;/&gt;&lt;wsp:rsid wsp:val=&quot;00DB268D&quot;/&gt;&lt;wsp:rsid wsp:val=&quot;00DB2983&quot;/&gt;&lt;wsp:rsid wsp:val=&quot;00DB4090&quot;/&gt;&lt;wsp:rsid wsp:val=&quot;00DB4365&quot;/&gt;&lt;wsp:rsid wsp:val=&quot;00DC1257&quot;/&gt;&lt;wsp:rsid wsp:val=&quot;00DC3DC0&quot;/&gt;&lt;wsp:rsid wsp:val=&quot;00DC5B2B&quot;/&gt;&lt;wsp:rsid wsp:val=&quot;00DD0D74&quot;/&gt;&lt;wsp:rsid wsp:val=&quot;00DD318D&quot;/&gt;&lt;wsp:rsid wsp:val=&quot;00DD3843&quot;/&gt;&lt;wsp:rsid wsp:val=&quot;00DD57EF&quot;/&gt;&lt;wsp:rsid wsp:val=&quot;00DE0170&quot;/&gt;&lt;wsp:rsid wsp:val=&quot;00DE13DD&quot;/&gt;&lt;wsp:rsid wsp:val=&quot;00DF1715&quot;/&gt;&lt;wsp:rsid wsp:val=&quot;00DF2E12&quot;/&gt;&lt;wsp:rsid wsp:val=&quot;00DF3D24&quot;/&gt;&lt;wsp:rsid wsp:val=&quot;00DF514A&quot;/&gt;&lt;wsp:rsid wsp:val=&quot;00DF550D&quot;/&gt;&lt;wsp:rsid wsp:val=&quot;00DF6690&quot;/&gt;&lt;wsp:rsid wsp:val=&quot;00DF6804&quot;/&gt;&lt;wsp:rsid wsp:val=&quot;00DF68B2&quot;/&gt;&lt;wsp:rsid wsp:val=&quot;00E0358D&quot;/&gt;&lt;wsp:rsid wsp:val=&quot;00E04323&quot;/&gt;&lt;wsp:rsid wsp:val=&quot;00E04BE2&quot;/&gt;&lt;wsp:rsid wsp:val=&quot;00E0669D&quot;/&gt;&lt;wsp:rsid wsp:val=&quot;00E070A2&quot;/&gt;&lt;wsp:rsid wsp:val=&quot;00E07A81&quot;/&gt;&lt;wsp:rsid wsp:val=&quot;00E20413&quot;/&gt;&lt;wsp:rsid wsp:val=&quot;00E20CC7&quot;/&gt;&lt;wsp:rsid wsp:val=&quot;00E221E6&quot;/&gt;&lt;wsp:rsid wsp:val=&quot;00E2262B&quot;/&gt;&lt;wsp:rsid wsp:val=&quot;00E253AF&quot;/&gt;&lt;wsp:rsid wsp:val=&quot;00E255CD&quot;/&gt;&lt;wsp:rsid wsp:val=&quot;00E2656A&quot;/&gt;&lt;wsp:rsid wsp:val=&quot;00E26702&quot;/&gt;&lt;wsp:rsid wsp:val=&quot;00E26DD7&quot;/&gt;&lt;wsp:rsid wsp:val=&quot;00E36C80&quot;/&gt;&lt;wsp:rsid wsp:val=&quot;00E37F1B&quot;/&gt;&lt;wsp:rsid wsp:val=&quot;00E412D0&quot;/&gt;&lt;wsp:rsid wsp:val=&quot;00E43B0B&quot;/&gt;&lt;wsp:rsid wsp:val=&quot;00E44D38&quot;/&gt;&lt;wsp:rsid wsp:val=&quot;00E503B0&quot;/&gt;&lt;wsp:rsid wsp:val=&quot;00E5121F&quot;/&gt;&lt;wsp:rsid wsp:val=&quot;00E51C74&quot;/&gt;&lt;wsp:rsid wsp:val=&quot;00E537EE&quot;/&gt;&lt;wsp:rsid wsp:val=&quot;00E550BD&quot;/&gt;&lt;wsp:rsid wsp:val=&quot;00E56322&quot;/&gt;&lt;wsp:rsid wsp:val=&quot;00E60982&quot;/&gt;&lt;wsp:rsid wsp:val=&quot;00E62C62&quot;/&gt;&lt;wsp:rsid wsp:val=&quot;00E654C1&quot;/&gt;&lt;wsp:rsid wsp:val=&quot;00E65D97&quot;/&gt;&lt;wsp:rsid wsp:val=&quot;00E67C60&quot;/&gt;&lt;wsp:rsid wsp:val=&quot;00E7035F&quot;/&gt;&lt;wsp:rsid wsp:val=&quot;00E71936&quot;/&gt;&lt;wsp:rsid wsp:val=&quot;00E72531&quot;/&gt;&lt;wsp:rsid wsp:val=&quot;00E72A5A&quot;/&gt;&lt;wsp:rsid wsp:val=&quot;00E72FA1&quot;/&gt;&lt;wsp:rsid wsp:val=&quot;00E73354&quot;/&gt;&lt;wsp:rsid wsp:val=&quot;00E80A21&quot;/&gt;&lt;wsp:rsid wsp:val=&quot;00E80EFB&quot;/&gt;&lt;wsp:rsid wsp:val=&quot;00E86FDF&quot;/&gt;&lt;wsp:rsid wsp:val=&quot;00E90332&quot;/&gt;&lt;wsp:rsid wsp:val=&quot;00E9242D&quot;/&gt;&lt;wsp:rsid wsp:val=&quot;00E9666B&quot;/&gt;&lt;wsp:rsid wsp:val=&quot;00E97A9A&quot;/&gt;&lt;wsp:rsid wsp:val=&quot;00EA1108&quot;/&gt;&lt;wsp:rsid wsp:val=&quot;00EA6651&quot;/&gt;&lt;wsp:rsid wsp:val=&quot;00EA67D2&quot;/&gt;&lt;wsp:rsid wsp:val=&quot;00EB058F&quot;/&gt;&lt;wsp:rsid wsp:val=&quot;00EB0FF2&quot;/&gt;&lt;wsp:rsid wsp:val=&quot;00EB5255&quot;/&gt;&lt;wsp:rsid wsp:val=&quot;00EB5C47&quot;/&gt;&lt;wsp:rsid wsp:val=&quot;00EB7532&quot;/&gt;&lt;wsp:rsid wsp:val=&quot;00EC2298&quot;/&gt;&lt;wsp:rsid wsp:val=&quot;00EC40B6&quot;/&gt;&lt;wsp:rsid wsp:val=&quot;00EC4AF5&quot;/&gt;&lt;wsp:rsid wsp:val=&quot;00EC5751&quot;/&gt;&lt;wsp:rsid wsp:val=&quot;00ED0639&quot;/&gt;&lt;wsp:rsid wsp:val=&quot;00ED5EC1&quot;/&gt;&lt;wsp:rsid wsp:val=&quot;00EE1E4D&quot;/&gt;&lt;wsp:rsid wsp:val=&quot;00EE7455&quot;/&gt;&lt;wsp:rsid wsp:val=&quot;00EF202F&quot;/&gt;&lt;wsp:rsid wsp:val=&quot;00EF2070&quot;/&gt;&lt;wsp:rsid wsp:val=&quot;00EF4755&quot;/&gt;&lt;wsp:rsid wsp:val=&quot;00EF49A2&quot;/&gt;&lt;wsp:rsid wsp:val=&quot;00EF5BDC&quot;/&gt;&lt;wsp:rsid wsp:val=&quot;00EF61C4&quot;/&gt;&lt;wsp:rsid wsp:val=&quot;00EF7135&quot;/&gt;&lt;wsp:rsid wsp:val=&quot;00EF73A4&quot;/&gt;&lt;wsp:rsid wsp:val=&quot;00EF7989&quot;/&gt;&lt;wsp:rsid wsp:val=&quot;00F027DB&quot;/&gt;&lt;wsp:rsid wsp:val=&quot;00F14A7A&quot;/&gt;&lt;wsp:rsid wsp:val=&quot;00F1661A&quot;/&gt;&lt;wsp:rsid wsp:val=&quot;00F22985&quot;/&gt;&lt;wsp:rsid wsp:val=&quot;00F22C3C&quot;/&gt;&lt;wsp:rsid wsp:val=&quot;00F269E6&quot;/&gt;&lt;wsp:rsid wsp:val=&quot;00F3383E&quot;/&gt;&lt;wsp:rsid wsp:val=&quot;00F34E88&quot;/&gt;&lt;wsp:rsid wsp:val=&quot;00F40E51&quot;/&gt;&lt;wsp:rsid wsp:val=&quot;00F44653&quot;/&gt;&lt;wsp:rsid wsp:val=&quot;00F465A7&quot;/&gt;&lt;wsp:rsid wsp:val=&quot;00F50B7C&quot;/&gt;&lt;wsp:rsid wsp:val=&quot;00F50C57&quot;/&gt;&lt;wsp:rsid wsp:val=&quot;00F50F20&quot;/&gt;&lt;wsp:rsid wsp:val=&quot;00F516D3&quot;/&gt;&lt;wsp:rsid wsp:val=&quot;00F550E6&quot;/&gt;&lt;wsp:rsid wsp:val=&quot;00F56E4D&quot;/&gt;&lt;wsp:rsid wsp:val=&quot;00F74345&quot;/&gt;&lt;wsp:rsid wsp:val=&quot;00F767D2&quot;/&gt;&lt;wsp:rsid wsp:val=&quot;00F77AC5&quot;/&gt;&lt;wsp:rsid wsp:val=&quot;00F80A0A&quot;/&gt;&lt;wsp:rsid wsp:val=&quot;00F82286&quot;/&gt;&lt;wsp:rsid wsp:val=&quot;00F82577&quot;/&gt;&lt;wsp:rsid wsp:val=&quot;00F82B19&quot;/&gt;&lt;wsp:rsid wsp:val=&quot;00F835D9&quot;/&gt;&lt;wsp:rsid wsp:val=&quot;00F90F45&quot;/&gt;&lt;wsp:rsid wsp:val=&quot;00F91C9D&quot;/&gt;&lt;wsp:rsid wsp:val=&quot;00F9212D&quot;/&gt;&lt;wsp:rsid wsp:val=&quot;00F96272&quot;/&gt;&lt;wsp:rsid wsp:val=&quot;00F965DA&quot;/&gt;&lt;wsp:rsid wsp:val=&quot;00FA2CD3&quot;/&gt;&lt;wsp:rsid wsp:val=&quot;00FA406A&quot;/&gt;&lt;wsp:rsid wsp:val=&quot;00FA49A2&quot;/&gt;&lt;wsp:rsid wsp:val=&quot;00FA50C2&quot;/&gt;&lt;wsp:rsid wsp:val=&quot;00FB17F6&quot;/&gt;&lt;wsp:rsid wsp:val=&quot;00FB47C6&quot;/&gt;&lt;wsp:rsid wsp:val=&quot;00FB503A&quot;/&gt;&lt;wsp:rsid wsp:val=&quot;00FB516C&quot;/&gt;&lt;wsp:rsid wsp:val=&quot;00FB6FC1&quot;/&gt;&lt;wsp:rsid wsp:val=&quot;00FB7091&quot;/&gt;&lt;wsp:rsid wsp:val=&quot;00FC1EE2&quot;/&gt;&lt;wsp:rsid wsp:val=&quot;00FC4FD2&quot;/&gt;&lt;wsp:rsid wsp:val=&quot;00FD0236&quot;/&gt;&lt;wsp:rsid wsp:val=&quot;00FD18F4&quot;/&gt;&lt;wsp:rsid wsp:val=&quot;00FD24E0&quot;/&gt;&lt;wsp:rsid wsp:val=&quot;00FD3892&quot;/&gt;&lt;wsp:rsid wsp:val=&quot;00FD54DB&quot;/&gt;&lt;wsp:rsid wsp:val=&quot;00FD619F&quot;/&gt;&lt;wsp:rsid wsp:val=&quot;00FD65CA&quot;/&gt;&lt;wsp:rsid wsp:val=&quot;00FE0926&quot;/&gt;&lt;wsp:rsid wsp:val=&quot;00FE0AAB&quot;/&gt;&lt;wsp:rsid wsp:val=&quot;00FF0483&quot;/&gt;&lt;wsp:rsid wsp:val=&quot;00FF538F&quot;/&gt;&lt;wsp:rsid wsp:val=&quot;00FF6A5E&quot;/&gt;&lt;wsp:rsid wsp:val=&quot;00FF77AD&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1F3154&quot; wsp:rsidP=&quot;001F3154&quot;&gt;&lt;m:oMathPara&gt;&lt;m:oMath&gt;&lt;m:sSub&gt;&lt;m:sSubPr&gt;&lt;m:ctrlPr&gt;&lt;w:rPr&gt;&lt;w:rFonts w:ascii=&quot;Cambria Math&quot; w:h-ansi=&quot;Cambria Math&quot;/&gt;&lt;wx:font wx:val=&quot;Cambria Math&quot;/&gt;&lt;w:color w:val=&quot;000000&quot;/&gt;&lt;w:sz w:val=&quot;24&quot;/&gt;&lt;/w:rPr&gt;&lt;/m:ctrlPr&gt;&lt;/m:sSubPr&gt;&lt;m:e&gt;&lt;m:r&gt;&lt;w:rPr&gt;&lt;w:rFonts w:ascii=&quot;Cambria Math&quot; w:h-ansi=&quot;Cambria Math&quot;/&gt;&lt;wx:font wx:val=&quot;Cambria Math&quot;/&gt;&lt;w:i/&gt;&lt;w:color w:val=&quot;000000&quot;/&gt;&lt;w:sz w:val=&quot;24&quot;/&gt;&lt;/w:rPr&gt;&lt;m:t&gt;Q&lt;/m:t&gt;&lt;/m:r&gt;&lt;/m:e&gt;&lt;m:sub&gt;&lt;m:r&gt;&lt;w:rPr&gt;&lt;w:rFonts w:ascii=&quot;Cambria Math&quot; w:h-ansi=&quot;Cambria Math&quot;/&gt;&lt;wx:font wx:val=&quot;Cambria Math&quot;/&gt;&lt;w:i/&gt;&lt;w:color w:val=&quot;000000&quot;/&gt;&lt;w:sz w:val=&quot;24&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14" chromakey="#FFFFFF" o:title=""/>
                  <o:lock v:ext="edit" aspectratio="t"/>
                  <w10:wrap type="none"/>
                  <w10:anchorlock/>
                </v:shape>
              </w:pict>
            </w:r>
            <w:r>
              <w:fldChar w:fldCharType="end"/>
            </w:r>
            <w:r>
              <w:t>=</w:t>
            </w:r>
            <w:r>
              <w:rPr>
                <w:rFonts w:hint="eastAsia"/>
              </w:rPr>
              <w:t>0.053</w:t>
            </w:r>
            <w:r>
              <w:t>kg/</w:t>
            </w:r>
            <w:r>
              <w:rPr>
                <w:rFonts w:hint="eastAsia"/>
              </w:rPr>
              <w:t>km。厂区行驶距离按20</w:t>
            </w:r>
            <w:r>
              <w:t>m</w:t>
            </w:r>
            <w:r>
              <w:rPr>
                <w:rFonts w:hint="eastAsia"/>
              </w:rPr>
              <w:t>计算，则汽车运输扬尘产生量0.017</w:t>
            </w:r>
            <w:r>
              <w:t>t/a</w:t>
            </w:r>
            <w:r>
              <w:rPr>
                <w:rFonts w:hint="eastAsia"/>
              </w:rPr>
              <w:t>。</w:t>
            </w:r>
          </w:p>
          <w:p w14:paraId="671C0521">
            <w:pPr>
              <w:autoSpaceDE w:val="0"/>
              <w:spacing w:line="360" w:lineRule="auto"/>
              <w:ind w:firstLine="480" w:firstLineChars="200"/>
              <w:rPr>
                <w:rFonts w:hAnsi="宋体"/>
                <w:sz w:val="24"/>
              </w:rPr>
            </w:pPr>
            <w:r>
              <w:rPr>
                <w:rFonts w:hint="eastAsia" w:cstheme="minorBidi"/>
                <w:bCs/>
                <w:kern w:val="24"/>
                <w:sz w:val="24"/>
                <w:szCs w:val="32"/>
              </w:rPr>
              <w:t>合计运输扬尘产生量为0.07</w:t>
            </w:r>
            <w:r>
              <w:rPr>
                <w:rFonts w:cstheme="minorBidi"/>
                <w:bCs/>
                <w:kern w:val="24"/>
                <w:sz w:val="24"/>
                <w:szCs w:val="32"/>
              </w:rPr>
              <w:t>t/a</w:t>
            </w:r>
            <w:r>
              <w:rPr>
                <w:rFonts w:hAnsi="宋体"/>
                <w:sz w:val="24"/>
              </w:rPr>
              <w:t>。</w:t>
            </w:r>
          </w:p>
          <w:p w14:paraId="685CEF54">
            <w:pPr>
              <w:pStyle w:val="2"/>
              <w:spacing w:line="360" w:lineRule="auto"/>
              <w:ind w:firstLine="480" w:firstLineChars="200"/>
              <w:rPr>
                <w:rFonts w:ascii="Times New Roman" w:cs="Times New Roman"/>
                <w:color w:val="auto"/>
              </w:rPr>
            </w:pPr>
            <w:r>
              <w:rPr>
                <w:rFonts w:hint="eastAsia" w:ascii="Times New Roman" w:cs="Times New Roman"/>
                <w:color w:val="auto"/>
              </w:rPr>
              <w:t>本环评要求：①整个厂区地面进行硬化，定期进行清扫和洒水降尘；②对车辆加盖篷布，防止运输过程中物料酒落及扬尘飘散；③加强对运输车辆的管理，合理安排运输路线，尽可能避免交通扰民，运输时应合理安排运输时间，尽量错开车流量高峰期，运输车辆减速慢行亚禁超载；④厂区应进行绿化建设，可有效的降低粉尘以及噪声。</w:t>
            </w:r>
          </w:p>
          <w:p w14:paraId="293AFA61">
            <w:pPr>
              <w:pStyle w:val="2"/>
              <w:spacing w:line="360" w:lineRule="auto"/>
              <w:ind w:firstLine="480" w:firstLineChars="200"/>
              <w:jc w:val="both"/>
              <w:rPr>
                <w:rFonts w:ascii="Times New Roman" w:cs="Times New Roman"/>
                <w:color w:val="auto"/>
              </w:rPr>
            </w:pPr>
            <w:r>
              <w:rPr>
                <w:rFonts w:hint="eastAsia" w:ascii="Times New Roman" w:cs="Times New Roman"/>
                <w:color w:val="auto"/>
              </w:rPr>
              <w:t>经采取上述措施后，除尘效率约为80%，则运输扬尘排放量为0.003t/a。</w:t>
            </w:r>
          </w:p>
          <w:p w14:paraId="676C857C">
            <w:pPr>
              <w:pStyle w:val="2"/>
              <w:spacing w:line="360" w:lineRule="auto"/>
              <w:ind w:firstLine="482" w:firstLineChars="200"/>
              <w:jc w:val="both"/>
              <w:rPr>
                <w:rFonts w:ascii="Times New Roman" w:cs="Times New Roman"/>
                <w:b/>
                <w:color w:val="auto"/>
              </w:rPr>
            </w:pPr>
            <w:r>
              <w:rPr>
                <w:rFonts w:hint="eastAsia" w:ascii="Times New Roman" w:cs="Times New Roman"/>
                <w:b/>
                <w:color w:val="auto"/>
              </w:rPr>
              <w:t>2、大气污染物排放量核算</w:t>
            </w:r>
          </w:p>
          <w:p w14:paraId="1A14BEC1">
            <w:pPr>
              <w:pStyle w:val="2"/>
              <w:spacing w:line="360" w:lineRule="auto"/>
              <w:ind w:firstLine="480" w:firstLineChars="200"/>
              <w:jc w:val="both"/>
              <w:rPr>
                <w:rFonts w:ascii="Times New Roman" w:cs="Times New Roman"/>
                <w:color w:val="auto"/>
              </w:rPr>
            </w:pPr>
            <w:r>
              <w:rPr>
                <w:rFonts w:hint="eastAsia" w:ascii="Times New Roman" w:cs="Times New Roman"/>
                <w:color w:val="auto"/>
              </w:rPr>
              <w:t>项目有组织排放量核算表见下表：</w:t>
            </w:r>
          </w:p>
          <w:p w14:paraId="391F1803">
            <w:pPr>
              <w:spacing w:before="120" w:beforeLines="50"/>
              <w:jc w:val="center"/>
              <w:rPr>
                <w:b/>
                <w:szCs w:val="21"/>
              </w:rPr>
            </w:pPr>
            <w:r>
              <w:rPr>
                <w:rFonts w:hint="eastAsia"/>
                <w:b/>
                <w:szCs w:val="21"/>
              </w:rPr>
              <w:t>表4-1  大气污染物有组织排放量核算表</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25"/>
              <w:gridCol w:w="1255"/>
              <w:gridCol w:w="1960"/>
              <w:gridCol w:w="1345"/>
              <w:gridCol w:w="1349"/>
              <w:gridCol w:w="1347"/>
              <w:gridCol w:w="1340"/>
            </w:tblGrid>
            <w:tr w14:paraId="0DADA1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38" w:type="pct"/>
                  <w:vAlign w:val="center"/>
                </w:tcPr>
                <w:p w14:paraId="3C056559">
                  <w:pPr>
                    <w:pStyle w:val="2"/>
                    <w:jc w:val="center"/>
                    <w:rPr>
                      <w:rFonts w:ascii="Times New Roman" w:cs="Times New Roman"/>
                      <w:b/>
                      <w:color w:val="auto"/>
                      <w:sz w:val="21"/>
                      <w:szCs w:val="21"/>
                    </w:rPr>
                  </w:pPr>
                  <w:r>
                    <w:rPr>
                      <w:rFonts w:ascii="Times New Roman" w:cs="Times New Roman"/>
                      <w:b/>
                      <w:color w:val="auto"/>
                      <w:sz w:val="21"/>
                      <w:szCs w:val="21"/>
                    </w:rPr>
                    <w:t>序号</w:t>
                  </w:r>
                </w:p>
              </w:tc>
              <w:tc>
                <w:tcPr>
                  <w:tcW w:w="666" w:type="pct"/>
                  <w:vAlign w:val="center"/>
                </w:tcPr>
                <w:p w14:paraId="3D9104AC">
                  <w:pPr>
                    <w:pStyle w:val="2"/>
                    <w:jc w:val="center"/>
                    <w:rPr>
                      <w:rFonts w:ascii="Times New Roman" w:cs="Times New Roman"/>
                      <w:b/>
                      <w:color w:val="auto"/>
                      <w:sz w:val="21"/>
                      <w:szCs w:val="21"/>
                    </w:rPr>
                  </w:pPr>
                  <w:r>
                    <w:rPr>
                      <w:rFonts w:ascii="Times New Roman" w:cs="Times New Roman"/>
                      <w:b/>
                      <w:color w:val="auto"/>
                      <w:sz w:val="21"/>
                      <w:szCs w:val="21"/>
                    </w:rPr>
                    <w:t>排放口编号</w:t>
                  </w:r>
                </w:p>
              </w:tc>
              <w:tc>
                <w:tcPr>
                  <w:tcW w:w="1040" w:type="pct"/>
                  <w:vAlign w:val="center"/>
                </w:tcPr>
                <w:p w14:paraId="618B0CBC">
                  <w:pPr>
                    <w:pStyle w:val="2"/>
                    <w:jc w:val="center"/>
                    <w:rPr>
                      <w:rFonts w:ascii="Times New Roman" w:cs="Times New Roman"/>
                      <w:b/>
                      <w:color w:val="auto"/>
                      <w:sz w:val="21"/>
                      <w:szCs w:val="21"/>
                    </w:rPr>
                  </w:pPr>
                  <w:r>
                    <w:rPr>
                      <w:rFonts w:ascii="Times New Roman" w:cs="Times New Roman"/>
                      <w:b/>
                      <w:color w:val="auto"/>
                      <w:sz w:val="21"/>
                      <w:szCs w:val="21"/>
                    </w:rPr>
                    <w:t>产污环节</w:t>
                  </w:r>
                </w:p>
              </w:tc>
              <w:tc>
                <w:tcPr>
                  <w:tcW w:w="714" w:type="pct"/>
                  <w:vAlign w:val="center"/>
                </w:tcPr>
                <w:p w14:paraId="65413A66">
                  <w:pPr>
                    <w:pStyle w:val="2"/>
                    <w:jc w:val="center"/>
                    <w:rPr>
                      <w:rFonts w:ascii="Times New Roman" w:cs="Times New Roman"/>
                      <w:b/>
                      <w:color w:val="auto"/>
                      <w:sz w:val="21"/>
                      <w:szCs w:val="21"/>
                    </w:rPr>
                  </w:pPr>
                  <w:r>
                    <w:rPr>
                      <w:rFonts w:ascii="Times New Roman" w:cs="Times New Roman"/>
                      <w:b/>
                      <w:color w:val="auto"/>
                      <w:sz w:val="21"/>
                      <w:szCs w:val="21"/>
                    </w:rPr>
                    <w:t>污染物</w:t>
                  </w:r>
                </w:p>
              </w:tc>
              <w:tc>
                <w:tcPr>
                  <w:tcW w:w="716" w:type="pct"/>
                  <w:vAlign w:val="center"/>
                </w:tcPr>
                <w:p w14:paraId="6A452CEC">
                  <w:pPr>
                    <w:pStyle w:val="2"/>
                    <w:jc w:val="center"/>
                    <w:rPr>
                      <w:rFonts w:ascii="Times New Roman" w:cs="Times New Roman"/>
                      <w:b/>
                      <w:color w:val="auto"/>
                      <w:sz w:val="21"/>
                      <w:szCs w:val="21"/>
                    </w:rPr>
                  </w:pPr>
                  <w:r>
                    <w:rPr>
                      <w:rFonts w:ascii="Times New Roman" w:cs="Times New Roman"/>
                      <w:b/>
                      <w:color w:val="auto"/>
                      <w:sz w:val="21"/>
                      <w:szCs w:val="21"/>
                    </w:rPr>
                    <w:t>核算排放浓度（</w:t>
                  </w:r>
                  <w:r>
                    <w:rPr>
                      <w:rFonts w:hint="eastAsia" w:ascii="Times New Roman" w:cs="Times New Roman"/>
                      <w:b/>
                      <w:color w:val="auto"/>
                      <w:sz w:val="21"/>
                      <w:szCs w:val="21"/>
                    </w:rPr>
                    <w:t>mg/m</w:t>
                  </w:r>
                  <w:r>
                    <w:rPr>
                      <w:rFonts w:hint="eastAsia" w:ascii="Times New Roman" w:cs="Times New Roman"/>
                      <w:b/>
                      <w:color w:val="auto"/>
                      <w:sz w:val="21"/>
                      <w:szCs w:val="21"/>
                      <w:vertAlign w:val="superscript"/>
                    </w:rPr>
                    <w:t>3</w:t>
                  </w:r>
                  <w:r>
                    <w:rPr>
                      <w:rFonts w:ascii="Times New Roman" w:cs="Times New Roman"/>
                      <w:b/>
                      <w:color w:val="auto"/>
                      <w:sz w:val="21"/>
                      <w:szCs w:val="21"/>
                    </w:rPr>
                    <w:t>）</w:t>
                  </w:r>
                </w:p>
              </w:tc>
              <w:tc>
                <w:tcPr>
                  <w:tcW w:w="715" w:type="pct"/>
                  <w:vAlign w:val="center"/>
                </w:tcPr>
                <w:p w14:paraId="57EF9B68">
                  <w:pPr>
                    <w:pStyle w:val="2"/>
                    <w:jc w:val="center"/>
                    <w:rPr>
                      <w:rFonts w:ascii="Times New Roman" w:cs="Times New Roman"/>
                      <w:b/>
                      <w:color w:val="auto"/>
                      <w:sz w:val="21"/>
                      <w:szCs w:val="21"/>
                    </w:rPr>
                  </w:pPr>
                  <w:r>
                    <w:rPr>
                      <w:rFonts w:ascii="Times New Roman" w:cs="Times New Roman"/>
                      <w:b/>
                      <w:color w:val="auto"/>
                      <w:sz w:val="21"/>
                      <w:szCs w:val="21"/>
                    </w:rPr>
                    <w:t>核算排放速率（</w:t>
                  </w:r>
                  <w:r>
                    <w:rPr>
                      <w:rFonts w:hint="eastAsia" w:ascii="Times New Roman" w:cs="Times New Roman"/>
                      <w:b/>
                      <w:color w:val="auto"/>
                      <w:sz w:val="21"/>
                      <w:szCs w:val="21"/>
                    </w:rPr>
                    <w:t>kg/h</w:t>
                  </w:r>
                  <w:r>
                    <w:rPr>
                      <w:rFonts w:ascii="Times New Roman" w:cs="Times New Roman"/>
                      <w:b/>
                      <w:color w:val="auto"/>
                      <w:sz w:val="21"/>
                      <w:szCs w:val="21"/>
                    </w:rPr>
                    <w:t>）</w:t>
                  </w:r>
                </w:p>
              </w:tc>
              <w:tc>
                <w:tcPr>
                  <w:tcW w:w="711" w:type="pct"/>
                  <w:vAlign w:val="center"/>
                </w:tcPr>
                <w:p w14:paraId="1471DFF3">
                  <w:pPr>
                    <w:pStyle w:val="2"/>
                    <w:jc w:val="center"/>
                    <w:rPr>
                      <w:rFonts w:ascii="Times New Roman" w:cs="Times New Roman"/>
                      <w:b/>
                      <w:color w:val="auto"/>
                      <w:sz w:val="21"/>
                      <w:szCs w:val="21"/>
                    </w:rPr>
                  </w:pPr>
                  <w:r>
                    <w:rPr>
                      <w:rFonts w:ascii="Times New Roman" w:cs="Times New Roman"/>
                      <w:b/>
                      <w:color w:val="auto"/>
                      <w:sz w:val="21"/>
                      <w:szCs w:val="21"/>
                    </w:rPr>
                    <w:t>核算年排放量</w:t>
                  </w:r>
                  <w:r>
                    <w:rPr>
                      <w:rFonts w:hint="eastAsia" w:ascii="Times New Roman" w:cs="Times New Roman"/>
                      <w:b/>
                      <w:color w:val="auto"/>
                      <w:sz w:val="21"/>
                      <w:szCs w:val="21"/>
                    </w:rPr>
                    <w:t>t/a</w:t>
                  </w:r>
                </w:p>
              </w:tc>
            </w:tr>
            <w:tr w14:paraId="3C0645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7"/>
                  <w:vAlign w:val="center"/>
                </w:tcPr>
                <w:p w14:paraId="6EF7FE1B">
                  <w:pPr>
                    <w:pStyle w:val="2"/>
                    <w:jc w:val="center"/>
                    <w:rPr>
                      <w:rFonts w:ascii="Times New Roman" w:cs="Times New Roman"/>
                      <w:color w:val="auto"/>
                      <w:sz w:val="21"/>
                      <w:szCs w:val="21"/>
                    </w:rPr>
                  </w:pPr>
                  <w:r>
                    <w:rPr>
                      <w:rFonts w:hint="eastAsia" w:ascii="Times New Roman" w:cs="Times New Roman"/>
                      <w:color w:val="auto"/>
                      <w:sz w:val="21"/>
                      <w:szCs w:val="21"/>
                    </w:rPr>
                    <w:t>一般排放口</w:t>
                  </w:r>
                </w:p>
              </w:tc>
            </w:tr>
            <w:tr w14:paraId="12D099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38" w:type="pct"/>
                  <w:vAlign w:val="center"/>
                </w:tcPr>
                <w:p w14:paraId="1EB5D442">
                  <w:pPr>
                    <w:pStyle w:val="2"/>
                    <w:jc w:val="center"/>
                    <w:rPr>
                      <w:rFonts w:ascii="Times New Roman" w:cs="Times New Roman"/>
                      <w:color w:val="auto"/>
                      <w:sz w:val="21"/>
                      <w:szCs w:val="21"/>
                    </w:rPr>
                  </w:pPr>
                  <w:r>
                    <w:rPr>
                      <w:rFonts w:hint="eastAsia" w:ascii="Times New Roman" w:cs="Times New Roman"/>
                      <w:color w:val="auto"/>
                      <w:sz w:val="21"/>
                      <w:szCs w:val="21"/>
                    </w:rPr>
                    <w:t>1</w:t>
                  </w:r>
                </w:p>
              </w:tc>
              <w:tc>
                <w:tcPr>
                  <w:tcW w:w="666" w:type="pct"/>
                  <w:vAlign w:val="center"/>
                </w:tcPr>
                <w:p w14:paraId="0E933847">
                  <w:pPr>
                    <w:pStyle w:val="2"/>
                    <w:jc w:val="center"/>
                    <w:rPr>
                      <w:rFonts w:ascii="Times New Roman" w:cs="Times New Roman"/>
                      <w:color w:val="auto"/>
                      <w:sz w:val="21"/>
                      <w:szCs w:val="21"/>
                    </w:rPr>
                  </w:pPr>
                  <w:r>
                    <w:rPr>
                      <w:rFonts w:hint="eastAsia" w:ascii="Times New Roman" w:cs="Times New Roman"/>
                      <w:color w:val="auto"/>
                      <w:sz w:val="21"/>
                      <w:szCs w:val="21"/>
                    </w:rPr>
                    <w:t>DA001</w:t>
                  </w:r>
                </w:p>
              </w:tc>
              <w:tc>
                <w:tcPr>
                  <w:tcW w:w="1040" w:type="pct"/>
                  <w:vAlign w:val="center"/>
                </w:tcPr>
                <w:p w14:paraId="74952F38">
                  <w:pPr>
                    <w:jc w:val="center"/>
                    <w:rPr>
                      <w:szCs w:val="21"/>
                    </w:rPr>
                  </w:pPr>
                  <w:r>
                    <w:rPr>
                      <w:rFonts w:hint="eastAsia"/>
                      <w:szCs w:val="21"/>
                    </w:rPr>
                    <w:t>磨粉粉尘</w:t>
                  </w:r>
                </w:p>
              </w:tc>
              <w:tc>
                <w:tcPr>
                  <w:tcW w:w="714" w:type="pct"/>
                  <w:vAlign w:val="center"/>
                </w:tcPr>
                <w:p w14:paraId="4419521E">
                  <w:pPr>
                    <w:pStyle w:val="72"/>
                    <w:rPr>
                      <w:kern w:val="2"/>
                      <w:sz w:val="21"/>
                      <w:szCs w:val="21"/>
                    </w:rPr>
                  </w:pPr>
                  <w:r>
                    <w:rPr>
                      <w:rFonts w:hint="eastAsia"/>
                      <w:sz w:val="21"/>
                      <w:szCs w:val="21"/>
                    </w:rPr>
                    <w:t>颗粒物</w:t>
                  </w:r>
                </w:p>
              </w:tc>
              <w:tc>
                <w:tcPr>
                  <w:tcW w:w="716" w:type="pct"/>
                  <w:vAlign w:val="center"/>
                </w:tcPr>
                <w:p w14:paraId="1FD05578">
                  <w:pPr>
                    <w:pStyle w:val="72"/>
                    <w:rPr>
                      <w:kern w:val="2"/>
                      <w:sz w:val="21"/>
                      <w:szCs w:val="21"/>
                    </w:rPr>
                  </w:pPr>
                  <w:r>
                    <w:rPr>
                      <w:rFonts w:hint="eastAsia"/>
                      <w:kern w:val="2"/>
                      <w:sz w:val="21"/>
                      <w:szCs w:val="21"/>
                    </w:rPr>
                    <w:t>22.04</w:t>
                  </w:r>
                </w:p>
              </w:tc>
              <w:tc>
                <w:tcPr>
                  <w:tcW w:w="715" w:type="pct"/>
                  <w:vAlign w:val="center"/>
                </w:tcPr>
                <w:p w14:paraId="522FBA18">
                  <w:pPr>
                    <w:pStyle w:val="72"/>
                    <w:rPr>
                      <w:kern w:val="2"/>
                      <w:sz w:val="21"/>
                      <w:szCs w:val="21"/>
                    </w:rPr>
                  </w:pPr>
                  <w:r>
                    <w:rPr>
                      <w:rFonts w:hint="eastAsia"/>
                      <w:kern w:val="2"/>
                      <w:sz w:val="21"/>
                      <w:szCs w:val="21"/>
                    </w:rPr>
                    <w:t>0.198</w:t>
                  </w:r>
                </w:p>
              </w:tc>
              <w:tc>
                <w:tcPr>
                  <w:tcW w:w="711" w:type="pct"/>
                  <w:vAlign w:val="center"/>
                </w:tcPr>
                <w:p w14:paraId="525C2F38">
                  <w:pPr>
                    <w:pStyle w:val="72"/>
                    <w:rPr>
                      <w:kern w:val="2"/>
                      <w:sz w:val="21"/>
                      <w:szCs w:val="21"/>
                    </w:rPr>
                  </w:pPr>
                  <w:r>
                    <w:rPr>
                      <w:rFonts w:hint="eastAsia"/>
                      <w:kern w:val="2"/>
                      <w:sz w:val="21"/>
                      <w:szCs w:val="21"/>
                    </w:rPr>
                    <w:t>0.476</w:t>
                  </w:r>
                </w:p>
              </w:tc>
            </w:tr>
            <w:tr w14:paraId="710E6B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7"/>
                  <w:vAlign w:val="center"/>
                </w:tcPr>
                <w:p w14:paraId="1734BE9F">
                  <w:pPr>
                    <w:pStyle w:val="2"/>
                    <w:jc w:val="center"/>
                    <w:rPr>
                      <w:rFonts w:ascii="Times New Roman" w:cs="Times New Roman"/>
                      <w:color w:val="auto"/>
                      <w:sz w:val="21"/>
                      <w:szCs w:val="21"/>
                    </w:rPr>
                  </w:pPr>
                  <w:r>
                    <w:rPr>
                      <w:rFonts w:hint="eastAsia" w:ascii="Times New Roman" w:cs="Times New Roman"/>
                      <w:color w:val="auto"/>
                      <w:sz w:val="21"/>
                      <w:szCs w:val="21"/>
                    </w:rPr>
                    <w:t>有组织排放总计</w:t>
                  </w:r>
                </w:p>
              </w:tc>
            </w:tr>
            <w:tr w14:paraId="69D978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44" w:type="pct"/>
                  <w:gridSpan w:val="3"/>
                  <w:vAlign w:val="center"/>
                </w:tcPr>
                <w:p w14:paraId="46F18294">
                  <w:pPr>
                    <w:jc w:val="center"/>
                    <w:rPr>
                      <w:rFonts w:eastAsiaTheme="minorEastAsia"/>
                      <w:szCs w:val="21"/>
                    </w:rPr>
                  </w:pPr>
                  <w:r>
                    <w:rPr>
                      <w:rFonts w:eastAsiaTheme="minorEastAsia"/>
                      <w:szCs w:val="21"/>
                    </w:rPr>
                    <w:t>有组织排放总计</w:t>
                  </w:r>
                </w:p>
              </w:tc>
              <w:tc>
                <w:tcPr>
                  <w:tcW w:w="2145" w:type="pct"/>
                  <w:gridSpan w:val="3"/>
                  <w:vAlign w:val="center"/>
                </w:tcPr>
                <w:p w14:paraId="078155D8">
                  <w:pPr>
                    <w:pStyle w:val="72"/>
                    <w:rPr>
                      <w:kern w:val="2"/>
                      <w:sz w:val="21"/>
                      <w:szCs w:val="21"/>
                    </w:rPr>
                  </w:pPr>
                  <w:r>
                    <w:rPr>
                      <w:rFonts w:hint="eastAsia"/>
                      <w:sz w:val="21"/>
                      <w:szCs w:val="21"/>
                    </w:rPr>
                    <w:t>颗粒物</w:t>
                  </w:r>
                </w:p>
              </w:tc>
              <w:tc>
                <w:tcPr>
                  <w:tcW w:w="711" w:type="pct"/>
                  <w:vAlign w:val="center"/>
                </w:tcPr>
                <w:p w14:paraId="5FC60D3B">
                  <w:pPr>
                    <w:pStyle w:val="2"/>
                    <w:jc w:val="center"/>
                    <w:rPr>
                      <w:rFonts w:ascii="Times New Roman" w:cs="Times New Roman"/>
                      <w:color w:val="auto"/>
                      <w:sz w:val="21"/>
                      <w:szCs w:val="21"/>
                    </w:rPr>
                  </w:pPr>
                  <w:r>
                    <w:rPr>
                      <w:rFonts w:hint="eastAsia" w:ascii="Times New Roman" w:cs="Times New Roman"/>
                      <w:color w:val="auto"/>
                      <w:sz w:val="21"/>
                      <w:szCs w:val="21"/>
                    </w:rPr>
                    <w:t>0.476</w:t>
                  </w:r>
                </w:p>
              </w:tc>
            </w:tr>
          </w:tbl>
          <w:p w14:paraId="35330A06">
            <w:pPr>
              <w:spacing w:before="120" w:beforeLines="50"/>
              <w:jc w:val="center"/>
              <w:rPr>
                <w:b/>
                <w:szCs w:val="21"/>
              </w:rPr>
            </w:pPr>
            <w:r>
              <w:rPr>
                <w:rFonts w:hint="eastAsia"/>
                <w:b/>
                <w:szCs w:val="21"/>
              </w:rPr>
              <w:t>表4-2  大气污染物无组织排放量核算表</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83"/>
              <w:gridCol w:w="852"/>
              <w:gridCol w:w="1059"/>
              <w:gridCol w:w="978"/>
              <w:gridCol w:w="1509"/>
              <w:gridCol w:w="2367"/>
              <w:gridCol w:w="1157"/>
              <w:gridCol w:w="916"/>
            </w:tblGrid>
            <w:tr w14:paraId="3DD931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Merge w:val="restart"/>
                  <w:vAlign w:val="center"/>
                </w:tcPr>
                <w:p w14:paraId="224A4948">
                  <w:pPr>
                    <w:pStyle w:val="2"/>
                    <w:jc w:val="center"/>
                    <w:rPr>
                      <w:rFonts w:ascii="Times New Roman" w:cs="Times New Roman"/>
                      <w:b/>
                      <w:color w:val="auto"/>
                      <w:sz w:val="21"/>
                      <w:szCs w:val="21"/>
                    </w:rPr>
                  </w:pPr>
                  <w:r>
                    <w:rPr>
                      <w:rFonts w:ascii="Times New Roman" w:cs="Times New Roman"/>
                      <w:b/>
                      <w:color w:val="auto"/>
                      <w:sz w:val="21"/>
                      <w:szCs w:val="21"/>
                    </w:rPr>
                    <w:t>序号</w:t>
                  </w:r>
                </w:p>
              </w:tc>
              <w:tc>
                <w:tcPr>
                  <w:tcW w:w="452" w:type="pct"/>
                  <w:vMerge w:val="restart"/>
                  <w:vAlign w:val="center"/>
                </w:tcPr>
                <w:p w14:paraId="170861D3">
                  <w:pPr>
                    <w:pStyle w:val="2"/>
                    <w:jc w:val="center"/>
                    <w:rPr>
                      <w:rFonts w:ascii="Times New Roman" w:cs="Times New Roman"/>
                      <w:b/>
                      <w:color w:val="auto"/>
                      <w:sz w:val="21"/>
                      <w:szCs w:val="21"/>
                    </w:rPr>
                  </w:pPr>
                  <w:r>
                    <w:rPr>
                      <w:rFonts w:ascii="Times New Roman" w:cs="Times New Roman"/>
                      <w:b/>
                      <w:color w:val="auto"/>
                      <w:sz w:val="21"/>
                      <w:szCs w:val="21"/>
                    </w:rPr>
                    <w:t>排放口编号</w:t>
                  </w:r>
                </w:p>
              </w:tc>
              <w:tc>
                <w:tcPr>
                  <w:tcW w:w="562" w:type="pct"/>
                  <w:vMerge w:val="restart"/>
                  <w:vAlign w:val="center"/>
                </w:tcPr>
                <w:p w14:paraId="2AF4CEE9">
                  <w:pPr>
                    <w:pStyle w:val="2"/>
                    <w:jc w:val="center"/>
                    <w:rPr>
                      <w:rFonts w:ascii="Times New Roman" w:cs="Times New Roman"/>
                      <w:b/>
                      <w:color w:val="auto"/>
                      <w:sz w:val="21"/>
                      <w:szCs w:val="21"/>
                    </w:rPr>
                  </w:pPr>
                  <w:r>
                    <w:rPr>
                      <w:rFonts w:ascii="Times New Roman" w:cs="Times New Roman"/>
                      <w:b/>
                      <w:color w:val="auto"/>
                      <w:sz w:val="21"/>
                      <w:szCs w:val="21"/>
                    </w:rPr>
                    <w:t>产污</w:t>
                  </w:r>
                </w:p>
                <w:p w14:paraId="1AFF764B">
                  <w:pPr>
                    <w:pStyle w:val="2"/>
                    <w:jc w:val="center"/>
                    <w:rPr>
                      <w:rFonts w:ascii="Times New Roman" w:cs="Times New Roman"/>
                      <w:b/>
                      <w:color w:val="auto"/>
                      <w:sz w:val="21"/>
                      <w:szCs w:val="21"/>
                    </w:rPr>
                  </w:pPr>
                  <w:r>
                    <w:rPr>
                      <w:rFonts w:ascii="Times New Roman" w:cs="Times New Roman"/>
                      <w:b/>
                      <w:color w:val="auto"/>
                      <w:sz w:val="21"/>
                      <w:szCs w:val="21"/>
                    </w:rPr>
                    <w:t>环节</w:t>
                  </w:r>
                </w:p>
              </w:tc>
              <w:tc>
                <w:tcPr>
                  <w:tcW w:w="518" w:type="pct"/>
                  <w:vMerge w:val="restart"/>
                  <w:vAlign w:val="center"/>
                </w:tcPr>
                <w:p w14:paraId="4A9CD407">
                  <w:pPr>
                    <w:pStyle w:val="2"/>
                    <w:jc w:val="center"/>
                    <w:rPr>
                      <w:rFonts w:ascii="Times New Roman" w:cs="Times New Roman"/>
                      <w:b/>
                      <w:color w:val="auto"/>
                      <w:sz w:val="21"/>
                      <w:szCs w:val="21"/>
                    </w:rPr>
                  </w:pPr>
                  <w:r>
                    <w:rPr>
                      <w:rFonts w:ascii="Times New Roman" w:cs="Times New Roman"/>
                      <w:b/>
                      <w:color w:val="auto"/>
                      <w:sz w:val="21"/>
                      <w:szCs w:val="21"/>
                    </w:rPr>
                    <w:t>污染物</w:t>
                  </w:r>
                </w:p>
              </w:tc>
              <w:tc>
                <w:tcPr>
                  <w:tcW w:w="801" w:type="pct"/>
                  <w:vMerge w:val="restart"/>
                  <w:vAlign w:val="center"/>
                </w:tcPr>
                <w:p w14:paraId="7D90DBC1">
                  <w:pPr>
                    <w:pStyle w:val="2"/>
                    <w:jc w:val="center"/>
                    <w:rPr>
                      <w:rFonts w:ascii="Times New Roman" w:cs="Times New Roman"/>
                      <w:b/>
                      <w:color w:val="auto"/>
                      <w:sz w:val="21"/>
                      <w:szCs w:val="21"/>
                    </w:rPr>
                  </w:pPr>
                  <w:r>
                    <w:rPr>
                      <w:rFonts w:ascii="Times New Roman" w:cs="Times New Roman"/>
                      <w:b/>
                      <w:color w:val="auto"/>
                      <w:sz w:val="21"/>
                      <w:szCs w:val="21"/>
                    </w:rPr>
                    <w:t>主要污染物防治措施</w:t>
                  </w:r>
                </w:p>
              </w:tc>
              <w:tc>
                <w:tcPr>
                  <w:tcW w:w="1870" w:type="pct"/>
                  <w:gridSpan w:val="2"/>
                  <w:vAlign w:val="center"/>
                </w:tcPr>
                <w:p w14:paraId="7F58161C">
                  <w:pPr>
                    <w:pStyle w:val="2"/>
                    <w:jc w:val="center"/>
                    <w:rPr>
                      <w:rFonts w:ascii="Times New Roman" w:cs="Times New Roman"/>
                      <w:b/>
                      <w:color w:val="auto"/>
                      <w:sz w:val="21"/>
                      <w:szCs w:val="21"/>
                    </w:rPr>
                  </w:pPr>
                  <w:r>
                    <w:rPr>
                      <w:rFonts w:ascii="Times New Roman" w:cs="Times New Roman"/>
                      <w:b/>
                      <w:color w:val="auto"/>
                      <w:sz w:val="21"/>
                      <w:szCs w:val="21"/>
                    </w:rPr>
                    <w:t>国家或地方污染物排放标准名称</w:t>
                  </w:r>
                </w:p>
              </w:tc>
              <w:tc>
                <w:tcPr>
                  <w:tcW w:w="486" w:type="pct"/>
                  <w:vMerge w:val="restart"/>
                  <w:vAlign w:val="center"/>
                </w:tcPr>
                <w:p w14:paraId="1F6933C8">
                  <w:pPr>
                    <w:pStyle w:val="2"/>
                    <w:jc w:val="center"/>
                    <w:rPr>
                      <w:rFonts w:ascii="Times New Roman" w:cs="Times New Roman"/>
                      <w:b/>
                      <w:color w:val="auto"/>
                      <w:sz w:val="21"/>
                      <w:szCs w:val="21"/>
                    </w:rPr>
                  </w:pPr>
                  <w:r>
                    <w:rPr>
                      <w:rFonts w:ascii="Times New Roman" w:cs="Times New Roman"/>
                      <w:b/>
                      <w:color w:val="auto"/>
                      <w:sz w:val="21"/>
                      <w:szCs w:val="21"/>
                    </w:rPr>
                    <w:t>年排放量</w:t>
                  </w:r>
                  <w:r>
                    <w:rPr>
                      <w:rFonts w:hint="eastAsia" w:ascii="Times New Roman" w:cs="Times New Roman"/>
                      <w:b/>
                      <w:color w:val="auto"/>
                      <w:sz w:val="21"/>
                      <w:szCs w:val="21"/>
                    </w:rPr>
                    <w:t>t/a</w:t>
                  </w:r>
                </w:p>
              </w:tc>
            </w:tr>
            <w:tr w14:paraId="31250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Merge w:val="continue"/>
                  <w:vAlign w:val="center"/>
                </w:tcPr>
                <w:p w14:paraId="26943C20">
                  <w:pPr>
                    <w:pStyle w:val="2"/>
                    <w:jc w:val="center"/>
                    <w:rPr>
                      <w:rFonts w:ascii="Times New Roman" w:cs="Times New Roman"/>
                      <w:b/>
                      <w:color w:val="auto"/>
                      <w:sz w:val="21"/>
                      <w:szCs w:val="21"/>
                    </w:rPr>
                  </w:pPr>
                </w:p>
              </w:tc>
              <w:tc>
                <w:tcPr>
                  <w:tcW w:w="452" w:type="pct"/>
                  <w:vMerge w:val="continue"/>
                  <w:vAlign w:val="center"/>
                </w:tcPr>
                <w:p w14:paraId="3BC9C415">
                  <w:pPr>
                    <w:pStyle w:val="2"/>
                    <w:jc w:val="center"/>
                    <w:rPr>
                      <w:rFonts w:ascii="Times New Roman" w:cs="Times New Roman"/>
                      <w:b/>
                      <w:color w:val="auto"/>
                      <w:sz w:val="21"/>
                      <w:szCs w:val="21"/>
                    </w:rPr>
                  </w:pPr>
                </w:p>
              </w:tc>
              <w:tc>
                <w:tcPr>
                  <w:tcW w:w="562" w:type="pct"/>
                  <w:vMerge w:val="continue"/>
                  <w:vAlign w:val="center"/>
                </w:tcPr>
                <w:p w14:paraId="3A89AE0C">
                  <w:pPr>
                    <w:pStyle w:val="2"/>
                    <w:jc w:val="center"/>
                    <w:rPr>
                      <w:rFonts w:ascii="Times New Roman" w:cs="Times New Roman"/>
                      <w:b/>
                      <w:color w:val="auto"/>
                      <w:sz w:val="21"/>
                      <w:szCs w:val="21"/>
                    </w:rPr>
                  </w:pPr>
                </w:p>
              </w:tc>
              <w:tc>
                <w:tcPr>
                  <w:tcW w:w="518" w:type="pct"/>
                  <w:vMerge w:val="continue"/>
                  <w:vAlign w:val="center"/>
                </w:tcPr>
                <w:p w14:paraId="3D7878F8">
                  <w:pPr>
                    <w:pStyle w:val="2"/>
                    <w:jc w:val="center"/>
                    <w:rPr>
                      <w:rFonts w:ascii="Times New Roman" w:cs="Times New Roman"/>
                      <w:b/>
                      <w:color w:val="auto"/>
                      <w:sz w:val="21"/>
                      <w:szCs w:val="21"/>
                    </w:rPr>
                  </w:pPr>
                </w:p>
              </w:tc>
              <w:tc>
                <w:tcPr>
                  <w:tcW w:w="801" w:type="pct"/>
                  <w:vMerge w:val="continue"/>
                  <w:vAlign w:val="center"/>
                </w:tcPr>
                <w:p w14:paraId="3A39CDB9">
                  <w:pPr>
                    <w:pStyle w:val="2"/>
                    <w:jc w:val="center"/>
                    <w:rPr>
                      <w:rFonts w:ascii="Times New Roman" w:cs="Times New Roman"/>
                      <w:b/>
                      <w:color w:val="auto"/>
                      <w:sz w:val="21"/>
                      <w:szCs w:val="21"/>
                    </w:rPr>
                  </w:pPr>
                </w:p>
              </w:tc>
              <w:tc>
                <w:tcPr>
                  <w:tcW w:w="1256" w:type="pct"/>
                  <w:vAlign w:val="center"/>
                </w:tcPr>
                <w:p w14:paraId="534B97D7">
                  <w:pPr>
                    <w:pStyle w:val="2"/>
                    <w:jc w:val="center"/>
                    <w:rPr>
                      <w:rFonts w:ascii="Times New Roman" w:cs="Times New Roman"/>
                      <w:b/>
                      <w:color w:val="auto"/>
                      <w:sz w:val="21"/>
                      <w:szCs w:val="21"/>
                    </w:rPr>
                  </w:pPr>
                  <w:r>
                    <w:rPr>
                      <w:rFonts w:ascii="Times New Roman" w:cs="Times New Roman"/>
                      <w:b/>
                      <w:color w:val="auto"/>
                      <w:sz w:val="21"/>
                      <w:szCs w:val="21"/>
                    </w:rPr>
                    <w:t>标准名称</w:t>
                  </w:r>
                </w:p>
              </w:tc>
              <w:tc>
                <w:tcPr>
                  <w:tcW w:w="614" w:type="pct"/>
                  <w:vAlign w:val="center"/>
                </w:tcPr>
                <w:p w14:paraId="1A188624">
                  <w:pPr>
                    <w:pStyle w:val="2"/>
                    <w:jc w:val="center"/>
                    <w:rPr>
                      <w:rFonts w:ascii="Times New Roman" w:cs="Times New Roman"/>
                      <w:b/>
                      <w:color w:val="auto"/>
                      <w:sz w:val="21"/>
                      <w:szCs w:val="21"/>
                    </w:rPr>
                  </w:pPr>
                  <w:r>
                    <w:rPr>
                      <w:rFonts w:ascii="Times New Roman" w:cs="Times New Roman"/>
                      <w:b/>
                      <w:color w:val="auto"/>
                      <w:sz w:val="21"/>
                      <w:szCs w:val="21"/>
                    </w:rPr>
                    <w:t>浓度限值</w:t>
                  </w:r>
                  <w:r>
                    <w:rPr>
                      <w:rFonts w:hint="eastAsia" w:ascii="Times New Roman" w:cs="Times New Roman"/>
                      <w:b/>
                      <w:color w:val="auto"/>
                      <w:sz w:val="21"/>
                      <w:szCs w:val="21"/>
                    </w:rPr>
                    <w:t>mg/m</w:t>
                  </w:r>
                  <w:r>
                    <w:rPr>
                      <w:rFonts w:hint="eastAsia" w:ascii="Times New Roman" w:cs="Times New Roman"/>
                      <w:b/>
                      <w:color w:val="auto"/>
                      <w:sz w:val="21"/>
                      <w:szCs w:val="21"/>
                      <w:vertAlign w:val="superscript"/>
                    </w:rPr>
                    <w:t>3</w:t>
                  </w:r>
                </w:p>
              </w:tc>
              <w:tc>
                <w:tcPr>
                  <w:tcW w:w="486" w:type="pct"/>
                  <w:vMerge w:val="continue"/>
                  <w:vAlign w:val="center"/>
                </w:tcPr>
                <w:p w14:paraId="276AB50D">
                  <w:pPr>
                    <w:pStyle w:val="2"/>
                    <w:jc w:val="center"/>
                    <w:rPr>
                      <w:rFonts w:ascii="Times New Roman" w:cs="Times New Roman"/>
                      <w:b/>
                      <w:color w:val="auto"/>
                      <w:sz w:val="21"/>
                      <w:szCs w:val="21"/>
                    </w:rPr>
                  </w:pPr>
                </w:p>
              </w:tc>
            </w:tr>
            <w:tr w14:paraId="7F85C9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Align w:val="center"/>
                </w:tcPr>
                <w:p w14:paraId="0EFA1F55">
                  <w:pPr>
                    <w:pStyle w:val="2"/>
                    <w:jc w:val="center"/>
                    <w:rPr>
                      <w:rFonts w:ascii="Times New Roman" w:cs="Times New Roman"/>
                      <w:color w:val="auto"/>
                      <w:sz w:val="21"/>
                      <w:szCs w:val="21"/>
                    </w:rPr>
                  </w:pPr>
                  <w:r>
                    <w:rPr>
                      <w:rFonts w:hint="eastAsia" w:ascii="Times New Roman" w:cs="Times New Roman"/>
                      <w:color w:val="auto"/>
                      <w:sz w:val="21"/>
                      <w:szCs w:val="21"/>
                    </w:rPr>
                    <w:t>1</w:t>
                  </w:r>
                </w:p>
              </w:tc>
              <w:tc>
                <w:tcPr>
                  <w:tcW w:w="452" w:type="pct"/>
                  <w:vAlign w:val="center"/>
                </w:tcPr>
                <w:p w14:paraId="4605BD79">
                  <w:pPr>
                    <w:pStyle w:val="2"/>
                    <w:jc w:val="center"/>
                    <w:rPr>
                      <w:rFonts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0BB01BD7">
                  <w:pPr>
                    <w:pStyle w:val="2"/>
                    <w:jc w:val="center"/>
                    <w:rPr>
                      <w:rFonts w:ascii="Times New Roman" w:cs="Times New Roman"/>
                      <w:color w:val="auto"/>
                      <w:sz w:val="21"/>
                      <w:szCs w:val="21"/>
                    </w:rPr>
                  </w:pPr>
                  <w:r>
                    <w:rPr>
                      <w:rFonts w:hint="eastAsia" w:ascii="Times New Roman" w:cs="Times New Roman"/>
                      <w:color w:val="auto"/>
                      <w:sz w:val="21"/>
                      <w:szCs w:val="21"/>
                    </w:rPr>
                    <w:t>装卸及风力</w:t>
                  </w:r>
                </w:p>
              </w:tc>
              <w:tc>
                <w:tcPr>
                  <w:tcW w:w="518" w:type="pct"/>
                  <w:vAlign w:val="center"/>
                </w:tcPr>
                <w:p w14:paraId="1AEFBE9C">
                  <w:pPr>
                    <w:pStyle w:val="72"/>
                    <w:rPr>
                      <w:rFonts w:eastAsiaTheme="minorEastAsia"/>
                      <w:sz w:val="21"/>
                      <w:szCs w:val="21"/>
                    </w:rPr>
                  </w:pPr>
                  <w:r>
                    <w:rPr>
                      <w:rFonts w:eastAsiaTheme="minorEastAsia"/>
                      <w:sz w:val="21"/>
                      <w:szCs w:val="21"/>
                    </w:rPr>
                    <w:t>颗粒物</w:t>
                  </w:r>
                </w:p>
              </w:tc>
              <w:tc>
                <w:tcPr>
                  <w:tcW w:w="801" w:type="pct"/>
                  <w:vAlign w:val="center"/>
                </w:tcPr>
                <w:p w14:paraId="65E3C104">
                  <w:pPr>
                    <w:pStyle w:val="2"/>
                    <w:jc w:val="center"/>
                    <w:rPr>
                      <w:rFonts w:ascii="Times New Roman" w:cs="Times New Roman"/>
                      <w:color w:val="auto"/>
                      <w:sz w:val="21"/>
                      <w:szCs w:val="21"/>
                    </w:rPr>
                  </w:pPr>
                  <w:r>
                    <w:rPr>
                      <w:rFonts w:ascii="Times New Roman" w:cs="Times New Roman"/>
                      <w:color w:val="auto"/>
                      <w:sz w:val="21"/>
                      <w:szCs w:val="21"/>
                    </w:rPr>
                    <w:t>密闭</w:t>
                  </w:r>
                  <w:r>
                    <w:rPr>
                      <w:rFonts w:hint="eastAsia" w:ascii="Times New Roman" w:cs="Times New Roman"/>
                      <w:color w:val="auto"/>
                      <w:sz w:val="21"/>
                      <w:szCs w:val="21"/>
                    </w:rPr>
                    <w:t>厂房</w:t>
                  </w:r>
                  <w:r>
                    <w:rPr>
                      <w:rFonts w:ascii="Times New Roman" w:cs="Times New Roman"/>
                      <w:color w:val="auto"/>
                      <w:sz w:val="21"/>
                      <w:szCs w:val="21"/>
                    </w:rPr>
                    <w:t>+喷雾抑尘</w:t>
                  </w:r>
                </w:p>
              </w:tc>
              <w:tc>
                <w:tcPr>
                  <w:tcW w:w="1256" w:type="pct"/>
                  <w:vAlign w:val="center"/>
                </w:tcPr>
                <w:p w14:paraId="13A014AA">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15E02F6D">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64C8F527">
                  <w:pPr>
                    <w:pStyle w:val="72"/>
                    <w:rPr>
                      <w:rFonts w:eastAsiaTheme="minorEastAsia"/>
                      <w:bCs/>
                      <w:sz w:val="21"/>
                      <w:szCs w:val="21"/>
                    </w:rPr>
                  </w:pPr>
                  <w:r>
                    <w:rPr>
                      <w:rFonts w:hint="eastAsia" w:eastAsiaTheme="minorEastAsia"/>
                      <w:bCs/>
                      <w:sz w:val="21"/>
                      <w:szCs w:val="21"/>
                    </w:rPr>
                    <w:t>0.52</w:t>
                  </w:r>
                </w:p>
              </w:tc>
            </w:tr>
            <w:tr w14:paraId="73E7D7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310" w:type="pct"/>
                  <w:vAlign w:val="center"/>
                </w:tcPr>
                <w:p w14:paraId="44C645FC">
                  <w:pPr>
                    <w:pStyle w:val="2"/>
                    <w:jc w:val="center"/>
                    <w:rPr>
                      <w:rFonts w:ascii="Times New Roman" w:cs="Times New Roman"/>
                      <w:color w:val="auto"/>
                      <w:sz w:val="21"/>
                      <w:szCs w:val="21"/>
                    </w:rPr>
                  </w:pPr>
                  <w:r>
                    <w:rPr>
                      <w:rFonts w:hint="eastAsia" w:ascii="Times New Roman" w:cs="Times New Roman"/>
                      <w:color w:val="auto"/>
                      <w:sz w:val="21"/>
                      <w:szCs w:val="21"/>
                    </w:rPr>
                    <w:t>2</w:t>
                  </w:r>
                </w:p>
              </w:tc>
              <w:tc>
                <w:tcPr>
                  <w:tcW w:w="452" w:type="pct"/>
                  <w:vAlign w:val="center"/>
                </w:tcPr>
                <w:p w14:paraId="2FCD8BC9">
                  <w:pPr>
                    <w:pStyle w:val="2"/>
                    <w:jc w:val="center"/>
                    <w:rPr>
                      <w:rFonts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0656FC76">
                  <w:pPr>
                    <w:pStyle w:val="2"/>
                    <w:jc w:val="center"/>
                    <w:rPr>
                      <w:rFonts w:ascii="Times New Roman" w:cs="Times New Roman"/>
                      <w:color w:val="auto"/>
                      <w:sz w:val="21"/>
                      <w:szCs w:val="21"/>
                    </w:rPr>
                  </w:pPr>
                  <w:r>
                    <w:rPr>
                      <w:rFonts w:ascii="Times New Roman" w:cs="Times New Roman"/>
                      <w:color w:val="auto"/>
                      <w:sz w:val="21"/>
                      <w:szCs w:val="21"/>
                    </w:rPr>
                    <w:t>投料</w:t>
                  </w:r>
                </w:p>
              </w:tc>
              <w:tc>
                <w:tcPr>
                  <w:tcW w:w="518" w:type="pct"/>
                  <w:vAlign w:val="center"/>
                </w:tcPr>
                <w:p w14:paraId="76BFFEEC">
                  <w:pPr>
                    <w:pStyle w:val="72"/>
                    <w:rPr>
                      <w:rFonts w:eastAsiaTheme="minorEastAsia"/>
                      <w:sz w:val="21"/>
                      <w:szCs w:val="21"/>
                    </w:rPr>
                  </w:pPr>
                  <w:r>
                    <w:rPr>
                      <w:rFonts w:eastAsiaTheme="minorEastAsia"/>
                      <w:sz w:val="21"/>
                      <w:szCs w:val="21"/>
                    </w:rPr>
                    <w:t>颗粒物</w:t>
                  </w:r>
                </w:p>
              </w:tc>
              <w:tc>
                <w:tcPr>
                  <w:tcW w:w="801" w:type="pct"/>
                  <w:vAlign w:val="center"/>
                </w:tcPr>
                <w:p w14:paraId="656A57BD">
                  <w:pPr>
                    <w:pStyle w:val="2"/>
                    <w:jc w:val="center"/>
                    <w:rPr>
                      <w:rFonts w:ascii="Times New Roman" w:cs="Times New Roman"/>
                      <w:color w:val="auto"/>
                      <w:sz w:val="21"/>
                      <w:szCs w:val="21"/>
                    </w:rPr>
                  </w:pPr>
                  <w:r>
                    <w:rPr>
                      <w:rFonts w:hint="eastAsia" w:ascii="Times New Roman" w:cs="Times New Roman"/>
                      <w:color w:val="auto"/>
                      <w:sz w:val="21"/>
                      <w:szCs w:val="21"/>
                    </w:rPr>
                    <w:t>密闭厂房+三面围挡</w:t>
                  </w:r>
                </w:p>
              </w:tc>
              <w:tc>
                <w:tcPr>
                  <w:tcW w:w="1256" w:type="pct"/>
                  <w:vAlign w:val="center"/>
                </w:tcPr>
                <w:p w14:paraId="2A57464D">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5396C00E">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15CF4FAD">
                  <w:pPr>
                    <w:pStyle w:val="72"/>
                    <w:rPr>
                      <w:rFonts w:eastAsiaTheme="minorEastAsia"/>
                      <w:bCs/>
                      <w:sz w:val="21"/>
                      <w:szCs w:val="21"/>
                    </w:rPr>
                  </w:pPr>
                  <w:r>
                    <w:rPr>
                      <w:rFonts w:hint="eastAsia" w:eastAsiaTheme="minorEastAsia"/>
                      <w:bCs/>
                      <w:sz w:val="21"/>
                      <w:szCs w:val="21"/>
                    </w:rPr>
                    <w:t>0.40</w:t>
                  </w:r>
                </w:p>
              </w:tc>
            </w:tr>
            <w:tr w14:paraId="42DE5B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Align w:val="center"/>
                </w:tcPr>
                <w:p w14:paraId="1C0AE7CA">
                  <w:pPr>
                    <w:pStyle w:val="2"/>
                    <w:jc w:val="center"/>
                    <w:rPr>
                      <w:rFonts w:ascii="Times New Roman" w:cs="Times New Roman"/>
                      <w:color w:val="auto"/>
                      <w:sz w:val="21"/>
                      <w:szCs w:val="21"/>
                    </w:rPr>
                  </w:pPr>
                  <w:r>
                    <w:rPr>
                      <w:rFonts w:hint="eastAsia" w:ascii="Times New Roman" w:cs="Times New Roman"/>
                      <w:color w:val="auto"/>
                      <w:sz w:val="21"/>
                      <w:szCs w:val="21"/>
                    </w:rPr>
                    <w:t>3</w:t>
                  </w:r>
                </w:p>
              </w:tc>
              <w:tc>
                <w:tcPr>
                  <w:tcW w:w="452" w:type="pct"/>
                  <w:vAlign w:val="center"/>
                </w:tcPr>
                <w:p w14:paraId="2D6B38F5">
                  <w:pPr>
                    <w:pStyle w:val="2"/>
                    <w:jc w:val="center"/>
                    <w:rPr>
                      <w:rFonts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7B7F4B13">
                  <w:pPr>
                    <w:pStyle w:val="2"/>
                    <w:jc w:val="center"/>
                    <w:rPr>
                      <w:rFonts w:ascii="Times New Roman" w:cs="Times New Roman"/>
                      <w:color w:val="auto"/>
                      <w:sz w:val="21"/>
                      <w:szCs w:val="21"/>
                    </w:rPr>
                  </w:pPr>
                  <w:r>
                    <w:rPr>
                      <w:rFonts w:ascii="Times New Roman" w:cs="Times New Roman"/>
                      <w:color w:val="auto"/>
                      <w:sz w:val="21"/>
                      <w:szCs w:val="21"/>
                    </w:rPr>
                    <w:t>破碎</w:t>
                  </w:r>
                </w:p>
              </w:tc>
              <w:tc>
                <w:tcPr>
                  <w:tcW w:w="518" w:type="pct"/>
                  <w:vAlign w:val="center"/>
                </w:tcPr>
                <w:p w14:paraId="7E3F79A8">
                  <w:pPr>
                    <w:pStyle w:val="2"/>
                    <w:jc w:val="center"/>
                    <w:rPr>
                      <w:rFonts w:ascii="Times New Roman" w:cs="Times New Roman"/>
                      <w:color w:val="auto"/>
                      <w:sz w:val="21"/>
                      <w:szCs w:val="21"/>
                    </w:rPr>
                  </w:pPr>
                  <w:r>
                    <w:rPr>
                      <w:rFonts w:eastAsiaTheme="minorEastAsia"/>
                      <w:color w:val="auto"/>
                      <w:sz w:val="21"/>
                      <w:szCs w:val="21"/>
                    </w:rPr>
                    <w:t>颗粒物</w:t>
                  </w:r>
                </w:p>
              </w:tc>
              <w:tc>
                <w:tcPr>
                  <w:tcW w:w="801" w:type="pct"/>
                  <w:vAlign w:val="center"/>
                </w:tcPr>
                <w:p w14:paraId="300CF7A0">
                  <w:pPr>
                    <w:pStyle w:val="2"/>
                    <w:jc w:val="center"/>
                    <w:rPr>
                      <w:rFonts w:ascii="Times New Roman" w:cs="Times New Roman"/>
                      <w:color w:val="auto"/>
                      <w:sz w:val="21"/>
                      <w:szCs w:val="21"/>
                    </w:rPr>
                  </w:pPr>
                  <w:r>
                    <w:rPr>
                      <w:rFonts w:ascii="Times New Roman" w:cs="Times New Roman"/>
                      <w:color w:val="auto"/>
                      <w:sz w:val="21"/>
                      <w:szCs w:val="21"/>
                    </w:rPr>
                    <w:t>密闭</w:t>
                  </w:r>
                  <w:r>
                    <w:rPr>
                      <w:rFonts w:hint="eastAsia" w:ascii="Times New Roman" w:cs="Times New Roman"/>
                      <w:color w:val="auto"/>
                      <w:sz w:val="21"/>
                      <w:szCs w:val="21"/>
                    </w:rPr>
                    <w:t>厂房</w:t>
                  </w:r>
                  <w:r>
                    <w:rPr>
                      <w:rFonts w:ascii="Times New Roman" w:cs="Times New Roman"/>
                      <w:color w:val="auto"/>
                      <w:sz w:val="21"/>
                      <w:szCs w:val="21"/>
                    </w:rPr>
                    <w:t>、集气罩</w:t>
                  </w:r>
                  <w:r>
                    <w:rPr>
                      <w:rFonts w:hint="eastAsia" w:ascii="Times New Roman" w:cs="Times New Roman"/>
                      <w:color w:val="auto"/>
                      <w:sz w:val="21"/>
                      <w:szCs w:val="21"/>
                    </w:rPr>
                    <w:t>+布袋除尘</w:t>
                  </w:r>
                </w:p>
              </w:tc>
              <w:tc>
                <w:tcPr>
                  <w:tcW w:w="1256" w:type="pct"/>
                  <w:vAlign w:val="center"/>
                </w:tcPr>
                <w:p w14:paraId="4D67F9FE">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52A294F2">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7670F612">
                  <w:pPr>
                    <w:pStyle w:val="2"/>
                    <w:jc w:val="center"/>
                    <w:rPr>
                      <w:rFonts w:ascii="Times New Roman" w:cs="Times New Roman"/>
                      <w:color w:val="auto"/>
                      <w:sz w:val="21"/>
                      <w:szCs w:val="21"/>
                    </w:rPr>
                  </w:pPr>
                  <w:r>
                    <w:rPr>
                      <w:rFonts w:hint="eastAsia" w:ascii="Times New Roman" w:cs="Times New Roman"/>
                      <w:color w:val="auto"/>
                      <w:sz w:val="21"/>
                      <w:szCs w:val="21"/>
                    </w:rPr>
                    <w:t>0.098</w:t>
                  </w:r>
                </w:p>
              </w:tc>
            </w:tr>
            <w:tr w14:paraId="0F31B3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Align w:val="center"/>
                </w:tcPr>
                <w:p w14:paraId="63038A0D">
                  <w:pPr>
                    <w:pStyle w:val="2"/>
                    <w:jc w:val="center"/>
                    <w:rPr>
                      <w:rFonts w:ascii="Times New Roman" w:cs="Times New Roman"/>
                      <w:color w:val="auto"/>
                      <w:sz w:val="21"/>
                      <w:szCs w:val="21"/>
                    </w:rPr>
                  </w:pPr>
                  <w:r>
                    <w:rPr>
                      <w:rFonts w:hint="eastAsia" w:ascii="Times New Roman" w:cs="Times New Roman"/>
                      <w:color w:val="auto"/>
                      <w:sz w:val="21"/>
                      <w:szCs w:val="21"/>
                    </w:rPr>
                    <w:t>4</w:t>
                  </w:r>
                </w:p>
              </w:tc>
              <w:tc>
                <w:tcPr>
                  <w:tcW w:w="452" w:type="pct"/>
                  <w:vAlign w:val="center"/>
                </w:tcPr>
                <w:p w14:paraId="2DA178AD">
                  <w:pPr>
                    <w:pStyle w:val="2"/>
                    <w:jc w:val="center"/>
                    <w:rPr>
                      <w:rFonts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31B0C7B2">
                  <w:pPr>
                    <w:pStyle w:val="2"/>
                    <w:jc w:val="center"/>
                    <w:rPr>
                      <w:rFonts w:ascii="Times New Roman" w:cs="Times New Roman"/>
                      <w:color w:val="auto"/>
                      <w:sz w:val="21"/>
                      <w:szCs w:val="21"/>
                    </w:rPr>
                  </w:pPr>
                  <w:r>
                    <w:rPr>
                      <w:rFonts w:hint="eastAsia" w:ascii="Times New Roman" w:cs="Times New Roman"/>
                      <w:color w:val="auto"/>
                      <w:sz w:val="21"/>
                      <w:szCs w:val="21"/>
                    </w:rPr>
                    <w:t>储存筒仓粉尘</w:t>
                  </w:r>
                </w:p>
              </w:tc>
              <w:tc>
                <w:tcPr>
                  <w:tcW w:w="518" w:type="pct"/>
                  <w:vAlign w:val="center"/>
                </w:tcPr>
                <w:p w14:paraId="190ED199">
                  <w:pPr>
                    <w:pStyle w:val="2"/>
                    <w:jc w:val="center"/>
                    <w:rPr>
                      <w:rFonts w:eastAsiaTheme="minorEastAsia"/>
                      <w:color w:val="auto"/>
                      <w:sz w:val="21"/>
                      <w:szCs w:val="21"/>
                    </w:rPr>
                  </w:pPr>
                  <w:r>
                    <w:rPr>
                      <w:rFonts w:eastAsiaTheme="minorEastAsia"/>
                      <w:sz w:val="21"/>
                      <w:szCs w:val="21"/>
                    </w:rPr>
                    <w:t>颗粒物</w:t>
                  </w:r>
                </w:p>
              </w:tc>
              <w:tc>
                <w:tcPr>
                  <w:tcW w:w="801" w:type="pct"/>
                  <w:vAlign w:val="center"/>
                </w:tcPr>
                <w:p w14:paraId="57A87504">
                  <w:pPr>
                    <w:pStyle w:val="2"/>
                    <w:jc w:val="center"/>
                    <w:rPr>
                      <w:rFonts w:ascii="Times New Roman" w:cs="Times New Roman"/>
                      <w:color w:val="auto"/>
                      <w:sz w:val="21"/>
                      <w:szCs w:val="21"/>
                    </w:rPr>
                  </w:pPr>
                  <w:r>
                    <w:rPr>
                      <w:rFonts w:ascii="Times New Roman" w:cs="Times New Roman"/>
                      <w:color w:val="auto"/>
                      <w:sz w:val="21"/>
                      <w:szCs w:val="21"/>
                    </w:rPr>
                    <w:t>密闭</w:t>
                  </w:r>
                  <w:r>
                    <w:rPr>
                      <w:rFonts w:hint="eastAsia" w:ascii="Times New Roman" w:cs="Times New Roman"/>
                      <w:color w:val="auto"/>
                      <w:sz w:val="21"/>
                      <w:szCs w:val="21"/>
                    </w:rPr>
                    <w:t>厂房</w:t>
                  </w:r>
                  <w:r>
                    <w:rPr>
                      <w:rFonts w:ascii="Times New Roman" w:cs="Times New Roman"/>
                      <w:color w:val="auto"/>
                      <w:sz w:val="21"/>
                      <w:szCs w:val="21"/>
                    </w:rPr>
                    <w:t>、</w:t>
                  </w:r>
                  <w:r>
                    <w:rPr>
                      <w:rFonts w:hint="eastAsia" w:ascii="Times New Roman" w:cs="Times New Roman"/>
                      <w:color w:val="auto"/>
                      <w:sz w:val="21"/>
                      <w:szCs w:val="21"/>
                    </w:rPr>
                    <w:t>仓顶除尘器</w:t>
                  </w:r>
                </w:p>
              </w:tc>
              <w:tc>
                <w:tcPr>
                  <w:tcW w:w="1256" w:type="pct"/>
                  <w:vAlign w:val="center"/>
                </w:tcPr>
                <w:p w14:paraId="50EF9117">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020F9F53">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55407DA4">
                  <w:pPr>
                    <w:pStyle w:val="2"/>
                    <w:jc w:val="center"/>
                    <w:rPr>
                      <w:rFonts w:ascii="Times New Roman" w:cs="Times New Roman"/>
                      <w:color w:val="auto"/>
                      <w:sz w:val="21"/>
                      <w:szCs w:val="21"/>
                    </w:rPr>
                  </w:pPr>
                  <w:r>
                    <w:rPr>
                      <w:rFonts w:hint="eastAsia" w:ascii="Times New Roman" w:cs="Times New Roman"/>
                      <w:color w:val="auto"/>
                      <w:sz w:val="21"/>
                      <w:szCs w:val="21"/>
                    </w:rPr>
                    <w:t>0.015</w:t>
                  </w:r>
                </w:p>
              </w:tc>
            </w:tr>
            <w:tr w14:paraId="01A0EC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10" w:type="pct"/>
                  <w:vAlign w:val="center"/>
                </w:tcPr>
                <w:p w14:paraId="175FFFAA">
                  <w:pPr>
                    <w:pStyle w:val="2"/>
                    <w:jc w:val="center"/>
                    <w:rPr>
                      <w:rFonts w:hint="eastAsia" w:ascii="Times New Roman" w:cs="Times New Roman"/>
                      <w:color w:val="auto"/>
                      <w:sz w:val="21"/>
                      <w:szCs w:val="21"/>
                    </w:rPr>
                  </w:pPr>
                  <w:r>
                    <w:rPr>
                      <w:rFonts w:hint="eastAsia" w:ascii="Times New Roman" w:cs="Times New Roman"/>
                      <w:color w:val="auto"/>
                      <w:sz w:val="21"/>
                      <w:szCs w:val="21"/>
                    </w:rPr>
                    <w:t>5</w:t>
                  </w:r>
                </w:p>
              </w:tc>
              <w:tc>
                <w:tcPr>
                  <w:tcW w:w="452" w:type="pct"/>
                  <w:vAlign w:val="center"/>
                </w:tcPr>
                <w:p w14:paraId="07DC0697">
                  <w:pPr>
                    <w:pStyle w:val="2"/>
                    <w:jc w:val="center"/>
                    <w:rPr>
                      <w:rFonts w:hint="eastAsia"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716B66C8">
                  <w:pPr>
                    <w:pStyle w:val="2"/>
                    <w:jc w:val="center"/>
                    <w:rPr>
                      <w:rFonts w:hint="eastAsia" w:ascii="Times New Roman" w:cs="Times New Roman"/>
                      <w:color w:val="auto"/>
                      <w:sz w:val="21"/>
                      <w:szCs w:val="21"/>
                    </w:rPr>
                  </w:pPr>
                  <w:r>
                    <w:rPr>
                      <w:rFonts w:hint="eastAsia" w:ascii="Times New Roman" w:cs="Times New Roman"/>
                      <w:color w:val="auto"/>
                      <w:sz w:val="21"/>
                      <w:szCs w:val="21"/>
                    </w:rPr>
                    <w:t>包装</w:t>
                  </w:r>
                </w:p>
              </w:tc>
              <w:tc>
                <w:tcPr>
                  <w:tcW w:w="518" w:type="pct"/>
                  <w:vAlign w:val="center"/>
                </w:tcPr>
                <w:p w14:paraId="2B16C241">
                  <w:pPr>
                    <w:pStyle w:val="2"/>
                    <w:jc w:val="center"/>
                    <w:rPr>
                      <w:rFonts w:eastAsiaTheme="minorEastAsia"/>
                      <w:sz w:val="21"/>
                      <w:szCs w:val="21"/>
                    </w:rPr>
                  </w:pPr>
                  <w:r>
                    <w:rPr>
                      <w:rFonts w:eastAsiaTheme="minorEastAsia"/>
                      <w:sz w:val="21"/>
                      <w:szCs w:val="21"/>
                    </w:rPr>
                    <w:t>颗粒物</w:t>
                  </w:r>
                </w:p>
              </w:tc>
              <w:tc>
                <w:tcPr>
                  <w:tcW w:w="801" w:type="pct"/>
                  <w:vAlign w:val="center"/>
                </w:tcPr>
                <w:p w14:paraId="66D4B0FA">
                  <w:pPr>
                    <w:pStyle w:val="2"/>
                    <w:jc w:val="center"/>
                    <w:rPr>
                      <w:rFonts w:ascii="Times New Roman" w:cs="Times New Roman"/>
                      <w:color w:val="auto"/>
                      <w:sz w:val="21"/>
                      <w:szCs w:val="21"/>
                    </w:rPr>
                  </w:pPr>
                  <w:r>
                    <w:rPr>
                      <w:rFonts w:ascii="Times New Roman" w:cs="Times New Roman"/>
                      <w:color w:val="auto"/>
                      <w:sz w:val="21"/>
                      <w:szCs w:val="21"/>
                    </w:rPr>
                    <w:t>密闭</w:t>
                  </w:r>
                  <w:r>
                    <w:rPr>
                      <w:rFonts w:hint="eastAsia" w:ascii="Times New Roman" w:cs="Times New Roman"/>
                      <w:color w:val="auto"/>
                      <w:sz w:val="21"/>
                      <w:szCs w:val="21"/>
                    </w:rPr>
                    <w:t>厂房</w:t>
                  </w:r>
                  <w:r>
                    <w:rPr>
                      <w:rFonts w:ascii="Times New Roman" w:cs="Times New Roman"/>
                      <w:color w:val="auto"/>
                      <w:sz w:val="21"/>
                      <w:szCs w:val="21"/>
                    </w:rPr>
                    <w:t>、加强通风</w:t>
                  </w:r>
                </w:p>
              </w:tc>
              <w:tc>
                <w:tcPr>
                  <w:tcW w:w="1256" w:type="pct"/>
                  <w:vAlign w:val="center"/>
                </w:tcPr>
                <w:p w14:paraId="01583280">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613E0C61">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2C29F7BA">
                  <w:pPr>
                    <w:pStyle w:val="2"/>
                    <w:jc w:val="center"/>
                    <w:rPr>
                      <w:rFonts w:hint="eastAsia" w:ascii="Times New Roman" w:cs="Times New Roman"/>
                      <w:color w:val="auto"/>
                      <w:sz w:val="21"/>
                      <w:szCs w:val="21"/>
                    </w:rPr>
                  </w:pPr>
                  <w:r>
                    <w:rPr>
                      <w:rFonts w:hint="eastAsia" w:ascii="Times New Roman" w:cs="Times New Roman"/>
                      <w:color w:val="auto"/>
                      <w:sz w:val="21"/>
                      <w:szCs w:val="21"/>
                    </w:rPr>
                    <w:t>0.20</w:t>
                  </w:r>
                </w:p>
              </w:tc>
            </w:tr>
            <w:tr w14:paraId="06DCF7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310" w:type="pct"/>
                  <w:vAlign w:val="center"/>
                </w:tcPr>
                <w:p w14:paraId="0CBFB320">
                  <w:pPr>
                    <w:pStyle w:val="2"/>
                    <w:jc w:val="center"/>
                    <w:rPr>
                      <w:rFonts w:ascii="Times New Roman" w:cs="Times New Roman"/>
                      <w:color w:val="auto"/>
                      <w:sz w:val="21"/>
                      <w:szCs w:val="21"/>
                    </w:rPr>
                  </w:pPr>
                  <w:r>
                    <w:rPr>
                      <w:rFonts w:hint="eastAsia" w:ascii="Times New Roman" w:cs="Times New Roman"/>
                      <w:color w:val="auto"/>
                      <w:sz w:val="21"/>
                      <w:szCs w:val="21"/>
                    </w:rPr>
                    <w:t>6</w:t>
                  </w:r>
                </w:p>
              </w:tc>
              <w:tc>
                <w:tcPr>
                  <w:tcW w:w="452" w:type="pct"/>
                  <w:vAlign w:val="center"/>
                </w:tcPr>
                <w:p w14:paraId="331FB6D3">
                  <w:pPr>
                    <w:pStyle w:val="2"/>
                    <w:jc w:val="center"/>
                    <w:rPr>
                      <w:rFonts w:ascii="Times New Roman" w:cs="Times New Roman"/>
                      <w:color w:val="auto"/>
                      <w:sz w:val="21"/>
                      <w:szCs w:val="21"/>
                    </w:rPr>
                  </w:pPr>
                  <w:r>
                    <w:rPr>
                      <w:rFonts w:hint="eastAsia" w:ascii="Times New Roman" w:cs="Times New Roman"/>
                      <w:color w:val="auto"/>
                      <w:sz w:val="21"/>
                      <w:szCs w:val="21"/>
                    </w:rPr>
                    <w:t>/</w:t>
                  </w:r>
                </w:p>
              </w:tc>
              <w:tc>
                <w:tcPr>
                  <w:tcW w:w="562" w:type="pct"/>
                  <w:vAlign w:val="center"/>
                </w:tcPr>
                <w:p w14:paraId="79834108">
                  <w:pPr>
                    <w:pStyle w:val="2"/>
                    <w:jc w:val="center"/>
                    <w:rPr>
                      <w:rFonts w:ascii="Times New Roman" w:cs="Times New Roman"/>
                      <w:color w:val="auto"/>
                      <w:sz w:val="21"/>
                      <w:szCs w:val="21"/>
                    </w:rPr>
                  </w:pPr>
                  <w:r>
                    <w:rPr>
                      <w:rFonts w:hint="eastAsia" w:ascii="Times New Roman" w:cs="Times New Roman"/>
                      <w:color w:val="auto"/>
                      <w:sz w:val="21"/>
                      <w:szCs w:val="21"/>
                    </w:rPr>
                    <w:t>运输</w:t>
                  </w:r>
                </w:p>
              </w:tc>
              <w:tc>
                <w:tcPr>
                  <w:tcW w:w="518" w:type="pct"/>
                  <w:vAlign w:val="center"/>
                </w:tcPr>
                <w:p w14:paraId="713DA670">
                  <w:pPr>
                    <w:pStyle w:val="2"/>
                    <w:jc w:val="center"/>
                    <w:rPr>
                      <w:rFonts w:ascii="Times New Roman" w:cs="Times New Roman"/>
                      <w:color w:val="auto"/>
                      <w:sz w:val="21"/>
                      <w:szCs w:val="21"/>
                    </w:rPr>
                  </w:pPr>
                  <w:r>
                    <w:rPr>
                      <w:rFonts w:ascii="Times New Roman" w:cs="Times New Roman"/>
                      <w:color w:val="auto"/>
                      <w:sz w:val="21"/>
                      <w:szCs w:val="21"/>
                    </w:rPr>
                    <w:t>颗粒物</w:t>
                  </w:r>
                </w:p>
              </w:tc>
              <w:tc>
                <w:tcPr>
                  <w:tcW w:w="801" w:type="pct"/>
                  <w:vAlign w:val="center"/>
                </w:tcPr>
                <w:p w14:paraId="0D821C05">
                  <w:pPr>
                    <w:pStyle w:val="2"/>
                    <w:jc w:val="center"/>
                    <w:rPr>
                      <w:rFonts w:ascii="Times New Roman" w:cs="Times New Roman"/>
                      <w:color w:val="auto"/>
                      <w:sz w:val="21"/>
                      <w:szCs w:val="21"/>
                    </w:rPr>
                  </w:pPr>
                  <w:r>
                    <w:rPr>
                      <w:rFonts w:hint="eastAsia" w:ascii="Times New Roman" w:cs="Times New Roman"/>
                      <w:color w:val="auto"/>
                      <w:sz w:val="21"/>
                      <w:szCs w:val="21"/>
                    </w:rPr>
                    <w:t>地面硬化+定期清扫+洒水降尘等</w:t>
                  </w:r>
                </w:p>
              </w:tc>
              <w:tc>
                <w:tcPr>
                  <w:tcW w:w="1256" w:type="pct"/>
                  <w:vAlign w:val="center"/>
                </w:tcPr>
                <w:p w14:paraId="0A108D86">
                  <w:pPr>
                    <w:pStyle w:val="2"/>
                    <w:jc w:val="center"/>
                    <w:rPr>
                      <w:rFonts w:ascii="Times New Roman" w:cs="Times New Roman"/>
                      <w:color w:val="auto"/>
                      <w:sz w:val="21"/>
                      <w:szCs w:val="21"/>
                    </w:rPr>
                  </w:pPr>
                  <w:r>
                    <w:rPr>
                      <w:rFonts w:hint="eastAsia" w:ascii="Times New Roman" w:cs="Times New Roman"/>
                      <w:color w:val="auto"/>
                      <w:sz w:val="21"/>
                      <w:szCs w:val="21"/>
                    </w:rPr>
                    <w:t>《大气污染物综合排放标准》（GB16297-1996）</w:t>
                  </w:r>
                </w:p>
              </w:tc>
              <w:tc>
                <w:tcPr>
                  <w:tcW w:w="614" w:type="pct"/>
                  <w:vAlign w:val="center"/>
                </w:tcPr>
                <w:p w14:paraId="2D081E39">
                  <w:pPr>
                    <w:pStyle w:val="2"/>
                    <w:jc w:val="center"/>
                    <w:rPr>
                      <w:rFonts w:ascii="Times New Roman" w:cs="Times New Roman"/>
                      <w:color w:val="auto"/>
                      <w:sz w:val="21"/>
                      <w:szCs w:val="21"/>
                    </w:rPr>
                  </w:pPr>
                  <w:r>
                    <w:rPr>
                      <w:rFonts w:hint="eastAsia" w:ascii="Times New Roman" w:cs="Times New Roman"/>
                      <w:color w:val="auto"/>
                      <w:sz w:val="21"/>
                      <w:szCs w:val="21"/>
                    </w:rPr>
                    <w:t>1.0</w:t>
                  </w:r>
                </w:p>
              </w:tc>
              <w:tc>
                <w:tcPr>
                  <w:tcW w:w="486" w:type="pct"/>
                  <w:vAlign w:val="center"/>
                </w:tcPr>
                <w:p w14:paraId="5FCD6472">
                  <w:pPr>
                    <w:pStyle w:val="2"/>
                    <w:jc w:val="center"/>
                    <w:rPr>
                      <w:rFonts w:ascii="Times New Roman" w:cs="Times New Roman"/>
                      <w:color w:val="auto"/>
                      <w:sz w:val="21"/>
                      <w:szCs w:val="21"/>
                    </w:rPr>
                  </w:pPr>
                  <w:r>
                    <w:rPr>
                      <w:rFonts w:hint="eastAsia" w:ascii="Times New Roman" w:cs="Times New Roman"/>
                      <w:color w:val="auto"/>
                      <w:sz w:val="21"/>
                      <w:szCs w:val="21"/>
                    </w:rPr>
                    <w:t>0.003</w:t>
                  </w:r>
                </w:p>
              </w:tc>
            </w:tr>
            <w:tr w14:paraId="42C6F9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8"/>
                  <w:vAlign w:val="center"/>
                </w:tcPr>
                <w:p w14:paraId="4306F8D3">
                  <w:pPr>
                    <w:pStyle w:val="72"/>
                    <w:rPr>
                      <w:rFonts w:eastAsiaTheme="minorEastAsia"/>
                      <w:sz w:val="21"/>
                      <w:szCs w:val="21"/>
                    </w:rPr>
                  </w:pPr>
                  <w:r>
                    <w:rPr>
                      <w:rFonts w:hint="eastAsia" w:eastAsiaTheme="minorEastAsia"/>
                      <w:sz w:val="21"/>
                      <w:szCs w:val="21"/>
                    </w:rPr>
                    <w:t>无组织排放总计</w:t>
                  </w:r>
                </w:p>
              </w:tc>
            </w:tr>
            <w:tr w14:paraId="1F503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3" w:type="pct"/>
                  <w:gridSpan w:val="4"/>
                  <w:vAlign w:val="center"/>
                </w:tcPr>
                <w:p w14:paraId="701A9F54">
                  <w:pPr>
                    <w:pStyle w:val="2"/>
                    <w:jc w:val="center"/>
                    <w:rPr>
                      <w:rFonts w:eastAsiaTheme="minorEastAsia"/>
                      <w:color w:val="auto"/>
                      <w:sz w:val="21"/>
                      <w:szCs w:val="21"/>
                    </w:rPr>
                  </w:pPr>
                  <w:r>
                    <w:rPr>
                      <w:rFonts w:hint="eastAsia" w:eastAsiaTheme="minorEastAsia"/>
                      <w:color w:val="auto"/>
                      <w:sz w:val="21"/>
                      <w:szCs w:val="21"/>
                    </w:rPr>
                    <w:t>无组织排放总计</w:t>
                  </w:r>
                </w:p>
              </w:tc>
              <w:tc>
                <w:tcPr>
                  <w:tcW w:w="2671" w:type="pct"/>
                  <w:gridSpan w:val="3"/>
                  <w:vAlign w:val="center"/>
                </w:tcPr>
                <w:p w14:paraId="5FDD63F1">
                  <w:pPr>
                    <w:pStyle w:val="2"/>
                    <w:jc w:val="center"/>
                    <w:rPr>
                      <w:rFonts w:ascii="Times New Roman" w:cs="Times New Roman"/>
                      <w:color w:val="auto"/>
                      <w:sz w:val="21"/>
                      <w:szCs w:val="21"/>
                    </w:rPr>
                  </w:pPr>
                  <w:r>
                    <w:rPr>
                      <w:rFonts w:eastAsiaTheme="minorEastAsia"/>
                      <w:color w:val="auto"/>
                      <w:sz w:val="21"/>
                      <w:szCs w:val="21"/>
                    </w:rPr>
                    <w:t>颗粒物</w:t>
                  </w:r>
                </w:p>
              </w:tc>
              <w:tc>
                <w:tcPr>
                  <w:tcW w:w="486" w:type="pct"/>
                  <w:vAlign w:val="center"/>
                </w:tcPr>
                <w:p w14:paraId="01526F11">
                  <w:pPr>
                    <w:pStyle w:val="72"/>
                    <w:rPr>
                      <w:rFonts w:eastAsiaTheme="minorEastAsia"/>
                      <w:sz w:val="21"/>
                      <w:szCs w:val="21"/>
                    </w:rPr>
                  </w:pPr>
                  <w:r>
                    <w:rPr>
                      <w:rFonts w:hint="eastAsia" w:eastAsiaTheme="minorEastAsia"/>
                      <w:sz w:val="21"/>
                      <w:szCs w:val="21"/>
                    </w:rPr>
                    <w:t>1.236</w:t>
                  </w:r>
                </w:p>
              </w:tc>
            </w:tr>
          </w:tbl>
          <w:p w14:paraId="1F95077F">
            <w:pPr>
              <w:pStyle w:val="2"/>
              <w:spacing w:line="360" w:lineRule="auto"/>
              <w:ind w:firstLine="480" w:firstLineChars="200"/>
              <w:jc w:val="both"/>
              <w:rPr>
                <w:rFonts w:ascii="Times New Roman" w:cs="Times New Roman" w:eastAsiaTheme="minorEastAsia"/>
                <w:color w:val="auto"/>
              </w:rPr>
            </w:pPr>
            <w:r>
              <w:rPr>
                <w:rFonts w:hint="eastAsia" w:ascii="Times New Roman" w:cs="Times New Roman" w:eastAsiaTheme="minorEastAsia"/>
                <w:color w:val="auto"/>
              </w:rPr>
              <w:t>项目大气污染物年排放量核算表见下表。</w:t>
            </w:r>
          </w:p>
          <w:p w14:paraId="6C00A9EC">
            <w:pPr>
              <w:spacing w:before="120" w:beforeLines="50"/>
              <w:jc w:val="center"/>
              <w:rPr>
                <w:b/>
                <w:szCs w:val="21"/>
              </w:rPr>
            </w:pPr>
            <w:r>
              <w:rPr>
                <w:rFonts w:hint="eastAsia"/>
                <w:b/>
                <w:szCs w:val="21"/>
              </w:rPr>
              <w:t>表4-3  大气污染物年排放量核算表</w:t>
            </w:r>
          </w:p>
          <w:tbl>
            <w:tblPr>
              <w:tblStyle w:val="35"/>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877"/>
              <w:gridCol w:w="1877"/>
              <w:gridCol w:w="1889"/>
              <w:gridCol w:w="1889"/>
              <w:gridCol w:w="1889"/>
            </w:tblGrid>
            <w:tr w14:paraId="25950F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77" w:type="dxa"/>
                  <w:vAlign w:val="center"/>
                </w:tcPr>
                <w:p w14:paraId="1922D275">
                  <w:pPr>
                    <w:pStyle w:val="2"/>
                    <w:jc w:val="center"/>
                    <w:rPr>
                      <w:rFonts w:ascii="Times New Roman" w:cs="Times New Roman" w:eastAsiaTheme="minorEastAsia"/>
                      <w:b/>
                      <w:color w:val="auto"/>
                      <w:sz w:val="21"/>
                      <w:szCs w:val="21"/>
                    </w:rPr>
                  </w:pPr>
                  <w:r>
                    <w:rPr>
                      <w:rFonts w:ascii="Times New Roman" w:cs="Times New Roman" w:eastAsiaTheme="minorEastAsia"/>
                      <w:b/>
                      <w:color w:val="auto"/>
                      <w:sz w:val="21"/>
                      <w:szCs w:val="21"/>
                    </w:rPr>
                    <w:t>序号</w:t>
                  </w:r>
                </w:p>
              </w:tc>
              <w:tc>
                <w:tcPr>
                  <w:tcW w:w="1877" w:type="dxa"/>
                  <w:vAlign w:val="center"/>
                </w:tcPr>
                <w:p w14:paraId="49A12446">
                  <w:pPr>
                    <w:pStyle w:val="2"/>
                    <w:jc w:val="center"/>
                    <w:rPr>
                      <w:rFonts w:ascii="Times New Roman" w:cs="Times New Roman" w:eastAsiaTheme="minorEastAsia"/>
                      <w:b/>
                      <w:color w:val="auto"/>
                      <w:sz w:val="21"/>
                      <w:szCs w:val="21"/>
                    </w:rPr>
                  </w:pPr>
                  <w:r>
                    <w:rPr>
                      <w:rFonts w:ascii="Times New Roman" w:cs="Times New Roman" w:eastAsiaTheme="minorEastAsia"/>
                      <w:b/>
                      <w:color w:val="auto"/>
                      <w:sz w:val="21"/>
                      <w:szCs w:val="21"/>
                    </w:rPr>
                    <w:t>污染物</w:t>
                  </w:r>
                </w:p>
              </w:tc>
              <w:tc>
                <w:tcPr>
                  <w:tcW w:w="1889" w:type="dxa"/>
                  <w:vAlign w:val="center"/>
                </w:tcPr>
                <w:p w14:paraId="336F1203">
                  <w:pPr>
                    <w:pStyle w:val="2"/>
                    <w:jc w:val="center"/>
                    <w:rPr>
                      <w:rFonts w:ascii="Times New Roman" w:cs="Times New Roman" w:eastAsiaTheme="minorEastAsia"/>
                      <w:b/>
                      <w:color w:val="auto"/>
                      <w:sz w:val="21"/>
                      <w:szCs w:val="21"/>
                    </w:rPr>
                  </w:pPr>
                  <w:r>
                    <w:rPr>
                      <w:rFonts w:ascii="Times New Roman" w:cs="Times New Roman" w:eastAsiaTheme="minorEastAsia"/>
                      <w:b/>
                      <w:color w:val="auto"/>
                      <w:sz w:val="21"/>
                      <w:szCs w:val="21"/>
                    </w:rPr>
                    <w:t>有组织年排放量（</w:t>
                  </w:r>
                  <w:r>
                    <w:rPr>
                      <w:rFonts w:hint="eastAsia" w:ascii="Times New Roman" w:cs="Times New Roman" w:eastAsiaTheme="minorEastAsia"/>
                      <w:b/>
                      <w:color w:val="auto"/>
                      <w:sz w:val="21"/>
                      <w:szCs w:val="21"/>
                    </w:rPr>
                    <w:t>t/a</w:t>
                  </w:r>
                  <w:r>
                    <w:rPr>
                      <w:rFonts w:ascii="Times New Roman" w:cs="Times New Roman" w:eastAsiaTheme="minorEastAsia"/>
                      <w:b/>
                      <w:color w:val="auto"/>
                      <w:sz w:val="21"/>
                      <w:szCs w:val="21"/>
                    </w:rPr>
                    <w:t>）</w:t>
                  </w:r>
                </w:p>
              </w:tc>
              <w:tc>
                <w:tcPr>
                  <w:tcW w:w="1889" w:type="dxa"/>
                  <w:vAlign w:val="center"/>
                </w:tcPr>
                <w:p w14:paraId="333AC205">
                  <w:pPr>
                    <w:pStyle w:val="2"/>
                    <w:jc w:val="center"/>
                    <w:rPr>
                      <w:rFonts w:ascii="Times New Roman" w:cs="Times New Roman" w:eastAsiaTheme="minorEastAsia"/>
                      <w:b/>
                      <w:color w:val="auto"/>
                      <w:sz w:val="21"/>
                      <w:szCs w:val="21"/>
                    </w:rPr>
                  </w:pPr>
                  <w:r>
                    <w:rPr>
                      <w:rFonts w:ascii="Times New Roman" w:cs="Times New Roman" w:eastAsiaTheme="minorEastAsia"/>
                      <w:b/>
                      <w:color w:val="auto"/>
                      <w:sz w:val="21"/>
                      <w:szCs w:val="21"/>
                    </w:rPr>
                    <w:t>无组织年排放量（</w:t>
                  </w:r>
                  <w:r>
                    <w:rPr>
                      <w:rFonts w:hint="eastAsia" w:ascii="Times New Roman" w:cs="Times New Roman" w:eastAsiaTheme="minorEastAsia"/>
                      <w:b/>
                      <w:color w:val="auto"/>
                      <w:sz w:val="21"/>
                      <w:szCs w:val="21"/>
                    </w:rPr>
                    <w:t>t/a</w:t>
                  </w:r>
                  <w:r>
                    <w:rPr>
                      <w:rFonts w:ascii="Times New Roman" w:cs="Times New Roman" w:eastAsiaTheme="minorEastAsia"/>
                      <w:b/>
                      <w:color w:val="auto"/>
                      <w:sz w:val="21"/>
                      <w:szCs w:val="21"/>
                    </w:rPr>
                    <w:t>）</w:t>
                  </w:r>
                </w:p>
              </w:tc>
              <w:tc>
                <w:tcPr>
                  <w:tcW w:w="1889" w:type="dxa"/>
                  <w:vAlign w:val="center"/>
                </w:tcPr>
                <w:p w14:paraId="3AC705CA">
                  <w:pPr>
                    <w:pStyle w:val="2"/>
                    <w:jc w:val="center"/>
                    <w:rPr>
                      <w:rFonts w:ascii="Times New Roman" w:cs="Times New Roman" w:eastAsiaTheme="minorEastAsia"/>
                      <w:b/>
                      <w:color w:val="auto"/>
                      <w:sz w:val="21"/>
                      <w:szCs w:val="21"/>
                    </w:rPr>
                  </w:pPr>
                  <w:r>
                    <w:rPr>
                      <w:rFonts w:ascii="Times New Roman" w:cs="Times New Roman" w:eastAsiaTheme="minorEastAsia"/>
                      <w:b/>
                      <w:color w:val="auto"/>
                      <w:sz w:val="21"/>
                      <w:szCs w:val="21"/>
                    </w:rPr>
                    <w:t>年排放量（</w:t>
                  </w:r>
                  <w:r>
                    <w:rPr>
                      <w:rFonts w:hint="eastAsia" w:ascii="Times New Roman" w:cs="Times New Roman" w:eastAsiaTheme="minorEastAsia"/>
                      <w:b/>
                      <w:color w:val="auto"/>
                      <w:sz w:val="21"/>
                      <w:szCs w:val="21"/>
                    </w:rPr>
                    <w:t>t/a</w:t>
                  </w:r>
                  <w:r>
                    <w:rPr>
                      <w:rFonts w:ascii="Times New Roman" w:cs="Times New Roman" w:eastAsiaTheme="minorEastAsia"/>
                      <w:b/>
                      <w:color w:val="auto"/>
                      <w:sz w:val="21"/>
                      <w:szCs w:val="21"/>
                    </w:rPr>
                    <w:t>）</w:t>
                  </w:r>
                </w:p>
              </w:tc>
            </w:tr>
            <w:tr w14:paraId="3F02CE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77" w:type="dxa"/>
                  <w:vAlign w:val="center"/>
                </w:tcPr>
                <w:p w14:paraId="2DDAD024">
                  <w:pPr>
                    <w:pStyle w:val="2"/>
                    <w:jc w:val="center"/>
                    <w:rPr>
                      <w:rFonts w:ascii="Times New Roman" w:cs="Times New Roman" w:eastAsiaTheme="minorEastAsia"/>
                      <w:color w:val="auto"/>
                      <w:sz w:val="21"/>
                      <w:szCs w:val="21"/>
                    </w:rPr>
                  </w:pPr>
                  <w:r>
                    <w:rPr>
                      <w:rFonts w:ascii="Times New Roman" w:cs="Times New Roman" w:eastAsiaTheme="minorEastAsia"/>
                      <w:color w:val="auto"/>
                      <w:sz w:val="21"/>
                      <w:szCs w:val="21"/>
                    </w:rPr>
                    <w:t>1</w:t>
                  </w:r>
                </w:p>
              </w:tc>
              <w:tc>
                <w:tcPr>
                  <w:tcW w:w="1877" w:type="dxa"/>
                  <w:vAlign w:val="center"/>
                </w:tcPr>
                <w:p w14:paraId="64C0064E">
                  <w:pPr>
                    <w:pStyle w:val="72"/>
                    <w:rPr>
                      <w:kern w:val="2"/>
                      <w:sz w:val="21"/>
                      <w:szCs w:val="21"/>
                    </w:rPr>
                  </w:pPr>
                  <w:r>
                    <w:rPr>
                      <w:rFonts w:hint="eastAsia"/>
                      <w:sz w:val="21"/>
                      <w:szCs w:val="21"/>
                    </w:rPr>
                    <w:t>颗粒物</w:t>
                  </w:r>
                </w:p>
              </w:tc>
              <w:tc>
                <w:tcPr>
                  <w:tcW w:w="1889" w:type="dxa"/>
                  <w:vAlign w:val="center"/>
                </w:tcPr>
                <w:p w14:paraId="49E21DB5">
                  <w:pPr>
                    <w:pStyle w:val="2"/>
                    <w:jc w:val="center"/>
                    <w:rPr>
                      <w:rFonts w:ascii="Times New Roman" w:cs="Times New Roman"/>
                      <w:color w:val="auto"/>
                      <w:sz w:val="21"/>
                      <w:szCs w:val="21"/>
                    </w:rPr>
                  </w:pPr>
                  <w:r>
                    <w:rPr>
                      <w:rFonts w:hint="eastAsia" w:ascii="Times New Roman" w:cs="Times New Roman"/>
                      <w:color w:val="auto"/>
                      <w:sz w:val="21"/>
                      <w:szCs w:val="21"/>
                    </w:rPr>
                    <w:t>0.476</w:t>
                  </w:r>
                </w:p>
              </w:tc>
              <w:tc>
                <w:tcPr>
                  <w:tcW w:w="1889" w:type="dxa"/>
                  <w:vAlign w:val="center"/>
                </w:tcPr>
                <w:p w14:paraId="7F216B4B">
                  <w:pPr>
                    <w:pStyle w:val="72"/>
                    <w:rPr>
                      <w:rFonts w:eastAsiaTheme="minorEastAsia"/>
                      <w:sz w:val="21"/>
                      <w:szCs w:val="21"/>
                    </w:rPr>
                  </w:pPr>
                  <w:r>
                    <w:rPr>
                      <w:rFonts w:hint="eastAsia" w:eastAsiaTheme="minorEastAsia"/>
                      <w:sz w:val="21"/>
                      <w:szCs w:val="21"/>
                    </w:rPr>
                    <w:t>1.236</w:t>
                  </w:r>
                </w:p>
              </w:tc>
              <w:tc>
                <w:tcPr>
                  <w:tcW w:w="1889" w:type="dxa"/>
                  <w:vAlign w:val="center"/>
                </w:tcPr>
                <w:p w14:paraId="66FDFB78">
                  <w:pPr>
                    <w:pStyle w:val="2"/>
                    <w:jc w:val="center"/>
                    <w:rPr>
                      <w:rFonts w:ascii="Times New Roman" w:cs="Times New Roman"/>
                      <w:color w:val="auto"/>
                      <w:sz w:val="21"/>
                      <w:szCs w:val="21"/>
                    </w:rPr>
                  </w:pPr>
                  <w:r>
                    <w:rPr>
                      <w:rFonts w:hint="eastAsia" w:ascii="Times New Roman" w:cs="Times New Roman"/>
                      <w:color w:val="auto"/>
                      <w:sz w:val="21"/>
                      <w:szCs w:val="21"/>
                    </w:rPr>
                    <w:t>1.712</w:t>
                  </w:r>
                </w:p>
              </w:tc>
            </w:tr>
          </w:tbl>
          <w:p w14:paraId="327B2680">
            <w:pPr>
              <w:pStyle w:val="2"/>
              <w:spacing w:line="360" w:lineRule="auto"/>
              <w:ind w:firstLine="482" w:firstLineChars="200"/>
              <w:jc w:val="both"/>
              <w:rPr>
                <w:rFonts w:ascii="Times New Roman" w:cs="Times New Roman"/>
                <w:b/>
                <w:color w:val="auto"/>
              </w:rPr>
            </w:pPr>
            <w:r>
              <w:rPr>
                <w:rFonts w:hint="eastAsia" w:ascii="Times New Roman" w:cs="Times New Roman"/>
                <w:b/>
                <w:color w:val="auto"/>
              </w:rPr>
              <w:t>3、大气污染物排放达标情况及环保措施的技术经济可行性分析</w:t>
            </w:r>
          </w:p>
          <w:p w14:paraId="537FE832">
            <w:pPr>
              <w:pStyle w:val="99"/>
              <w:ind w:firstLine="482"/>
              <w:jc w:val="both"/>
              <w:rPr>
                <w:b/>
              </w:rPr>
            </w:pPr>
            <w:r>
              <w:rPr>
                <w:rFonts w:hint="eastAsia"/>
                <w:b/>
              </w:rPr>
              <w:t>（1）达标排放情况分析</w:t>
            </w:r>
          </w:p>
          <w:p w14:paraId="529F3259">
            <w:pPr>
              <w:pStyle w:val="99"/>
              <w:jc w:val="both"/>
              <w:rPr>
                <w:rFonts w:hAnsiTheme="minorEastAsia" w:eastAsiaTheme="minorEastAsia"/>
                <w:kern w:val="0"/>
                <w:szCs w:val="24"/>
              </w:rPr>
            </w:pPr>
            <w:r>
              <w:rPr>
                <w:rFonts w:hint="eastAsia" w:hAnsi="宋体"/>
              </w:rPr>
              <w:t>本项目营运期大气污染物主要有：原料堆场装卸及风力扬尘、投料粉尘、破碎粉尘、传送带输送粉尘、磨粉粉尘、储存筒仓粉尘、包装粉尘、运输扬尘等。</w:t>
            </w:r>
          </w:p>
          <w:p w14:paraId="2F142594">
            <w:pPr>
              <w:pStyle w:val="99"/>
              <w:jc w:val="both"/>
              <w:rPr>
                <w:rFonts w:hAnsiTheme="minorEastAsia" w:eastAsiaTheme="minorEastAsia"/>
                <w:kern w:val="0"/>
                <w:szCs w:val="24"/>
              </w:rPr>
            </w:pPr>
            <w:r>
              <w:rPr>
                <w:rFonts w:hint="eastAsia" w:hAnsiTheme="minorEastAsia" w:eastAsiaTheme="minorEastAsia"/>
                <w:kern w:val="0"/>
                <w:szCs w:val="24"/>
              </w:rPr>
              <w:t>项目有组织排放废气为磨粉粉尘。根据工程分析，</w:t>
            </w:r>
            <w:r>
              <w:rPr>
                <w:rFonts w:hint="eastAsia"/>
                <w:color w:val="000000"/>
              </w:rPr>
              <w:t>项目磨粉粉尘经收集处理后通过1根15m高排气筒（DA001）排放</w:t>
            </w:r>
            <w:r>
              <w:rPr>
                <w:rFonts w:hint="eastAsia" w:hAnsiTheme="minorEastAsia" w:eastAsiaTheme="minorEastAsia"/>
                <w:kern w:val="0"/>
                <w:szCs w:val="24"/>
              </w:rPr>
              <w:t>，能满足《大气污染物综合排放标准》（GB16297-1996）表2标准限值要求。</w:t>
            </w:r>
          </w:p>
          <w:p w14:paraId="750FE27D">
            <w:pPr>
              <w:pStyle w:val="99"/>
              <w:jc w:val="both"/>
              <w:rPr>
                <w:rFonts w:hAnsiTheme="minorEastAsia" w:eastAsiaTheme="minorEastAsia"/>
                <w:kern w:val="0"/>
                <w:szCs w:val="24"/>
              </w:rPr>
            </w:pPr>
            <w:r>
              <w:rPr>
                <w:rFonts w:hint="eastAsia"/>
              </w:rPr>
              <w:t>项目无组织排放的废气主要为</w:t>
            </w:r>
            <w:r>
              <w:rPr>
                <w:rFonts w:hint="eastAsia" w:hAnsi="宋体"/>
              </w:rPr>
              <w:t>原料堆场装卸及风力扬尘、投料粉尘、破碎粉尘、传送带输送粉尘、储存筒仓粉尘、包装粉尘、运输扬尘等。</w:t>
            </w:r>
            <w:r>
              <w:rPr>
                <w:rFonts w:hint="eastAsia"/>
              </w:rPr>
              <w:t>项目原料堆场位于密闭厂房内，</w:t>
            </w:r>
            <w:r>
              <w:t>车间内地面硬化</w:t>
            </w:r>
            <w:r>
              <w:rPr>
                <w:rFonts w:hint="eastAsia"/>
              </w:rPr>
              <w:t>，</w:t>
            </w:r>
            <w:r>
              <w:t>同时在</w:t>
            </w:r>
            <w:r>
              <w:rPr>
                <w:rFonts w:hint="eastAsia"/>
              </w:rPr>
              <w:t>原料堆场周围</w:t>
            </w:r>
            <w:r>
              <w:t>设置</w:t>
            </w:r>
            <w:r>
              <w:rPr>
                <w:rFonts w:hint="eastAsia"/>
              </w:rPr>
              <w:t>喷雾装置</w:t>
            </w:r>
            <w:r>
              <w:t>，可有效降低无组织粉尘</w:t>
            </w:r>
            <w:r>
              <w:rPr>
                <w:rFonts w:hint="eastAsia" w:hAnsi="宋体"/>
              </w:rPr>
              <w:t>逸散</w:t>
            </w:r>
            <w:r>
              <w:rPr>
                <w:rFonts w:hint="eastAsia"/>
              </w:rPr>
              <w:t>；破碎机及磨粉机</w:t>
            </w:r>
            <w:r>
              <w:rPr>
                <w:rFonts w:hint="eastAsia" w:hAnsi="宋体"/>
              </w:rPr>
              <w:t>投料口均设置在密闭厂房内，并且对投料口进行三面围挡，</w:t>
            </w:r>
            <w:r>
              <w:t>可有效降低无组织粉尘</w:t>
            </w:r>
            <w:r>
              <w:rPr>
                <w:rFonts w:hint="eastAsia" w:hAnsi="宋体"/>
              </w:rPr>
              <w:t>逸散；</w:t>
            </w:r>
            <w:r>
              <w:rPr>
                <w:rFonts w:hint="eastAsia"/>
              </w:rPr>
              <w:t>破碎粉尘拟</w:t>
            </w:r>
            <w:r>
              <w:rPr>
                <w:rFonts w:hint="eastAsia" w:hAnsi="宋体"/>
              </w:rPr>
              <w:t>配套布袋除尘器进行处理；成品储存筒仓拟配套仓顶除尘器进行处理；</w:t>
            </w:r>
            <w:r>
              <w:rPr>
                <w:rFonts w:hint="eastAsia"/>
              </w:rPr>
              <w:t>运输车辆限制车速，对车辆行驶的厂区内路面实施定期清洁，运输车辆严禁超载，且上述产污工序均位于室内，车间具有一定阻隔作用，大部分粉尘可在车间内沉降；同时；项目应加强无组织控制措施的管理，减少废气无组织排放</w:t>
            </w:r>
            <w:r>
              <w:rPr>
                <w:rFonts w:hAnsiTheme="minorEastAsia" w:eastAsiaTheme="minorEastAsia"/>
                <w:kern w:val="0"/>
                <w:szCs w:val="24"/>
              </w:rPr>
              <w:t>。</w:t>
            </w:r>
          </w:p>
          <w:p w14:paraId="116AD840">
            <w:pPr>
              <w:pStyle w:val="99"/>
              <w:jc w:val="both"/>
              <w:rPr>
                <w:rFonts w:hAnsiTheme="minorEastAsia" w:eastAsiaTheme="minorEastAsia"/>
                <w:kern w:val="0"/>
                <w:szCs w:val="24"/>
              </w:rPr>
            </w:pPr>
            <w:r>
              <w:rPr>
                <w:rFonts w:hint="eastAsia" w:hAnsiTheme="minorEastAsia" w:eastAsiaTheme="minorEastAsia"/>
                <w:kern w:val="0"/>
                <w:szCs w:val="24"/>
              </w:rPr>
              <w:t>综上，项目废气采取措施处理后可达标排放，对周边环境影响较小。</w:t>
            </w:r>
          </w:p>
          <w:p w14:paraId="671F65A5">
            <w:pPr>
              <w:pStyle w:val="99"/>
              <w:ind w:firstLine="482"/>
              <w:jc w:val="both"/>
              <w:rPr>
                <w:rFonts w:hAnsiTheme="minorEastAsia" w:eastAsiaTheme="minorEastAsia"/>
                <w:b/>
                <w:kern w:val="0"/>
                <w:szCs w:val="24"/>
              </w:rPr>
            </w:pPr>
            <w:r>
              <w:rPr>
                <w:rFonts w:hint="eastAsia" w:hAnsiTheme="minorEastAsia" w:eastAsiaTheme="minorEastAsia"/>
                <w:b/>
                <w:kern w:val="0"/>
                <w:szCs w:val="24"/>
              </w:rPr>
              <w:t>（2）废气处理措施可行性分析</w:t>
            </w:r>
          </w:p>
          <w:p w14:paraId="540FD698">
            <w:pPr>
              <w:pStyle w:val="99"/>
              <w:jc w:val="both"/>
              <w:rPr>
                <w:rFonts w:hAnsiTheme="minorEastAsia" w:eastAsiaTheme="minorEastAsia"/>
                <w:kern w:val="0"/>
                <w:szCs w:val="24"/>
              </w:rPr>
            </w:pPr>
            <w:r>
              <w:rPr>
                <w:rFonts w:hint="eastAsia" w:hAnsiTheme="minorEastAsia" w:eastAsiaTheme="minorEastAsia"/>
                <w:kern w:val="0"/>
                <w:szCs w:val="24"/>
              </w:rPr>
              <w:t>经查《固定污染源排污许可分类管理名录（2019年版）》，本项目为石墨及其他非金属矿物制品制造，属于登记管理排污单位。本项目废气处理措施参照《排污许可证申请与核发技术规范 石墨及其他非金属矿物制品制造》（HJ1119-2020）要求，本项目采取的废气治理措施均为可行技术。</w:t>
            </w:r>
          </w:p>
          <w:p w14:paraId="693D2E55">
            <w:pPr>
              <w:pStyle w:val="2"/>
              <w:spacing w:line="360" w:lineRule="auto"/>
              <w:ind w:firstLine="482" w:firstLineChars="200"/>
              <w:jc w:val="both"/>
              <w:rPr>
                <w:b/>
                <w:color w:val="auto"/>
              </w:rPr>
            </w:pPr>
            <w:r>
              <w:rPr>
                <w:rFonts w:hint="eastAsia" w:ascii="Times New Roman" w:cs="Times New Roman"/>
                <w:b/>
                <w:color w:val="auto"/>
              </w:rPr>
              <w:t>4、</w:t>
            </w:r>
            <w:r>
              <w:rPr>
                <w:rFonts w:hint="eastAsia"/>
                <w:b/>
                <w:color w:val="auto"/>
              </w:rPr>
              <w:t>排污口设置情况、监测要求</w:t>
            </w:r>
          </w:p>
          <w:p w14:paraId="40FD9410">
            <w:pPr>
              <w:adjustRightInd w:val="0"/>
              <w:snapToGrid w:val="0"/>
              <w:spacing w:line="360" w:lineRule="auto"/>
              <w:ind w:firstLine="480" w:firstLineChars="200"/>
              <w:rPr>
                <w:rFonts w:cs="宋体"/>
                <w:kern w:val="0"/>
                <w:sz w:val="24"/>
              </w:rPr>
            </w:pPr>
            <w:r>
              <w:rPr>
                <w:rFonts w:hint="eastAsia" w:cs="宋体"/>
                <w:kern w:val="0"/>
                <w:sz w:val="24"/>
              </w:rPr>
              <w:t>项目废气排放口情况如下表：</w:t>
            </w:r>
          </w:p>
          <w:p w14:paraId="2C0F48AB">
            <w:pPr>
              <w:adjustRightInd w:val="0"/>
              <w:snapToGrid w:val="0"/>
              <w:spacing w:before="120" w:beforeLines="50"/>
              <w:jc w:val="center"/>
              <w:rPr>
                <w:b/>
                <w:szCs w:val="21"/>
              </w:rPr>
            </w:pPr>
            <w:r>
              <w:rPr>
                <w:rFonts w:hint="eastAsia"/>
                <w:b/>
                <w:szCs w:val="21"/>
              </w:rPr>
              <w:t>表4-4  本项目废气排放口设置情况</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83"/>
              <w:gridCol w:w="1342"/>
              <w:gridCol w:w="1449"/>
              <w:gridCol w:w="869"/>
              <w:gridCol w:w="854"/>
              <w:gridCol w:w="891"/>
              <w:gridCol w:w="1822"/>
              <w:gridCol w:w="1311"/>
            </w:tblGrid>
            <w:tr w14:paraId="661EC7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6" w:hRule="atLeast"/>
              </w:trPr>
              <w:tc>
                <w:tcPr>
                  <w:tcW w:w="469" w:type="pct"/>
                  <w:vMerge w:val="restart"/>
                  <w:vAlign w:val="center"/>
                </w:tcPr>
                <w:p w14:paraId="7A27248E">
                  <w:pPr>
                    <w:adjustRightInd w:val="0"/>
                    <w:snapToGrid w:val="0"/>
                    <w:jc w:val="center"/>
                    <w:rPr>
                      <w:b/>
                      <w:szCs w:val="21"/>
                    </w:rPr>
                  </w:pPr>
                  <w:r>
                    <w:rPr>
                      <w:rFonts w:hint="eastAsia"/>
                      <w:b/>
                      <w:szCs w:val="21"/>
                    </w:rPr>
                    <w:t>排放口编号</w:t>
                  </w:r>
                </w:p>
              </w:tc>
              <w:tc>
                <w:tcPr>
                  <w:tcW w:w="712" w:type="pct"/>
                  <w:vMerge w:val="restart"/>
                  <w:shd w:val="clear" w:color="auto" w:fill="auto"/>
                  <w:vAlign w:val="center"/>
                </w:tcPr>
                <w:p w14:paraId="7F3A6A5B">
                  <w:pPr>
                    <w:adjustRightInd w:val="0"/>
                    <w:snapToGrid w:val="0"/>
                    <w:jc w:val="center"/>
                    <w:rPr>
                      <w:b/>
                      <w:szCs w:val="21"/>
                    </w:rPr>
                  </w:pPr>
                  <w:r>
                    <w:rPr>
                      <w:b/>
                      <w:szCs w:val="21"/>
                    </w:rPr>
                    <w:t>名称</w:t>
                  </w:r>
                </w:p>
              </w:tc>
              <w:tc>
                <w:tcPr>
                  <w:tcW w:w="769" w:type="pct"/>
                  <w:vMerge w:val="restart"/>
                  <w:vAlign w:val="center"/>
                </w:tcPr>
                <w:p w14:paraId="0E8A6BC2">
                  <w:pPr>
                    <w:adjustRightInd w:val="0"/>
                    <w:snapToGrid w:val="0"/>
                    <w:jc w:val="center"/>
                    <w:rPr>
                      <w:b/>
                      <w:szCs w:val="21"/>
                    </w:rPr>
                  </w:pPr>
                  <w:r>
                    <w:rPr>
                      <w:rFonts w:hint="eastAsia"/>
                      <w:b/>
                      <w:szCs w:val="21"/>
                    </w:rPr>
                    <w:t>污染物种类</w:t>
                  </w:r>
                </w:p>
              </w:tc>
              <w:tc>
                <w:tcPr>
                  <w:tcW w:w="3050" w:type="pct"/>
                  <w:gridSpan w:val="5"/>
                  <w:shd w:val="clear" w:color="auto" w:fill="auto"/>
                  <w:vAlign w:val="center"/>
                </w:tcPr>
                <w:p w14:paraId="594DB0F5">
                  <w:pPr>
                    <w:adjustRightInd w:val="0"/>
                    <w:snapToGrid w:val="0"/>
                    <w:jc w:val="center"/>
                    <w:rPr>
                      <w:b/>
                      <w:szCs w:val="21"/>
                    </w:rPr>
                  </w:pPr>
                  <w:r>
                    <w:rPr>
                      <w:rFonts w:hint="eastAsia"/>
                      <w:b/>
                      <w:szCs w:val="21"/>
                    </w:rPr>
                    <w:t>排放口基本情况</w:t>
                  </w:r>
                </w:p>
              </w:tc>
            </w:tr>
            <w:tr w14:paraId="625206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69" w:type="pct"/>
                  <w:vMerge w:val="continue"/>
                  <w:vAlign w:val="center"/>
                </w:tcPr>
                <w:p w14:paraId="361E6CAC">
                  <w:pPr>
                    <w:adjustRightInd w:val="0"/>
                    <w:snapToGrid w:val="0"/>
                    <w:jc w:val="center"/>
                    <w:rPr>
                      <w:b/>
                      <w:szCs w:val="21"/>
                    </w:rPr>
                  </w:pPr>
                </w:p>
              </w:tc>
              <w:tc>
                <w:tcPr>
                  <w:tcW w:w="712" w:type="pct"/>
                  <w:vMerge w:val="continue"/>
                  <w:shd w:val="clear" w:color="auto" w:fill="auto"/>
                  <w:vAlign w:val="center"/>
                </w:tcPr>
                <w:p w14:paraId="457423D8">
                  <w:pPr>
                    <w:adjustRightInd w:val="0"/>
                    <w:snapToGrid w:val="0"/>
                    <w:jc w:val="center"/>
                    <w:rPr>
                      <w:b/>
                      <w:szCs w:val="21"/>
                    </w:rPr>
                  </w:pPr>
                </w:p>
              </w:tc>
              <w:tc>
                <w:tcPr>
                  <w:tcW w:w="769" w:type="pct"/>
                  <w:vMerge w:val="continue"/>
                  <w:vAlign w:val="center"/>
                </w:tcPr>
                <w:p w14:paraId="11F9D1A5">
                  <w:pPr>
                    <w:adjustRightInd w:val="0"/>
                    <w:snapToGrid w:val="0"/>
                    <w:jc w:val="center"/>
                    <w:rPr>
                      <w:b/>
                      <w:szCs w:val="21"/>
                    </w:rPr>
                  </w:pPr>
                </w:p>
              </w:tc>
              <w:tc>
                <w:tcPr>
                  <w:tcW w:w="461" w:type="pct"/>
                  <w:shd w:val="clear" w:color="auto" w:fill="auto"/>
                  <w:vAlign w:val="center"/>
                </w:tcPr>
                <w:p w14:paraId="10F79B2E">
                  <w:pPr>
                    <w:adjustRightInd w:val="0"/>
                    <w:snapToGrid w:val="0"/>
                    <w:jc w:val="center"/>
                    <w:rPr>
                      <w:b/>
                      <w:szCs w:val="21"/>
                    </w:rPr>
                  </w:pPr>
                  <w:r>
                    <w:rPr>
                      <w:rFonts w:hint="eastAsia"/>
                      <w:b/>
                      <w:szCs w:val="21"/>
                    </w:rPr>
                    <w:t>高度（m）</w:t>
                  </w:r>
                </w:p>
              </w:tc>
              <w:tc>
                <w:tcPr>
                  <w:tcW w:w="453" w:type="pct"/>
                  <w:shd w:val="clear" w:color="auto" w:fill="auto"/>
                  <w:vAlign w:val="center"/>
                </w:tcPr>
                <w:p w14:paraId="3510270E">
                  <w:pPr>
                    <w:adjustRightInd w:val="0"/>
                    <w:snapToGrid w:val="0"/>
                    <w:jc w:val="center"/>
                    <w:rPr>
                      <w:b/>
                      <w:szCs w:val="21"/>
                    </w:rPr>
                  </w:pPr>
                  <w:r>
                    <w:rPr>
                      <w:rFonts w:hint="eastAsia"/>
                      <w:b/>
                      <w:szCs w:val="21"/>
                    </w:rPr>
                    <w:t>内径（m）</w:t>
                  </w:r>
                </w:p>
              </w:tc>
              <w:tc>
                <w:tcPr>
                  <w:tcW w:w="473" w:type="pct"/>
                  <w:shd w:val="clear" w:color="auto" w:fill="auto"/>
                  <w:vAlign w:val="center"/>
                </w:tcPr>
                <w:p w14:paraId="524E4870">
                  <w:pPr>
                    <w:adjustRightInd w:val="0"/>
                    <w:snapToGrid w:val="0"/>
                    <w:jc w:val="center"/>
                    <w:rPr>
                      <w:b/>
                      <w:szCs w:val="21"/>
                    </w:rPr>
                  </w:pPr>
                  <w:r>
                    <w:rPr>
                      <w:b/>
                      <w:szCs w:val="21"/>
                    </w:rPr>
                    <w:t>温度（</w:t>
                  </w:r>
                  <w:r>
                    <w:rPr>
                      <w:rFonts w:ascii="宋体" w:hAnsi="宋体" w:cs="宋体"/>
                      <w:b/>
                      <w:szCs w:val="21"/>
                    </w:rPr>
                    <w:t>℃</w:t>
                  </w:r>
                  <w:r>
                    <w:rPr>
                      <w:b/>
                      <w:szCs w:val="21"/>
                    </w:rPr>
                    <w:t>）</w:t>
                  </w:r>
                </w:p>
              </w:tc>
              <w:tc>
                <w:tcPr>
                  <w:tcW w:w="967" w:type="pct"/>
                  <w:shd w:val="clear" w:color="auto" w:fill="auto"/>
                  <w:vAlign w:val="center"/>
                </w:tcPr>
                <w:p w14:paraId="3352552C">
                  <w:pPr>
                    <w:adjustRightInd w:val="0"/>
                    <w:snapToGrid w:val="0"/>
                    <w:jc w:val="center"/>
                    <w:rPr>
                      <w:b/>
                      <w:szCs w:val="21"/>
                    </w:rPr>
                  </w:pPr>
                  <w:r>
                    <w:rPr>
                      <w:rFonts w:hint="eastAsia"/>
                      <w:b/>
                      <w:szCs w:val="21"/>
                    </w:rPr>
                    <w:t>坐标</w:t>
                  </w:r>
                </w:p>
              </w:tc>
              <w:tc>
                <w:tcPr>
                  <w:tcW w:w="696" w:type="pct"/>
                  <w:shd w:val="clear" w:color="auto" w:fill="auto"/>
                  <w:vAlign w:val="center"/>
                </w:tcPr>
                <w:p w14:paraId="0768CB99">
                  <w:pPr>
                    <w:adjustRightInd w:val="0"/>
                    <w:snapToGrid w:val="0"/>
                    <w:jc w:val="center"/>
                    <w:rPr>
                      <w:b/>
                      <w:szCs w:val="21"/>
                    </w:rPr>
                  </w:pPr>
                  <w:r>
                    <w:rPr>
                      <w:rFonts w:hint="eastAsia"/>
                      <w:b/>
                      <w:szCs w:val="21"/>
                    </w:rPr>
                    <w:t>类型</w:t>
                  </w:r>
                </w:p>
              </w:tc>
            </w:tr>
            <w:tr w14:paraId="7FA8F0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69" w:type="pct"/>
                  <w:vAlign w:val="center"/>
                </w:tcPr>
                <w:p w14:paraId="5E7D4B11">
                  <w:pPr>
                    <w:adjustRightInd w:val="0"/>
                    <w:snapToGrid w:val="0"/>
                    <w:jc w:val="center"/>
                    <w:rPr>
                      <w:szCs w:val="21"/>
                    </w:rPr>
                  </w:pPr>
                  <w:r>
                    <w:rPr>
                      <w:rFonts w:hint="eastAsia"/>
                      <w:szCs w:val="21"/>
                    </w:rPr>
                    <w:t>DA001</w:t>
                  </w:r>
                </w:p>
              </w:tc>
              <w:tc>
                <w:tcPr>
                  <w:tcW w:w="712" w:type="pct"/>
                  <w:shd w:val="clear" w:color="auto" w:fill="auto"/>
                  <w:vAlign w:val="center"/>
                </w:tcPr>
                <w:p w14:paraId="728B938F">
                  <w:pPr>
                    <w:adjustRightInd w:val="0"/>
                    <w:snapToGrid w:val="0"/>
                    <w:jc w:val="center"/>
                    <w:rPr>
                      <w:szCs w:val="21"/>
                    </w:rPr>
                  </w:pPr>
                  <w:r>
                    <w:rPr>
                      <w:szCs w:val="21"/>
                    </w:rPr>
                    <w:t>磨粉粉尘废气排放口</w:t>
                  </w:r>
                </w:p>
              </w:tc>
              <w:tc>
                <w:tcPr>
                  <w:tcW w:w="769" w:type="pct"/>
                  <w:vAlign w:val="center"/>
                </w:tcPr>
                <w:p w14:paraId="3212643C">
                  <w:pPr>
                    <w:adjustRightInd w:val="0"/>
                    <w:snapToGrid w:val="0"/>
                    <w:jc w:val="center"/>
                  </w:pPr>
                  <w:r>
                    <w:t>颗粒物</w:t>
                  </w:r>
                </w:p>
              </w:tc>
              <w:tc>
                <w:tcPr>
                  <w:tcW w:w="461" w:type="pct"/>
                  <w:shd w:val="clear" w:color="auto" w:fill="auto"/>
                  <w:vAlign w:val="center"/>
                </w:tcPr>
                <w:p w14:paraId="4EC6ECA9">
                  <w:pPr>
                    <w:jc w:val="center"/>
                    <w:rPr>
                      <w:szCs w:val="21"/>
                    </w:rPr>
                  </w:pPr>
                  <w:r>
                    <w:rPr>
                      <w:rFonts w:hint="eastAsia"/>
                      <w:szCs w:val="21"/>
                    </w:rPr>
                    <w:t>15</w:t>
                  </w:r>
                </w:p>
              </w:tc>
              <w:tc>
                <w:tcPr>
                  <w:tcW w:w="453" w:type="pct"/>
                  <w:shd w:val="clear" w:color="auto" w:fill="auto"/>
                  <w:vAlign w:val="center"/>
                </w:tcPr>
                <w:p w14:paraId="0560162E">
                  <w:pPr>
                    <w:jc w:val="center"/>
                    <w:rPr>
                      <w:szCs w:val="21"/>
                    </w:rPr>
                  </w:pPr>
                  <w:r>
                    <w:rPr>
                      <w:rFonts w:hint="eastAsia"/>
                      <w:szCs w:val="21"/>
                    </w:rPr>
                    <w:t>0.5</w:t>
                  </w:r>
                </w:p>
              </w:tc>
              <w:tc>
                <w:tcPr>
                  <w:tcW w:w="473" w:type="pct"/>
                  <w:shd w:val="clear" w:color="auto" w:fill="auto"/>
                  <w:vAlign w:val="center"/>
                </w:tcPr>
                <w:p w14:paraId="24A2BDDB">
                  <w:pPr>
                    <w:adjustRightInd w:val="0"/>
                    <w:snapToGrid w:val="0"/>
                    <w:jc w:val="center"/>
                    <w:rPr>
                      <w:szCs w:val="21"/>
                    </w:rPr>
                  </w:pPr>
                  <w:r>
                    <w:rPr>
                      <w:rFonts w:hint="eastAsia"/>
                      <w:szCs w:val="21"/>
                    </w:rPr>
                    <w:t>25</w:t>
                  </w:r>
                </w:p>
              </w:tc>
              <w:tc>
                <w:tcPr>
                  <w:tcW w:w="967" w:type="pct"/>
                  <w:shd w:val="clear" w:color="auto" w:fill="auto"/>
                  <w:vAlign w:val="center"/>
                </w:tcPr>
                <w:p w14:paraId="337E4D49">
                  <w:pPr>
                    <w:adjustRightInd w:val="0"/>
                    <w:snapToGrid w:val="0"/>
                    <w:jc w:val="center"/>
                    <w:rPr>
                      <w:szCs w:val="21"/>
                    </w:rPr>
                  </w:pPr>
                  <w:r>
                    <w:rPr>
                      <w:szCs w:val="21"/>
                    </w:rPr>
                    <w:t>E 112°2</w:t>
                  </w:r>
                  <w:r>
                    <w:rPr>
                      <w:rFonts w:hint="eastAsia"/>
                      <w:szCs w:val="21"/>
                    </w:rPr>
                    <w:t>6</w:t>
                  </w:r>
                  <w:r>
                    <w:rPr>
                      <w:szCs w:val="21"/>
                    </w:rPr>
                    <w:t>′</w:t>
                  </w:r>
                  <w:r>
                    <w:rPr>
                      <w:rFonts w:hint="eastAsia"/>
                      <w:szCs w:val="21"/>
                    </w:rPr>
                    <w:t>58.19</w:t>
                  </w:r>
                  <w:r>
                    <w:rPr>
                      <w:szCs w:val="21"/>
                    </w:rPr>
                    <w:t>″</w:t>
                  </w:r>
                </w:p>
                <w:p w14:paraId="138C263A">
                  <w:pPr>
                    <w:jc w:val="center"/>
                    <w:rPr>
                      <w:szCs w:val="21"/>
                    </w:rPr>
                  </w:pPr>
                  <w:r>
                    <w:rPr>
                      <w:szCs w:val="21"/>
                    </w:rPr>
                    <w:t>N 2</w:t>
                  </w:r>
                  <w:r>
                    <w:rPr>
                      <w:rFonts w:hint="eastAsia"/>
                      <w:szCs w:val="21"/>
                    </w:rPr>
                    <w:t>6</w:t>
                  </w:r>
                  <w:r>
                    <w:rPr>
                      <w:szCs w:val="21"/>
                    </w:rPr>
                    <w:t>°</w:t>
                  </w:r>
                  <w:r>
                    <w:rPr>
                      <w:rFonts w:hint="eastAsia"/>
                      <w:szCs w:val="21"/>
                    </w:rPr>
                    <w:t>56</w:t>
                  </w:r>
                  <w:r>
                    <w:rPr>
                      <w:szCs w:val="21"/>
                    </w:rPr>
                    <w:t>′</w:t>
                  </w:r>
                  <w:r>
                    <w:rPr>
                      <w:rFonts w:hint="eastAsia"/>
                      <w:szCs w:val="21"/>
                    </w:rPr>
                    <w:t>39.83</w:t>
                  </w:r>
                  <w:r>
                    <w:rPr>
                      <w:szCs w:val="21"/>
                    </w:rPr>
                    <w:t>″</w:t>
                  </w:r>
                </w:p>
              </w:tc>
              <w:tc>
                <w:tcPr>
                  <w:tcW w:w="696" w:type="pct"/>
                  <w:shd w:val="clear" w:color="auto" w:fill="auto"/>
                  <w:vAlign w:val="center"/>
                </w:tcPr>
                <w:p w14:paraId="3AA1A07D">
                  <w:pPr>
                    <w:jc w:val="center"/>
                    <w:rPr>
                      <w:szCs w:val="21"/>
                    </w:rPr>
                  </w:pPr>
                  <w:r>
                    <w:rPr>
                      <w:rFonts w:hint="eastAsia"/>
                      <w:szCs w:val="21"/>
                    </w:rPr>
                    <w:t>一般排放口</w:t>
                  </w:r>
                </w:p>
              </w:tc>
            </w:tr>
          </w:tbl>
          <w:p w14:paraId="74CC1AC6">
            <w:pPr>
              <w:spacing w:line="360" w:lineRule="auto"/>
              <w:ind w:firstLine="480" w:firstLineChars="200"/>
              <w:jc w:val="left"/>
              <w:rPr>
                <w:sz w:val="24"/>
              </w:rPr>
            </w:pPr>
            <w:r>
              <w:rPr>
                <w:rFonts w:hint="eastAsia"/>
                <w:sz w:val="24"/>
              </w:rPr>
              <w:t>根据《排污许可证申请与核发技术规范 石墨及其他非金属矿物制品制造》（HJ1119-2020）以及《排污许可证申请与核发技术规范 总则（HJ942-2018）和《排污单位自行监测技术指南 总则》（HJ819-2017），运营期大气监测计划如下：</w:t>
            </w:r>
          </w:p>
          <w:p w14:paraId="0904FDE9">
            <w:pPr>
              <w:adjustRightInd w:val="0"/>
              <w:snapToGrid w:val="0"/>
              <w:spacing w:before="120" w:beforeLines="50"/>
              <w:jc w:val="center"/>
              <w:rPr>
                <w:b/>
                <w:szCs w:val="21"/>
              </w:rPr>
            </w:pPr>
            <w:r>
              <w:rPr>
                <w:rFonts w:hint="eastAsia"/>
                <w:b/>
                <w:szCs w:val="21"/>
              </w:rPr>
              <w:t>表4-5  本项目大气污染物监测计划</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705"/>
              <w:gridCol w:w="3118"/>
              <w:gridCol w:w="2598"/>
            </w:tblGrid>
            <w:tr w14:paraId="0D44C4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66" w:type="pct"/>
                  <w:shd w:val="clear" w:color="auto" w:fill="auto"/>
                  <w:vAlign w:val="center"/>
                </w:tcPr>
                <w:p w14:paraId="02F16CE6">
                  <w:pPr>
                    <w:adjustRightInd w:val="0"/>
                    <w:snapToGrid w:val="0"/>
                    <w:jc w:val="center"/>
                    <w:rPr>
                      <w:b/>
                      <w:szCs w:val="21"/>
                    </w:rPr>
                  </w:pPr>
                  <w:r>
                    <w:rPr>
                      <w:rFonts w:hint="eastAsia"/>
                      <w:b/>
                      <w:szCs w:val="21"/>
                    </w:rPr>
                    <w:t>监测点位</w:t>
                  </w:r>
                </w:p>
              </w:tc>
              <w:tc>
                <w:tcPr>
                  <w:tcW w:w="1655" w:type="pct"/>
                  <w:vAlign w:val="center"/>
                </w:tcPr>
                <w:p w14:paraId="2E743438">
                  <w:pPr>
                    <w:adjustRightInd w:val="0"/>
                    <w:snapToGrid w:val="0"/>
                    <w:jc w:val="center"/>
                    <w:rPr>
                      <w:b/>
                      <w:szCs w:val="21"/>
                    </w:rPr>
                  </w:pPr>
                  <w:r>
                    <w:rPr>
                      <w:rFonts w:hint="eastAsia"/>
                      <w:b/>
                      <w:szCs w:val="21"/>
                    </w:rPr>
                    <w:t>监测因子</w:t>
                  </w:r>
                </w:p>
              </w:tc>
              <w:tc>
                <w:tcPr>
                  <w:tcW w:w="1379" w:type="pct"/>
                  <w:vAlign w:val="center"/>
                </w:tcPr>
                <w:p w14:paraId="428FD9E2">
                  <w:pPr>
                    <w:adjustRightInd w:val="0"/>
                    <w:snapToGrid w:val="0"/>
                    <w:jc w:val="center"/>
                    <w:rPr>
                      <w:b/>
                      <w:szCs w:val="21"/>
                    </w:rPr>
                  </w:pPr>
                  <w:r>
                    <w:rPr>
                      <w:rFonts w:hint="eastAsia"/>
                      <w:b/>
                      <w:szCs w:val="21"/>
                    </w:rPr>
                    <w:t>监测频次</w:t>
                  </w:r>
                </w:p>
              </w:tc>
            </w:tr>
            <w:tr w14:paraId="3954D8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66" w:type="pct"/>
                  <w:shd w:val="clear" w:color="auto" w:fill="auto"/>
                  <w:vAlign w:val="center"/>
                </w:tcPr>
                <w:p w14:paraId="2F523814">
                  <w:pPr>
                    <w:adjustRightInd w:val="0"/>
                    <w:snapToGrid w:val="0"/>
                    <w:jc w:val="center"/>
                    <w:rPr>
                      <w:b/>
                      <w:szCs w:val="21"/>
                    </w:rPr>
                  </w:pPr>
                  <w:r>
                    <w:rPr>
                      <w:rFonts w:hint="eastAsia"/>
                      <w:szCs w:val="21"/>
                    </w:rPr>
                    <w:t>DA001排气筒</w:t>
                  </w:r>
                </w:p>
              </w:tc>
              <w:tc>
                <w:tcPr>
                  <w:tcW w:w="1655" w:type="pct"/>
                  <w:vAlign w:val="center"/>
                </w:tcPr>
                <w:p w14:paraId="4DD1CE84">
                  <w:pPr>
                    <w:adjustRightInd w:val="0"/>
                    <w:snapToGrid w:val="0"/>
                    <w:jc w:val="center"/>
                    <w:rPr>
                      <w:szCs w:val="21"/>
                    </w:rPr>
                  </w:pPr>
                  <w:r>
                    <w:rPr>
                      <w:szCs w:val="21"/>
                    </w:rPr>
                    <w:t>颗粒物</w:t>
                  </w:r>
                </w:p>
              </w:tc>
              <w:tc>
                <w:tcPr>
                  <w:tcW w:w="1379" w:type="pct"/>
                  <w:vAlign w:val="center"/>
                </w:tcPr>
                <w:p w14:paraId="10C997B6">
                  <w:pPr>
                    <w:adjustRightInd w:val="0"/>
                    <w:snapToGrid w:val="0"/>
                    <w:jc w:val="center"/>
                    <w:rPr>
                      <w:szCs w:val="21"/>
                    </w:rPr>
                  </w:pPr>
                  <w:r>
                    <w:rPr>
                      <w:rFonts w:hint="eastAsia"/>
                      <w:szCs w:val="21"/>
                    </w:rPr>
                    <w:t>1次/年</w:t>
                  </w:r>
                </w:p>
              </w:tc>
            </w:tr>
            <w:tr w14:paraId="4462D1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966" w:type="pct"/>
                  <w:shd w:val="clear" w:color="auto" w:fill="auto"/>
                  <w:vAlign w:val="center"/>
                </w:tcPr>
                <w:p w14:paraId="3C9AC7C9">
                  <w:pPr>
                    <w:adjustRightInd w:val="0"/>
                    <w:snapToGrid w:val="0"/>
                    <w:jc w:val="center"/>
                    <w:rPr>
                      <w:szCs w:val="21"/>
                    </w:rPr>
                  </w:pPr>
                  <w:r>
                    <w:rPr>
                      <w:rFonts w:hint="eastAsia"/>
                      <w:szCs w:val="21"/>
                    </w:rPr>
                    <w:t>厂界外20m处</w:t>
                  </w:r>
                  <w:r>
                    <w:t>（上风向设</w:t>
                  </w:r>
                  <w:r>
                    <w:rPr>
                      <w:rFonts w:hint="eastAsia"/>
                    </w:rPr>
                    <w:t>参照</w:t>
                  </w:r>
                  <w:r>
                    <w:t>点，下风向</w:t>
                  </w:r>
                  <w:r>
                    <w:rPr>
                      <w:rFonts w:hint="eastAsia"/>
                    </w:rPr>
                    <w:t>设3</w:t>
                  </w:r>
                  <w:r>
                    <w:t>个监控点）</w:t>
                  </w:r>
                </w:p>
              </w:tc>
              <w:tc>
                <w:tcPr>
                  <w:tcW w:w="1655" w:type="pct"/>
                  <w:vAlign w:val="center"/>
                </w:tcPr>
                <w:p w14:paraId="4605D83D">
                  <w:pPr>
                    <w:adjustRightInd w:val="0"/>
                    <w:snapToGrid w:val="0"/>
                    <w:jc w:val="center"/>
                    <w:rPr>
                      <w:bCs/>
                      <w:spacing w:val="-10"/>
                      <w:szCs w:val="21"/>
                    </w:rPr>
                  </w:pPr>
                  <w:r>
                    <w:rPr>
                      <w:szCs w:val="21"/>
                    </w:rPr>
                    <w:t>颗粒物</w:t>
                  </w:r>
                </w:p>
              </w:tc>
              <w:tc>
                <w:tcPr>
                  <w:tcW w:w="1379" w:type="pct"/>
                  <w:vAlign w:val="center"/>
                </w:tcPr>
                <w:p w14:paraId="6A0D0029">
                  <w:pPr>
                    <w:jc w:val="center"/>
                  </w:pPr>
                  <w:r>
                    <w:rPr>
                      <w:rFonts w:hint="eastAsia"/>
                      <w:szCs w:val="21"/>
                    </w:rPr>
                    <w:t>1次/年</w:t>
                  </w:r>
                </w:p>
              </w:tc>
            </w:tr>
          </w:tbl>
          <w:p w14:paraId="415F0247">
            <w:pPr>
              <w:adjustRightInd w:val="0"/>
              <w:snapToGrid w:val="0"/>
              <w:spacing w:line="360" w:lineRule="auto"/>
              <w:ind w:firstLine="482" w:firstLineChars="200"/>
              <w:rPr>
                <w:b/>
                <w:sz w:val="24"/>
                <w:shd w:val="clear" w:color="auto" w:fill="FFFFFF"/>
              </w:rPr>
            </w:pPr>
            <w:r>
              <w:rPr>
                <w:rFonts w:hint="eastAsia"/>
                <w:b/>
                <w:sz w:val="24"/>
                <w:shd w:val="clear" w:color="auto" w:fill="FFFFFF"/>
              </w:rPr>
              <w:t>6、结论</w:t>
            </w:r>
          </w:p>
          <w:p w14:paraId="1C5CDB2D">
            <w:pPr>
              <w:spacing w:line="360" w:lineRule="auto"/>
              <w:ind w:firstLine="480" w:firstLineChars="200"/>
              <w:jc w:val="left"/>
              <w:rPr>
                <w:sz w:val="24"/>
              </w:rPr>
            </w:pPr>
            <w:r>
              <w:rPr>
                <w:rFonts w:hint="eastAsia"/>
                <w:sz w:val="24"/>
              </w:rPr>
              <w:t>根据上述分析，项目废气排放会对环境有一定的影响，但影响较小，项目废气对大气环境的影响在可接受范围内。</w:t>
            </w:r>
          </w:p>
          <w:p w14:paraId="439A1E72">
            <w:pPr>
              <w:adjustRightInd w:val="0"/>
              <w:snapToGrid w:val="0"/>
              <w:spacing w:line="360" w:lineRule="auto"/>
              <w:ind w:firstLine="482" w:firstLineChars="200"/>
              <w:rPr>
                <w:b/>
                <w:sz w:val="24"/>
              </w:rPr>
            </w:pPr>
            <w:r>
              <w:rPr>
                <w:rFonts w:hint="eastAsia"/>
                <w:b/>
                <w:sz w:val="24"/>
              </w:rPr>
              <w:t>二、废水</w:t>
            </w:r>
          </w:p>
          <w:p w14:paraId="77799F2B">
            <w:pPr>
              <w:adjustRightInd w:val="0"/>
              <w:snapToGrid w:val="0"/>
              <w:spacing w:line="360" w:lineRule="auto"/>
              <w:ind w:firstLine="482" w:firstLineChars="200"/>
              <w:rPr>
                <w:b/>
                <w:sz w:val="24"/>
              </w:rPr>
            </w:pPr>
            <w:r>
              <w:rPr>
                <w:rFonts w:hint="eastAsia"/>
                <w:b/>
                <w:sz w:val="24"/>
              </w:rPr>
              <w:t>1、废水源强</w:t>
            </w:r>
          </w:p>
          <w:p w14:paraId="2B4B8EBA">
            <w:pPr>
              <w:pStyle w:val="33"/>
              <w:adjustRightInd w:val="0"/>
              <w:snapToGrid w:val="0"/>
              <w:spacing w:after="0" w:line="360" w:lineRule="auto"/>
              <w:ind w:firstLine="480" w:firstLineChars="200"/>
              <w:rPr>
                <w:rFonts w:ascii="Times New Roman" w:hAnsi="Times New Roman"/>
                <w:kern w:val="0"/>
                <w:sz w:val="24"/>
              </w:rPr>
            </w:pPr>
            <w:r>
              <w:rPr>
                <w:rFonts w:hint="eastAsia" w:ascii="Times New Roman" w:hAnsi="Times New Roman" w:cs="宋体"/>
                <w:sz w:val="24"/>
              </w:rPr>
              <w:t>项目主要进行重晶石粉生产，采取干式作业，厂区不涉及原料清洗、设备及地面冲洗等用水点。结合项目工程分析，本项目主要用水为喷雾抑尘用水、员工生活用水</w:t>
            </w:r>
            <w:r>
              <w:rPr>
                <w:rFonts w:hint="eastAsia" w:ascii="Times New Roman" w:hAnsi="Times New Roman"/>
                <w:kern w:val="0"/>
                <w:sz w:val="24"/>
              </w:rPr>
              <w:t>。</w:t>
            </w:r>
          </w:p>
          <w:p w14:paraId="5DE7C463">
            <w:pPr>
              <w:pStyle w:val="33"/>
              <w:adjustRightInd w:val="0"/>
              <w:snapToGrid w:val="0"/>
              <w:spacing w:after="0" w:line="360" w:lineRule="auto"/>
              <w:ind w:firstLine="480" w:firstLineChars="200"/>
              <w:rPr>
                <w:rFonts w:ascii="Times New Roman" w:hAnsi="Times New Roman"/>
                <w:kern w:val="0"/>
                <w:sz w:val="24"/>
              </w:rPr>
            </w:pPr>
            <w:r>
              <w:rPr>
                <w:rFonts w:asciiTheme="minorEastAsia" w:hAnsiTheme="minorEastAsia" w:eastAsiaTheme="minorEastAsia"/>
                <w:kern w:val="0"/>
                <w:sz w:val="24"/>
              </w:rPr>
              <w:t>①生活</w:t>
            </w:r>
            <w:r>
              <w:rPr>
                <w:rFonts w:ascii="Times New Roman" w:hAnsi="Times New Roman"/>
                <w:kern w:val="0"/>
                <w:sz w:val="24"/>
              </w:rPr>
              <w:t>污水</w:t>
            </w:r>
          </w:p>
          <w:p w14:paraId="6303959B">
            <w:pPr>
              <w:pStyle w:val="33"/>
              <w:adjustRightInd w:val="0"/>
              <w:snapToGrid w:val="0"/>
              <w:spacing w:after="0" w:line="360" w:lineRule="auto"/>
              <w:ind w:firstLine="480" w:firstLineChars="200"/>
              <w:rPr>
                <w:rFonts w:ascii="Times New Roman" w:hAnsi="Times New Roman"/>
                <w:kern w:val="0"/>
                <w:sz w:val="24"/>
              </w:rPr>
            </w:pPr>
            <w:r>
              <w:rPr>
                <w:rFonts w:ascii="Times New Roman"/>
                <w:kern w:val="0"/>
                <w:sz w:val="24"/>
              </w:rPr>
              <w:t>根据水平衡分析可知，</w:t>
            </w:r>
            <w:r>
              <w:rPr>
                <w:rFonts w:ascii="Times New Roman"/>
                <w:spacing w:val="-6"/>
                <w:sz w:val="24"/>
              </w:rPr>
              <w:t>项目员工生活用水量为</w:t>
            </w:r>
            <w:r>
              <w:rPr>
                <w:rFonts w:hint="eastAsia" w:ascii="Times New Roman"/>
                <w:spacing w:val="-6"/>
                <w:sz w:val="24"/>
              </w:rPr>
              <w:t>38</w:t>
            </w:r>
            <w:r>
              <w:rPr>
                <w:rFonts w:hint="eastAsia" w:ascii="Times New Roman" w:hAnsi="Times New Roman"/>
                <w:spacing w:val="-6"/>
                <w:sz w:val="24"/>
              </w:rPr>
              <w:t>0</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/a</w:t>
            </w:r>
            <w:r>
              <w:rPr>
                <w:rFonts w:ascii="Times New Roman"/>
                <w:spacing w:val="-6"/>
                <w:sz w:val="24"/>
              </w:rPr>
              <w:t>，</w:t>
            </w:r>
            <w:r>
              <w:rPr>
                <w:rFonts w:ascii="Times New Roman" w:hAnsi="Times New Roman"/>
                <w:spacing w:val="-1"/>
                <w:kern w:val="30"/>
                <w:position w:val="-1"/>
                <w:sz w:val="24"/>
              </w:rPr>
              <w:t>排污系数按0.8核算，则项目生活污水排放量</w:t>
            </w:r>
            <w:r>
              <w:rPr>
                <w:rFonts w:ascii="Times New Roman" w:hAnsi="Times New Roman"/>
                <w:spacing w:val="-6"/>
                <w:sz w:val="24"/>
              </w:rPr>
              <w:t>为</w:t>
            </w:r>
            <w:r>
              <w:rPr>
                <w:rFonts w:hint="eastAsia" w:ascii="Times New Roman"/>
                <w:spacing w:val="-6"/>
                <w:sz w:val="24"/>
              </w:rPr>
              <w:t>1.01</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/d</w:t>
            </w:r>
            <w:r>
              <w:rPr>
                <w:rFonts w:ascii="Times New Roman"/>
                <w:spacing w:val="-6"/>
                <w:sz w:val="24"/>
              </w:rPr>
              <w:t>（</w:t>
            </w:r>
            <w:r>
              <w:rPr>
                <w:rFonts w:hint="eastAsia" w:ascii="Times New Roman" w:hAnsi="Times New Roman"/>
                <w:spacing w:val="-6"/>
                <w:sz w:val="24"/>
              </w:rPr>
              <w:t>304</w:t>
            </w:r>
            <w:r>
              <w:rPr>
                <w:rFonts w:ascii="Times New Roman" w:hAnsi="Times New Roman"/>
                <w:spacing w:val="-6"/>
                <w:sz w:val="24"/>
              </w:rPr>
              <w:t>m</w:t>
            </w:r>
            <w:r>
              <w:rPr>
                <w:rFonts w:ascii="Times New Roman" w:hAnsi="Times New Roman"/>
                <w:spacing w:val="-6"/>
                <w:sz w:val="24"/>
                <w:vertAlign w:val="superscript"/>
              </w:rPr>
              <w:t>3</w:t>
            </w:r>
            <w:r>
              <w:rPr>
                <w:rFonts w:ascii="Times New Roman" w:hAnsi="Times New Roman"/>
                <w:spacing w:val="-6"/>
                <w:sz w:val="24"/>
              </w:rPr>
              <w:t>/a</w:t>
            </w:r>
            <w:r>
              <w:rPr>
                <w:rFonts w:ascii="Times New Roman"/>
                <w:spacing w:val="-6"/>
                <w:sz w:val="24"/>
              </w:rPr>
              <w:t>）</w:t>
            </w:r>
            <w:r>
              <w:rPr>
                <w:rFonts w:hint="eastAsia"/>
                <w:spacing w:val="-6"/>
                <w:sz w:val="24"/>
              </w:rPr>
              <w:t>，主要污染物及其浓度为</w:t>
            </w:r>
            <w:r>
              <w:rPr>
                <w:rFonts w:ascii="Times New Roman" w:hAnsi="Times New Roman"/>
                <w:spacing w:val="-6"/>
                <w:sz w:val="24"/>
              </w:rPr>
              <w:t>COD</w:t>
            </w:r>
            <w:r>
              <w:rPr>
                <w:rFonts w:ascii="Times New Roman" w:hAnsi="Times New Roman"/>
                <w:spacing w:val="-6"/>
                <w:sz w:val="24"/>
                <w:vertAlign w:val="subscript"/>
              </w:rPr>
              <w:t>Cr</w:t>
            </w:r>
            <w:r>
              <w:rPr>
                <w:rFonts w:hint="eastAsia" w:ascii="Times New Roman" w:hAnsi="Times New Roman"/>
                <w:spacing w:val="-6"/>
                <w:sz w:val="24"/>
              </w:rPr>
              <w:t>300mg/L</w:t>
            </w:r>
            <w:r>
              <w:rPr>
                <w:rFonts w:ascii="Times New Roman"/>
                <w:spacing w:val="-6"/>
                <w:sz w:val="24"/>
              </w:rPr>
              <w:t>、</w:t>
            </w:r>
            <w:r>
              <w:rPr>
                <w:rFonts w:ascii="Times New Roman" w:hAnsi="Times New Roman"/>
                <w:spacing w:val="-6"/>
                <w:sz w:val="24"/>
              </w:rPr>
              <w:t>BOD</w:t>
            </w:r>
            <w:r>
              <w:rPr>
                <w:rFonts w:ascii="Times New Roman" w:hAnsi="Times New Roman"/>
                <w:spacing w:val="-6"/>
                <w:sz w:val="24"/>
                <w:vertAlign w:val="subscript"/>
              </w:rPr>
              <w:t>5</w:t>
            </w:r>
            <w:r>
              <w:rPr>
                <w:rFonts w:hint="eastAsia" w:ascii="Times New Roman" w:hAnsi="Times New Roman"/>
                <w:spacing w:val="-6"/>
                <w:sz w:val="24"/>
              </w:rPr>
              <w:t>200mg/L</w:t>
            </w:r>
            <w:r>
              <w:rPr>
                <w:rFonts w:ascii="Times New Roman"/>
                <w:spacing w:val="-6"/>
                <w:sz w:val="24"/>
              </w:rPr>
              <w:t>、</w:t>
            </w:r>
            <w:r>
              <w:rPr>
                <w:rFonts w:ascii="Times New Roman" w:hAnsi="Times New Roman"/>
                <w:spacing w:val="-6"/>
                <w:sz w:val="24"/>
              </w:rPr>
              <w:t>SS</w:t>
            </w:r>
            <w:r>
              <w:rPr>
                <w:rFonts w:hint="eastAsia" w:ascii="Times New Roman" w:hAnsi="Times New Roman"/>
                <w:spacing w:val="-6"/>
                <w:sz w:val="24"/>
              </w:rPr>
              <w:t>220mg/L</w:t>
            </w:r>
            <w:r>
              <w:rPr>
                <w:rFonts w:ascii="Times New Roman"/>
                <w:spacing w:val="-6"/>
                <w:sz w:val="24"/>
              </w:rPr>
              <w:t>、氨氮</w:t>
            </w:r>
            <w:r>
              <w:rPr>
                <w:rFonts w:hint="eastAsia" w:ascii="Times New Roman" w:hAnsi="Times New Roman"/>
                <w:spacing w:val="-6"/>
                <w:sz w:val="24"/>
              </w:rPr>
              <w:t>30mg/L</w:t>
            </w:r>
            <w:r>
              <w:rPr>
                <w:rFonts w:ascii="Times New Roman"/>
                <w:spacing w:val="-6"/>
                <w:sz w:val="24"/>
              </w:rPr>
              <w:t>、</w:t>
            </w:r>
            <w:r>
              <w:rPr>
                <w:rFonts w:hint="eastAsia" w:ascii="Times New Roman"/>
                <w:spacing w:val="-6"/>
                <w:sz w:val="24"/>
              </w:rPr>
              <w:t>SS250</w:t>
            </w:r>
            <w:r>
              <w:rPr>
                <w:rFonts w:hint="eastAsia" w:ascii="Times New Roman" w:hAnsi="Times New Roman"/>
                <w:spacing w:val="-6"/>
                <w:sz w:val="24"/>
              </w:rPr>
              <w:t>mg/L</w:t>
            </w:r>
            <w:r>
              <w:rPr>
                <w:rFonts w:ascii="Times New Roman"/>
                <w:spacing w:val="-6"/>
                <w:sz w:val="24"/>
              </w:rPr>
              <w:t>等</w:t>
            </w:r>
            <w:r>
              <w:rPr>
                <w:rFonts w:hint="eastAsia" w:ascii="Times New Roman" w:hAnsi="Times New Roman"/>
                <w:spacing w:val="-6"/>
                <w:sz w:val="24"/>
              </w:rPr>
              <w:t>。</w:t>
            </w:r>
            <w:bookmarkStart w:id="57" w:name="OLE_LINK61"/>
            <w:bookmarkStart w:id="58" w:name="OLE_LINK60"/>
            <w:r>
              <w:rPr>
                <w:rFonts w:hint="eastAsia" w:ascii="Times New Roman" w:hAnsi="Times New Roman"/>
                <w:sz w:val="24"/>
              </w:rPr>
              <w:t>项目产生的生活污水</w:t>
            </w:r>
            <w:bookmarkStart w:id="59" w:name="OLE_LINK52"/>
            <w:r>
              <w:rPr>
                <w:rFonts w:hAnsi="宋体"/>
                <w:kern w:val="0"/>
                <w:sz w:val="24"/>
              </w:rPr>
              <w:t>依托</w:t>
            </w:r>
            <w:bookmarkStart w:id="60" w:name="OLE_LINK50"/>
            <w:bookmarkStart w:id="61" w:name="OLE_LINK49"/>
            <w:r>
              <w:rPr>
                <w:rFonts w:hint="eastAsia"/>
                <w:kern w:val="0"/>
                <w:sz w:val="24"/>
                <w:szCs w:val="20"/>
              </w:rPr>
              <w:t>湖南衡利丰陶瓷有限公司</w:t>
            </w:r>
            <w:bookmarkEnd w:id="60"/>
            <w:bookmarkEnd w:id="61"/>
            <w:r>
              <w:rPr>
                <w:rFonts w:hint="eastAsia"/>
                <w:kern w:val="0"/>
                <w:sz w:val="24"/>
                <w:szCs w:val="20"/>
              </w:rPr>
              <w:t>现有</w:t>
            </w:r>
            <w:r>
              <w:rPr>
                <w:rFonts w:hAnsi="宋体"/>
                <w:kern w:val="0"/>
                <w:sz w:val="24"/>
              </w:rPr>
              <w:t>化粪池预处理后外排至市政管网，纳入</w:t>
            </w:r>
            <w:r>
              <w:rPr>
                <w:rFonts w:hint="eastAsia"/>
                <w:sz w:val="24"/>
              </w:rPr>
              <w:t>衡阳西渡高新区污水处理厂深度处理</w:t>
            </w:r>
            <w:r>
              <w:rPr>
                <w:rFonts w:hint="eastAsia"/>
                <w:bCs/>
                <w:sz w:val="24"/>
              </w:rPr>
              <w:t>后排入蒸水</w:t>
            </w:r>
            <w:bookmarkEnd w:id="57"/>
            <w:bookmarkEnd w:id="58"/>
            <w:bookmarkEnd w:id="59"/>
            <w:r>
              <w:rPr>
                <w:rFonts w:hint="eastAsia" w:ascii="Times New Roman" w:hAnsi="Times New Roman"/>
                <w:sz w:val="24"/>
              </w:rPr>
              <w:t>。</w:t>
            </w:r>
          </w:p>
          <w:p w14:paraId="49D1F228">
            <w:pPr>
              <w:spacing w:line="360" w:lineRule="auto"/>
              <w:ind w:firstLine="480" w:firstLineChars="200"/>
              <w:rPr>
                <w:sz w:val="24"/>
              </w:rPr>
            </w:pPr>
            <w:r>
              <w:rPr>
                <w:sz w:val="24"/>
              </w:rPr>
              <w:t>项目生活污水产、排污情况见表4-</w:t>
            </w:r>
            <w:r>
              <w:rPr>
                <w:rFonts w:hint="eastAsia"/>
                <w:sz w:val="24"/>
              </w:rPr>
              <w:t>6</w:t>
            </w:r>
            <w:r>
              <w:rPr>
                <w:sz w:val="24"/>
              </w:rPr>
              <w:t>。</w:t>
            </w:r>
          </w:p>
          <w:p w14:paraId="620C3A66">
            <w:pPr>
              <w:spacing w:before="120" w:beforeLines="50"/>
              <w:jc w:val="center"/>
              <w:rPr>
                <w:b/>
                <w:bCs/>
                <w:szCs w:val="21"/>
              </w:rPr>
            </w:pPr>
            <w:r>
              <w:rPr>
                <w:b/>
                <w:bCs/>
                <w:szCs w:val="21"/>
              </w:rPr>
              <w:t>表4-</w:t>
            </w:r>
            <w:r>
              <w:rPr>
                <w:rFonts w:hint="eastAsia"/>
                <w:b/>
                <w:bCs/>
                <w:szCs w:val="21"/>
              </w:rPr>
              <w:t>6</w:t>
            </w:r>
            <w:r>
              <w:rPr>
                <w:b/>
                <w:bCs/>
                <w:szCs w:val="21"/>
              </w:rPr>
              <w:t xml:space="preserve">  项目生活污水产、排污情况一览表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56"/>
              <w:gridCol w:w="2807"/>
              <w:gridCol w:w="1289"/>
              <w:gridCol w:w="1289"/>
              <w:gridCol w:w="1289"/>
              <w:gridCol w:w="1291"/>
            </w:tblGrid>
            <w:tr w14:paraId="2818BE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Align w:val="center"/>
                </w:tcPr>
                <w:p w14:paraId="4E9E6F4B">
                  <w:pPr>
                    <w:jc w:val="center"/>
                    <w:rPr>
                      <w:b/>
                      <w:bCs/>
                      <w:szCs w:val="21"/>
                    </w:rPr>
                  </w:pPr>
                  <w:r>
                    <w:rPr>
                      <w:b/>
                      <w:bCs/>
                      <w:szCs w:val="21"/>
                    </w:rPr>
                    <w:t>废水量</w:t>
                  </w:r>
                </w:p>
              </w:tc>
              <w:tc>
                <w:tcPr>
                  <w:tcW w:w="1490" w:type="pct"/>
                  <w:vAlign w:val="center"/>
                </w:tcPr>
                <w:p w14:paraId="072EF7BA">
                  <w:pPr>
                    <w:jc w:val="center"/>
                    <w:rPr>
                      <w:b/>
                      <w:bCs/>
                      <w:szCs w:val="21"/>
                    </w:rPr>
                  </w:pPr>
                  <w:r>
                    <w:rPr>
                      <w:b/>
                      <w:bCs/>
                      <w:szCs w:val="21"/>
                    </w:rPr>
                    <w:t>项目</w:t>
                  </w:r>
                </w:p>
              </w:tc>
              <w:tc>
                <w:tcPr>
                  <w:tcW w:w="684" w:type="pct"/>
                  <w:vAlign w:val="center"/>
                </w:tcPr>
                <w:p w14:paraId="14886C5A">
                  <w:pPr>
                    <w:jc w:val="center"/>
                    <w:rPr>
                      <w:b/>
                      <w:bCs/>
                      <w:szCs w:val="21"/>
                    </w:rPr>
                  </w:pPr>
                  <w:r>
                    <w:rPr>
                      <w:b/>
                      <w:bCs/>
                      <w:szCs w:val="21"/>
                    </w:rPr>
                    <w:t>COD</w:t>
                  </w:r>
                </w:p>
              </w:tc>
              <w:tc>
                <w:tcPr>
                  <w:tcW w:w="684" w:type="pct"/>
                  <w:vAlign w:val="center"/>
                </w:tcPr>
                <w:p w14:paraId="2931C146">
                  <w:pPr>
                    <w:jc w:val="center"/>
                    <w:rPr>
                      <w:b/>
                      <w:bCs/>
                      <w:szCs w:val="21"/>
                    </w:rPr>
                  </w:pPr>
                  <w:r>
                    <w:rPr>
                      <w:b/>
                      <w:bCs/>
                      <w:szCs w:val="21"/>
                    </w:rPr>
                    <w:t>BOD</w:t>
                  </w:r>
                  <w:r>
                    <w:rPr>
                      <w:b/>
                      <w:bCs/>
                      <w:szCs w:val="21"/>
                      <w:vertAlign w:val="subscript"/>
                    </w:rPr>
                    <w:t>5</w:t>
                  </w:r>
                </w:p>
              </w:tc>
              <w:tc>
                <w:tcPr>
                  <w:tcW w:w="684" w:type="pct"/>
                  <w:vAlign w:val="center"/>
                </w:tcPr>
                <w:p w14:paraId="54ED3BFA">
                  <w:pPr>
                    <w:jc w:val="center"/>
                    <w:rPr>
                      <w:b/>
                      <w:bCs/>
                      <w:szCs w:val="21"/>
                    </w:rPr>
                  </w:pPr>
                  <w:r>
                    <w:rPr>
                      <w:b/>
                      <w:bCs/>
                      <w:szCs w:val="21"/>
                    </w:rPr>
                    <w:t>NH</w:t>
                  </w:r>
                  <w:r>
                    <w:rPr>
                      <w:b/>
                      <w:bCs/>
                      <w:szCs w:val="21"/>
                      <w:vertAlign w:val="subscript"/>
                    </w:rPr>
                    <w:t>3</w:t>
                  </w:r>
                  <w:r>
                    <w:rPr>
                      <w:b/>
                      <w:bCs/>
                      <w:szCs w:val="21"/>
                    </w:rPr>
                    <w:t>-N</w:t>
                  </w:r>
                </w:p>
              </w:tc>
              <w:tc>
                <w:tcPr>
                  <w:tcW w:w="685" w:type="pct"/>
                  <w:vAlign w:val="center"/>
                </w:tcPr>
                <w:p w14:paraId="26C91DDD">
                  <w:pPr>
                    <w:jc w:val="center"/>
                    <w:rPr>
                      <w:b/>
                      <w:bCs/>
                      <w:szCs w:val="21"/>
                    </w:rPr>
                  </w:pPr>
                  <w:r>
                    <w:rPr>
                      <w:b/>
                      <w:bCs/>
                      <w:szCs w:val="21"/>
                    </w:rPr>
                    <w:t>SS</w:t>
                  </w:r>
                </w:p>
              </w:tc>
            </w:tr>
            <w:tr w14:paraId="1938F7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Merge w:val="restart"/>
                  <w:vAlign w:val="center"/>
                </w:tcPr>
                <w:p w14:paraId="04668099">
                  <w:pPr>
                    <w:jc w:val="center"/>
                    <w:rPr>
                      <w:szCs w:val="21"/>
                    </w:rPr>
                  </w:pPr>
                  <w:r>
                    <w:rPr>
                      <w:szCs w:val="21"/>
                    </w:rPr>
                    <w:t>生活污水</w:t>
                  </w:r>
                  <w:r>
                    <w:rPr>
                      <w:rFonts w:hint="eastAsia"/>
                      <w:szCs w:val="21"/>
                    </w:rPr>
                    <w:t>（304</w:t>
                  </w:r>
                  <w:r>
                    <w:rPr>
                      <w:szCs w:val="21"/>
                    </w:rPr>
                    <w:t>t/a</w:t>
                  </w:r>
                  <w:r>
                    <w:rPr>
                      <w:rFonts w:hint="eastAsia"/>
                      <w:szCs w:val="21"/>
                    </w:rPr>
                    <w:t>）</w:t>
                  </w:r>
                </w:p>
              </w:tc>
              <w:tc>
                <w:tcPr>
                  <w:tcW w:w="1490" w:type="pct"/>
                  <w:vAlign w:val="center"/>
                </w:tcPr>
                <w:p w14:paraId="4DC99AAA">
                  <w:pPr>
                    <w:jc w:val="center"/>
                    <w:rPr>
                      <w:szCs w:val="21"/>
                    </w:rPr>
                  </w:pPr>
                  <w:r>
                    <w:rPr>
                      <w:szCs w:val="21"/>
                    </w:rPr>
                    <w:t>产生浓度（mg/L）</w:t>
                  </w:r>
                </w:p>
              </w:tc>
              <w:tc>
                <w:tcPr>
                  <w:tcW w:w="684" w:type="pct"/>
                  <w:vAlign w:val="center"/>
                </w:tcPr>
                <w:p w14:paraId="5B722192">
                  <w:pPr>
                    <w:jc w:val="center"/>
                    <w:rPr>
                      <w:szCs w:val="21"/>
                    </w:rPr>
                  </w:pPr>
                  <w:r>
                    <w:rPr>
                      <w:szCs w:val="21"/>
                    </w:rPr>
                    <w:t>300</w:t>
                  </w:r>
                </w:p>
              </w:tc>
              <w:tc>
                <w:tcPr>
                  <w:tcW w:w="684" w:type="pct"/>
                  <w:vAlign w:val="center"/>
                </w:tcPr>
                <w:p w14:paraId="1CC0528B">
                  <w:pPr>
                    <w:jc w:val="center"/>
                    <w:rPr>
                      <w:szCs w:val="21"/>
                    </w:rPr>
                  </w:pPr>
                  <w:r>
                    <w:rPr>
                      <w:szCs w:val="21"/>
                    </w:rPr>
                    <w:t>2</w:t>
                  </w:r>
                  <w:r>
                    <w:rPr>
                      <w:rFonts w:hint="eastAsia"/>
                      <w:szCs w:val="21"/>
                    </w:rPr>
                    <w:t>20</w:t>
                  </w:r>
                </w:p>
              </w:tc>
              <w:tc>
                <w:tcPr>
                  <w:tcW w:w="684" w:type="pct"/>
                  <w:vAlign w:val="center"/>
                </w:tcPr>
                <w:p w14:paraId="328B7AA9">
                  <w:pPr>
                    <w:jc w:val="center"/>
                    <w:rPr>
                      <w:szCs w:val="21"/>
                    </w:rPr>
                  </w:pPr>
                  <w:r>
                    <w:rPr>
                      <w:szCs w:val="21"/>
                    </w:rPr>
                    <w:t>30</w:t>
                  </w:r>
                </w:p>
              </w:tc>
              <w:tc>
                <w:tcPr>
                  <w:tcW w:w="686" w:type="pct"/>
                  <w:vAlign w:val="center"/>
                </w:tcPr>
                <w:p w14:paraId="5685E9A5">
                  <w:pPr>
                    <w:jc w:val="center"/>
                    <w:rPr>
                      <w:szCs w:val="21"/>
                    </w:rPr>
                  </w:pPr>
                  <w:r>
                    <w:rPr>
                      <w:szCs w:val="21"/>
                    </w:rPr>
                    <w:t>250</w:t>
                  </w:r>
                </w:p>
              </w:tc>
            </w:tr>
            <w:tr w14:paraId="59C7B6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Merge w:val="continue"/>
                  <w:vAlign w:val="center"/>
                </w:tcPr>
                <w:p w14:paraId="46A8CD9B">
                  <w:pPr>
                    <w:jc w:val="center"/>
                    <w:rPr>
                      <w:szCs w:val="21"/>
                    </w:rPr>
                  </w:pPr>
                </w:p>
              </w:tc>
              <w:tc>
                <w:tcPr>
                  <w:tcW w:w="1490" w:type="pct"/>
                  <w:vAlign w:val="center"/>
                </w:tcPr>
                <w:p w14:paraId="35726DFD">
                  <w:pPr>
                    <w:jc w:val="center"/>
                    <w:rPr>
                      <w:szCs w:val="21"/>
                    </w:rPr>
                  </w:pPr>
                  <w:r>
                    <w:rPr>
                      <w:szCs w:val="21"/>
                    </w:rPr>
                    <w:t>产生量（t/a）</w:t>
                  </w:r>
                </w:p>
              </w:tc>
              <w:tc>
                <w:tcPr>
                  <w:tcW w:w="684" w:type="pct"/>
                  <w:vAlign w:val="center"/>
                </w:tcPr>
                <w:p w14:paraId="6C7E48D2">
                  <w:pPr>
                    <w:jc w:val="center"/>
                    <w:rPr>
                      <w:szCs w:val="21"/>
                    </w:rPr>
                  </w:pPr>
                  <w:r>
                    <w:rPr>
                      <w:rFonts w:hint="eastAsia"/>
                      <w:szCs w:val="21"/>
                    </w:rPr>
                    <w:t>0.091</w:t>
                  </w:r>
                </w:p>
              </w:tc>
              <w:tc>
                <w:tcPr>
                  <w:tcW w:w="684" w:type="pct"/>
                  <w:vAlign w:val="center"/>
                </w:tcPr>
                <w:p w14:paraId="303F9B99">
                  <w:pPr>
                    <w:jc w:val="center"/>
                    <w:rPr>
                      <w:szCs w:val="21"/>
                    </w:rPr>
                  </w:pPr>
                  <w:r>
                    <w:rPr>
                      <w:rFonts w:hint="eastAsia"/>
                      <w:szCs w:val="21"/>
                    </w:rPr>
                    <w:t>0.067</w:t>
                  </w:r>
                </w:p>
              </w:tc>
              <w:tc>
                <w:tcPr>
                  <w:tcW w:w="684" w:type="pct"/>
                  <w:vAlign w:val="center"/>
                </w:tcPr>
                <w:p w14:paraId="58399354">
                  <w:pPr>
                    <w:jc w:val="center"/>
                    <w:rPr>
                      <w:szCs w:val="21"/>
                    </w:rPr>
                  </w:pPr>
                  <w:r>
                    <w:rPr>
                      <w:rFonts w:hint="eastAsia"/>
                      <w:szCs w:val="21"/>
                    </w:rPr>
                    <w:t>0.009</w:t>
                  </w:r>
                </w:p>
              </w:tc>
              <w:tc>
                <w:tcPr>
                  <w:tcW w:w="686" w:type="pct"/>
                  <w:vAlign w:val="center"/>
                </w:tcPr>
                <w:p w14:paraId="6CE411CA">
                  <w:pPr>
                    <w:jc w:val="center"/>
                    <w:rPr>
                      <w:szCs w:val="21"/>
                    </w:rPr>
                  </w:pPr>
                  <w:r>
                    <w:rPr>
                      <w:rFonts w:hint="eastAsia"/>
                      <w:szCs w:val="21"/>
                    </w:rPr>
                    <w:t>0.076</w:t>
                  </w:r>
                </w:p>
              </w:tc>
            </w:tr>
            <w:tr w14:paraId="405D97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Merge w:val="continue"/>
                  <w:vAlign w:val="center"/>
                </w:tcPr>
                <w:p w14:paraId="42EC6EE4">
                  <w:pPr>
                    <w:jc w:val="center"/>
                    <w:rPr>
                      <w:szCs w:val="21"/>
                    </w:rPr>
                  </w:pPr>
                </w:p>
              </w:tc>
              <w:tc>
                <w:tcPr>
                  <w:tcW w:w="1490" w:type="pct"/>
                  <w:vAlign w:val="center"/>
                </w:tcPr>
                <w:p w14:paraId="1CB3C1CE">
                  <w:pPr>
                    <w:jc w:val="center"/>
                    <w:rPr>
                      <w:szCs w:val="21"/>
                    </w:rPr>
                  </w:pPr>
                  <w:r>
                    <w:rPr>
                      <w:szCs w:val="21"/>
                    </w:rPr>
                    <w:t>处理措施</w:t>
                  </w:r>
                </w:p>
              </w:tc>
              <w:tc>
                <w:tcPr>
                  <w:tcW w:w="1" w:type="pct"/>
                  <w:gridSpan w:val="4"/>
                  <w:vAlign w:val="center"/>
                </w:tcPr>
                <w:p w14:paraId="07439885">
                  <w:pPr>
                    <w:jc w:val="center"/>
                    <w:rPr>
                      <w:szCs w:val="21"/>
                    </w:rPr>
                  </w:pPr>
                  <w:r>
                    <w:rPr>
                      <w:szCs w:val="21"/>
                    </w:rPr>
                    <w:t>化粪池预处理后外排市政污水管网</w:t>
                  </w:r>
                </w:p>
              </w:tc>
            </w:tr>
            <w:tr w14:paraId="26AA1B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Merge w:val="continue"/>
                  <w:vAlign w:val="center"/>
                </w:tcPr>
                <w:p w14:paraId="7795D8B9">
                  <w:pPr>
                    <w:jc w:val="center"/>
                    <w:rPr>
                      <w:szCs w:val="21"/>
                    </w:rPr>
                  </w:pPr>
                </w:p>
              </w:tc>
              <w:tc>
                <w:tcPr>
                  <w:tcW w:w="1490" w:type="pct"/>
                  <w:vAlign w:val="center"/>
                </w:tcPr>
                <w:p w14:paraId="096D7380">
                  <w:pPr>
                    <w:jc w:val="center"/>
                    <w:rPr>
                      <w:szCs w:val="21"/>
                    </w:rPr>
                  </w:pPr>
                  <w:r>
                    <w:rPr>
                      <w:szCs w:val="21"/>
                    </w:rPr>
                    <w:t>排放浓度（mg/L）</w:t>
                  </w:r>
                </w:p>
              </w:tc>
              <w:tc>
                <w:tcPr>
                  <w:tcW w:w="684" w:type="pct"/>
                  <w:vAlign w:val="center"/>
                </w:tcPr>
                <w:p w14:paraId="3464C1BB">
                  <w:pPr>
                    <w:jc w:val="center"/>
                    <w:rPr>
                      <w:szCs w:val="21"/>
                    </w:rPr>
                  </w:pPr>
                  <w:r>
                    <w:rPr>
                      <w:szCs w:val="21"/>
                    </w:rPr>
                    <w:t>200</w:t>
                  </w:r>
                </w:p>
              </w:tc>
              <w:tc>
                <w:tcPr>
                  <w:tcW w:w="684" w:type="pct"/>
                  <w:vAlign w:val="center"/>
                </w:tcPr>
                <w:p w14:paraId="4C9116FE">
                  <w:pPr>
                    <w:jc w:val="center"/>
                    <w:rPr>
                      <w:szCs w:val="21"/>
                    </w:rPr>
                  </w:pPr>
                  <w:r>
                    <w:rPr>
                      <w:szCs w:val="21"/>
                    </w:rPr>
                    <w:t>100</w:t>
                  </w:r>
                </w:p>
              </w:tc>
              <w:tc>
                <w:tcPr>
                  <w:tcW w:w="684" w:type="pct"/>
                  <w:vAlign w:val="center"/>
                </w:tcPr>
                <w:p w14:paraId="67173B84">
                  <w:pPr>
                    <w:jc w:val="center"/>
                    <w:rPr>
                      <w:szCs w:val="21"/>
                    </w:rPr>
                  </w:pPr>
                  <w:r>
                    <w:rPr>
                      <w:szCs w:val="21"/>
                    </w:rPr>
                    <w:t>25</w:t>
                  </w:r>
                </w:p>
              </w:tc>
              <w:tc>
                <w:tcPr>
                  <w:tcW w:w="685" w:type="pct"/>
                  <w:vAlign w:val="center"/>
                </w:tcPr>
                <w:p w14:paraId="1135CCA5">
                  <w:pPr>
                    <w:jc w:val="center"/>
                    <w:rPr>
                      <w:szCs w:val="21"/>
                    </w:rPr>
                  </w:pPr>
                  <w:r>
                    <w:rPr>
                      <w:szCs w:val="21"/>
                    </w:rPr>
                    <w:t>100</w:t>
                  </w:r>
                </w:p>
              </w:tc>
            </w:tr>
            <w:tr w14:paraId="48277E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73" w:type="pct"/>
                  <w:vMerge w:val="continue"/>
                  <w:vAlign w:val="center"/>
                </w:tcPr>
                <w:p w14:paraId="01755C6D">
                  <w:pPr>
                    <w:jc w:val="center"/>
                    <w:rPr>
                      <w:szCs w:val="21"/>
                    </w:rPr>
                  </w:pPr>
                </w:p>
              </w:tc>
              <w:tc>
                <w:tcPr>
                  <w:tcW w:w="1490" w:type="pct"/>
                  <w:vAlign w:val="center"/>
                </w:tcPr>
                <w:p w14:paraId="083BA288">
                  <w:pPr>
                    <w:jc w:val="center"/>
                    <w:rPr>
                      <w:szCs w:val="21"/>
                    </w:rPr>
                  </w:pPr>
                  <w:r>
                    <w:rPr>
                      <w:szCs w:val="21"/>
                    </w:rPr>
                    <w:t>排放量（t/a）</w:t>
                  </w:r>
                </w:p>
              </w:tc>
              <w:tc>
                <w:tcPr>
                  <w:tcW w:w="684" w:type="pct"/>
                  <w:vAlign w:val="center"/>
                </w:tcPr>
                <w:p w14:paraId="11D8FEFB">
                  <w:pPr>
                    <w:jc w:val="center"/>
                    <w:rPr>
                      <w:szCs w:val="21"/>
                    </w:rPr>
                  </w:pPr>
                  <w:r>
                    <w:rPr>
                      <w:rFonts w:hint="eastAsia"/>
                      <w:szCs w:val="21"/>
                    </w:rPr>
                    <w:t>0.061</w:t>
                  </w:r>
                </w:p>
              </w:tc>
              <w:tc>
                <w:tcPr>
                  <w:tcW w:w="684" w:type="pct"/>
                  <w:vAlign w:val="center"/>
                </w:tcPr>
                <w:p w14:paraId="3AE174F0">
                  <w:pPr>
                    <w:jc w:val="center"/>
                    <w:rPr>
                      <w:szCs w:val="21"/>
                    </w:rPr>
                  </w:pPr>
                  <w:r>
                    <w:rPr>
                      <w:rFonts w:hint="eastAsia"/>
                      <w:szCs w:val="21"/>
                    </w:rPr>
                    <w:t>0.030</w:t>
                  </w:r>
                </w:p>
              </w:tc>
              <w:tc>
                <w:tcPr>
                  <w:tcW w:w="684" w:type="pct"/>
                  <w:vAlign w:val="center"/>
                </w:tcPr>
                <w:p w14:paraId="0E2A077C">
                  <w:pPr>
                    <w:jc w:val="center"/>
                    <w:rPr>
                      <w:szCs w:val="21"/>
                    </w:rPr>
                  </w:pPr>
                  <w:r>
                    <w:rPr>
                      <w:rFonts w:hint="eastAsia"/>
                      <w:szCs w:val="21"/>
                    </w:rPr>
                    <w:t>0.008</w:t>
                  </w:r>
                </w:p>
              </w:tc>
              <w:tc>
                <w:tcPr>
                  <w:tcW w:w="685" w:type="pct"/>
                  <w:vAlign w:val="center"/>
                </w:tcPr>
                <w:p w14:paraId="3E4F0DF9">
                  <w:pPr>
                    <w:jc w:val="center"/>
                    <w:rPr>
                      <w:szCs w:val="21"/>
                    </w:rPr>
                  </w:pPr>
                  <w:r>
                    <w:rPr>
                      <w:rFonts w:hint="eastAsia"/>
                      <w:szCs w:val="21"/>
                    </w:rPr>
                    <w:t>0.030</w:t>
                  </w:r>
                </w:p>
              </w:tc>
            </w:tr>
          </w:tbl>
          <w:p w14:paraId="6BEB57D0">
            <w:pPr>
              <w:pStyle w:val="33"/>
              <w:adjustRightInd w:val="0"/>
              <w:snapToGrid w:val="0"/>
              <w:spacing w:after="0" w:line="360" w:lineRule="auto"/>
              <w:ind w:firstLine="480" w:firstLineChars="200"/>
              <w:rPr>
                <w:kern w:val="0"/>
                <w:sz w:val="24"/>
              </w:rPr>
            </w:pPr>
            <w:r>
              <w:rPr>
                <w:rFonts w:hint="eastAsia"/>
                <w:kern w:val="0"/>
                <w:sz w:val="24"/>
              </w:rPr>
              <w:t>②</w:t>
            </w:r>
            <w:r>
              <w:rPr>
                <w:rFonts w:hint="eastAsia" w:ascii="Times New Roman" w:hAnsi="Times New Roman" w:cs="宋体"/>
                <w:sz w:val="24"/>
              </w:rPr>
              <w:t>喷雾抑尘废水</w:t>
            </w:r>
          </w:p>
          <w:p w14:paraId="5F856685">
            <w:pPr>
              <w:adjustRightInd w:val="0"/>
              <w:snapToGrid w:val="0"/>
              <w:spacing w:line="360" w:lineRule="auto"/>
              <w:ind w:firstLine="480" w:firstLineChars="200"/>
              <w:rPr>
                <w:kern w:val="0"/>
                <w:sz w:val="24"/>
              </w:rPr>
            </w:pPr>
            <w:r>
              <w:rPr>
                <w:rFonts w:hint="eastAsia"/>
                <w:kern w:val="0"/>
                <w:sz w:val="24"/>
              </w:rPr>
              <w:t>项目主要对运输、装卸、停产清扫等过程进行适当的</w:t>
            </w:r>
            <w:r>
              <w:rPr>
                <w:rFonts w:hint="eastAsia"/>
                <w:spacing w:val="-6"/>
                <w:sz w:val="24"/>
              </w:rPr>
              <w:t>喷雾、洒水</w:t>
            </w:r>
            <w:r>
              <w:rPr>
                <w:rFonts w:hint="eastAsia"/>
                <w:kern w:val="0"/>
                <w:sz w:val="24"/>
              </w:rPr>
              <w:t>抑尘，抑尘用水约为</w:t>
            </w:r>
            <w:r>
              <w:rPr>
                <w:rFonts w:hint="eastAsia"/>
                <w:spacing w:val="-6"/>
                <w:sz w:val="24"/>
              </w:rPr>
              <w:t>1.0m</w:t>
            </w:r>
            <w:r>
              <w:rPr>
                <w:rFonts w:hint="eastAsia"/>
                <w:spacing w:val="-6"/>
                <w:sz w:val="24"/>
                <w:vertAlign w:val="superscript"/>
              </w:rPr>
              <w:t>3</w:t>
            </w:r>
            <w:r>
              <w:rPr>
                <w:rFonts w:hint="eastAsia"/>
                <w:spacing w:val="-6"/>
                <w:sz w:val="24"/>
              </w:rPr>
              <w:t>/d、300m</w:t>
            </w:r>
            <w:r>
              <w:rPr>
                <w:rFonts w:hint="eastAsia"/>
                <w:spacing w:val="-6"/>
                <w:sz w:val="24"/>
                <w:vertAlign w:val="superscript"/>
              </w:rPr>
              <w:t>3</w:t>
            </w:r>
            <w:r>
              <w:rPr>
                <w:rFonts w:hint="eastAsia"/>
                <w:spacing w:val="-6"/>
                <w:sz w:val="24"/>
              </w:rPr>
              <w:t>/a</w:t>
            </w:r>
            <w:r>
              <w:rPr>
                <w:rFonts w:hint="eastAsia"/>
                <w:kern w:val="0"/>
                <w:sz w:val="24"/>
              </w:rPr>
              <w:t>。该部分水全部蒸发损耗或进入产品，不外排。</w:t>
            </w:r>
          </w:p>
          <w:p w14:paraId="1A88D888">
            <w:pPr>
              <w:adjustRightInd w:val="0"/>
              <w:snapToGrid w:val="0"/>
              <w:spacing w:line="360" w:lineRule="auto"/>
              <w:ind w:firstLine="482" w:firstLineChars="200"/>
              <w:rPr>
                <w:b/>
                <w:sz w:val="24"/>
              </w:rPr>
            </w:pPr>
            <w:r>
              <w:rPr>
                <w:rFonts w:hint="eastAsia"/>
                <w:b/>
                <w:sz w:val="24"/>
              </w:rPr>
              <w:t>2、依托集中污水处理厂可行性分析</w:t>
            </w:r>
          </w:p>
          <w:p w14:paraId="3E1E4C39">
            <w:pPr>
              <w:adjustRightInd w:val="0"/>
              <w:snapToGrid w:val="0"/>
              <w:spacing w:line="360" w:lineRule="auto"/>
              <w:ind w:firstLine="480" w:firstLineChars="200"/>
              <w:rPr>
                <w:sz w:val="24"/>
              </w:rPr>
            </w:pPr>
            <w:r>
              <w:rPr>
                <w:rFonts w:hint="eastAsia"/>
                <w:sz w:val="24"/>
              </w:rPr>
              <w:t>（1）</w:t>
            </w:r>
            <w:r>
              <w:rPr>
                <w:sz w:val="24"/>
              </w:rPr>
              <w:t>污水处理厂概况</w:t>
            </w:r>
          </w:p>
          <w:p w14:paraId="7F59F8B5">
            <w:pPr>
              <w:autoSpaceDE w:val="0"/>
              <w:autoSpaceDN w:val="0"/>
              <w:adjustRightInd w:val="0"/>
              <w:spacing w:line="360" w:lineRule="auto"/>
              <w:ind w:firstLine="480" w:firstLineChars="200"/>
              <w:rPr>
                <w:rFonts w:hAnsi="宋体"/>
                <w:bCs/>
                <w:kern w:val="0"/>
                <w:sz w:val="24"/>
              </w:rPr>
            </w:pPr>
            <w:r>
              <w:rPr>
                <w:rFonts w:hint="eastAsia" w:hAnsi="宋体"/>
                <w:bCs/>
                <w:kern w:val="0"/>
                <w:sz w:val="24"/>
              </w:rPr>
              <w:t>衡阳西渡高新区污水处理厂位于西渡镇江山村S315线以南，豆陂村与八一村交界处，服务范围为湖南衡阳西渡高新技术产业园区全部区域和樟树乡S315沿线区域（面积6.35 km</w:t>
            </w:r>
            <w:r>
              <w:rPr>
                <w:rFonts w:hint="eastAsia" w:hAnsi="宋体"/>
                <w:bCs/>
                <w:kern w:val="0"/>
                <w:sz w:val="24"/>
                <w:vertAlign w:val="superscript"/>
              </w:rPr>
              <w:t>2</w:t>
            </w:r>
            <w:r>
              <w:rPr>
                <w:rFonts w:hint="eastAsia" w:hAnsi="宋体"/>
                <w:bCs/>
                <w:kern w:val="0"/>
                <w:sz w:val="24"/>
              </w:rPr>
              <w:t>）。衡阳县城污水处理厂</w:t>
            </w:r>
            <w:r>
              <w:rPr>
                <w:rFonts w:hAnsi="宋体"/>
                <w:bCs/>
                <w:kern w:val="0"/>
                <w:sz w:val="24"/>
              </w:rPr>
              <w:t>的建设规模远期为：4.0万m</w:t>
            </w:r>
            <w:r>
              <w:rPr>
                <w:rFonts w:hAnsi="宋体"/>
                <w:bCs/>
                <w:kern w:val="0"/>
                <w:sz w:val="24"/>
                <w:vertAlign w:val="superscript"/>
              </w:rPr>
              <w:t>3</w:t>
            </w:r>
            <w:r>
              <w:rPr>
                <w:rFonts w:hAnsi="宋体"/>
                <w:bCs/>
                <w:kern w:val="0"/>
                <w:sz w:val="24"/>
              </w:rPr>
              <w:t>/d，近期为：2.0万m</w:t>
            </w:r>
            <w:r>
              <w:rPr>
                <w:rFonts w:hAnsi="宋体"/>
                <w:bCs/>
                <w:kern w:val="0"/>
                <w:sz w:val="24"/>
                <w:vertAlign w:val="superscript"/>
              </w:rPr>
              <w:t>3</w:t>
            </w:r>
            <w:r>
              <w:rPr>
                <w:rFonts w:hAnsi="宋体"/>
                <w:bCs/>
                <w:kern w:val="0"/>
                <w:sz w:val="24"/>
              </w:rPr>
              <w:t>/d</w:t>
            </w:r>
            <w:r>
              <w:rPr>
                <w:rFonts w:hint="eastAsia" w:hAnsi="宋体"/>
                <w:bCs/>
                <w:kern w:val="0"/>
                <w:sz w:val="24"/>
              </w:rPr>
              <w:t>。</w:t>
            </w:r>
            <w:r>
              <w:rPr>
                <w:rFonts w:hAnsi="宋体"/>
                <w:bCs/>
                <w:kern w:val="0"/>
                <w:sz w:val="24"/>
              </w:rPr>
              <w:t>拟采用改良式A</w:t>
            </w:r>
            <w:r>
              <w:rPr>
                <w:rFonts w:hAnsi="宋体"/>
                <w:bCs/>
                <w:kern w:val="0"/>
                <w:sz w:val="24"/>
                <w:vertAlign w:val="superscript"/>
              </w:rPr>
              <w:t>2</w:t>
            </w:r>
            <w:r>
              <w:rPr>
                <w:rFonts w:hAnsi="宋体"/>
                <w:bCs/>
                <w:kern w:val="0"/>
                <w:sz w:val="24"/>
              </w:rPr>
              <w:t>/O二级生化处理工艺，深度处理采用高效沉淀、深床滤</w:t>
            </w:r>
            <w:r>
              <w:rPr>
                <w:rFonts w:hint="eastAsia" w:hAnsi="宋体"/>
                <w:bCs/>
                <w:kern w:val="0"/>
                <w:sz w:val="24"/>
              </w:rPr>
              <w:t>池</w:t>
            </w:r>
            <w:r>
              <w:rPr>
                <w:rFonts w:hAnsi="宋体"/>
                <w:bCs/>
                <w:kern w:val="0"/>
                <w:sz w:val="24"/>
              </w:rPr>
              <w:t>处理工艺方案，污泥处理采用</w:t>
            </w:r>
            <w:r>
              <w:rPr>
                <w:rFonts w:hint="eastAsia" w:hAnsi="宋体"/>
                <w:bCs/>
                <w:kern w:val="0"/>
                <w:sz w:val="24"/>
              </w:rPr>
              <w:t>重力</w:t>
            </w:r>
            <w:r>
              <w:rPr>
                <w:rFonts w:hAnsi="宋体"/>
                <w:bCs/>
                <w:kern w:val="0"/>
                <w:sz w:val="24"/>
              </w:rPr>
              <w:t>浓缩脱水工艺方案。污水经过滤后消毒，</w:t>
            </w:r>
            <w:r>
              <w:rPr>
                <w:rFonts w:hint="eastAsia" w:hAnsi="宋体"/>
                <w:bCs/>
                <w:kern w:val="0"/>
                <w:sz w:val="24"/>
              </w:rPr>
              <w:t>出水水质达《城镇污水处理厂污染物排放标准》（</w:t>
            </w:r>
            <w:r>
              <w:rPr>
                <w:rFonts w:hAnsi="宋体"/>
                <w:bCs/>
                <w:kern w:val="0"/>
                <w:sz w:val="24"/>
              </w:rPr>
              <w:t>GB18918-2002</w:t>
            </w:r>
            <w:r>
              <w:rPr>
                <w:rFonts w:hint="eastAsia" w:hAnsi="宋体"/>
                <w:bCs/>
                <w:kern w:val="0"/>
                <w:sz w:val="24"/>
              </w:rPr>
              <w:t>）一级</w:t>
            </w:r>
            <w:r>
              <w:rPr>
                <w:rFonts w:hAnsi="宋体"/>
                <w:bCs/>
                <w:kern w:val="0"/>
                <w:sz w:val="24"/>
              </w:rPr>
              <w:t>A</w:t>
            </w:r>
            <w:r>
              <w:rPr>
                <w:rFonts w:hint="eastAsia" w:hAnsi="宋体"/>
                <w:bCs/>
                <w:kern w:val="0"/>
                <w:sz w:val="24"/>
              </w:rPr>
              <w:t>标后排入蒸水</w:t>
            </w:r>
            <w:r>
              <w:rPr>
                <w:rFonts w:hAnsi="宋体"/>
                <w:bCs/>
                <w:kern w:val="0"/>
                <w:sz w:val="24"/>
              </w:rPr>
              <w:t>。</w:t>
            </w:r>
            <w:r>
              <w:rPr>
                <w:rFonts w:hint="eastAsia" w:hAnsi="宋体"/>
                <w:bCs/>
                <w:kern w:val="0"/>
                <w:sz w:val="24"/>
              </w:rPr>
              <w:t>衡阳西渡高新区污水处理厂管网已铺设完成，已于2021年下半年正式运营。</w:t>
            </w:r>
          </w:p>
          <w:p w14:paraId="48CBFE74">
            <w:pPr>
              <w:adjustRightInd w:val="0"/>
              <w:snapToGrid w:val="0"/>
              <w:spacing w:line="360" w:lineRule="auto"/>
              <w:ind w:firstLine="480" w:firstLineChars="200"/>
              <w:rPr>
                <w:sz w:val="24"/>
              </w:rPr>
            </w:pPr>
            <w:r>
              <w:rPr>
                <w:rFonts w:hint="eastAsia" w:hAnsi="宋体"/>
                <w:bCs/>
                <w:kern w:val="0"/>
                <w:sz w:val="24"/>
              </w:rPr>
              <w:t>（2）</w:t>
            </w:r>
            <w:r>
              <w:rPr>
                <w:sz w:val="24"/>
              </w:rPr>
              <w:t>接管可行性分析</w:t>
            </w:r>
          </w:p>
          <w:p w14:paraId="4833FCAA">
            <w:pPr>
              <w:adjustRightInd w:val="0"/>
              <w:snapToGrid w:val="0"/>
              <w:spacing w:line="360" w:lineRule="auto"/>
              <w:ind w:firstLine="480" w:firstLineChars="200"/>
              <w:rPr>
                <w:sz w:val="24"/>
              </w:rPr>
            </w:pPr>
            <w:r>
              <w:rPr>
                <w:rFonts w:hint="eastAsia" w:ascii="宋体" w:hAnsi="宋体" w:cs="宋体"/>
                <w:sz w:val="24"/>
              </w:rPr>
              <w:t>①</w:t>
            </w:r>
            <w:r>
              <w:rPr>
                <w:sz w:val="24"/>
              </w:rPr>
              <w:t>水质方面</w:t>
            </w:r>
          </w:p>
          <w:p w14:paraId="6D3BEAF5">
            <w:pPr>
              <w:adjustRightInd w:val="0"/>
              <w:snapToGrid w:val="0"/>
              <w:spacing w:line="360" w:lineRule="auto"/>
              <w:ind w:firstLine="480" w:firstLineChars="200"/>
              <w:rPr>
                <w:sz w:val="24"/>
              </w:rPr>
            </w:pPr>
            <w:r>
              <w:rPr>
                <w:sz w:val="24"/>
              </w:rPr>
              <w:t>本项目外排废水主要污染物为COD、BOD</w:t>
            </w:r>
            <w:r>
              <w:rPr>
                <w:sz w:val="24"/>
                <w:vertAlign w:val="subscript"/>
              </w:rPr>
              <w:t>5</w:t>
            </w:r>
            <w:r>
              <w:rPr>
                <w:sz w:val="24"/>
              </w:rPr>
              <w:t>、氨氮、SS等，没有特殊的污染因子，因此本项目废水排入</w:t>
            </w:r>
            <w:r>
              <w:rPr>
                <w:rFonts w:hint="eastAsia" w:hAnsi="宋体"/>
                <w:bCs/>
                <w:kern w:val="0"/>
                <w:sz w:val="24"/>
              </w:rPr>
              <w:t>衡阳西渡高新区污水处理厂</w:t>
            </w:r>
            <w:r>
              <w:rPr>
                <w:sz w:val="24"/>
              </w:rPr>
              <w:t>后不会对其水质造成冲击，从水质角度接管是可行的。</w:t>
            </w:r>
          </w:p>
          <w:p w14:paraId="259E3069">
            <w:pPr>
              <w:autoSpaceDE w:val="0"/>
              <w:autoSpaceDN w:val="0"/>
              <w:adjustRightInd w:val="0"/>
              <w:spacing w:line="360" w:lineRule="auto"/>
              <w:ind w:firstLine="480" w:firstLineChars="200"/>
              <w:rPr>
                <w:rFonts w:hAnsi="宋体"/>
                <w:bCs/>
                <w:kern w:val="0"/>
                <w:sz w:val="24"/>
              </w:rPr>
            </w:pPr>
            <w:r>
              <w:rPr>
                <w:rFonts w:hint="eastAsia" w:hAnsi="宋体"/>
                <w:bCs/>
                <w:kern w:val="0"/>
                <w:sz w:val="24"/>
              </w:rPr>
              <w:t>②水量方面</w:t>
            </w:r>
          </w:p>
          <w:p w14:paraId="336186F0">
            <w:pPr>
              <w:autoSpaceDE w:val="0"/>
              <w:autoSpaceDN w:val="0"/>
              <w:adjustRightInd w:val="0"/>
              <w:spacing w:line="360" w:lineRule="auto"/>
              <w:ind w:firstLine="480" w:firstLineChars="200"/>
              <w:rPr>
                <w:rFonts w:hAnsi="宋体"/>
                <w:bCs/>
                <w:kern w:val="0"/>
                <w:sz w:val="24"/>
              </w:rPr>
            </w:pPr>
            <w:r>
              <w:rPr>
                <w:rFonts w:hint="eastAsia" w:hAnsi="宋体"/>
                <w:bCs/>
                <w:kern w:val="0"/>
                <w:sz w:val="24"/>
              </w:rPr>
              <w:t>本项目外排废水量为</w:t>
            </w:r>
            <w:r>
              <w:rPr>
                <w:rFonts w:hint="eastAsia" w:hAnsi="宋体"/>
                <w:kern w:val="0"/>
                <w:sz w:val="24"/>
              </w:rPr>
              <w:t>1.01m</w:t>
            </w:r>
            <w:r>
              <w:rPr>
                <w:rFonts w:hint="eastAsia" w:hAnsi="宋体"/>
                <w:kern w:val="0"/>
                <w:sz w:val="24"/>
                <w:vertAlign w:val="superscript"/>
              </w:rPr>
              <w:t>3</w:t>
            </w:r>
            <w:r>
              <w:rPr>
                <w:rFonts w:hint="eastAsia" w:hAnsi="宋体"/>
                <w:kern w:val="0"/>
                <w:sz w:val="24"/>
              </w:rPr>
              <w:t>/d，</w:t>
            </w:r>
            <w:r>
              <w:rPr>
                <w:rFonts w:hint="eastAsia" w:hAnsi="宋体"/>
                <w:bCs/>
                <w:kern w:val="0"/>
                <w:sz w:val="24"/>
              </w:rPr>
              <w:t>仅</w:t>
            </w:r>
            <w:r>
              <w:rPr>
                <w:rFonts w:hint="eastAsia" w:hAnsi="宋体"/>
                <w:kern w:val="0"/>
                <w:sz w:val="24"/>
              </w:rPr>
              <w:t>占污水处理厂日处理量的0.0051%，</w:t>
            </w:r>
            <w:r>
              <w:rPr>
                <w:sz w:val="24"/>
              </w:rPr>
              <w:t>排放水量相对于污水处理厂接管能力来说很小，不会对其水量造成冲击</w:t>
            </w:r>
            <w:r>
              <w:rPr>
                <w:rFonts w:hint="eastAsia" w:hAnsi="宋体"/>
                <w:kern w:val="0"/>
                <w:sz w:val="24"/>
              </w:rPr>
              <w:t>，且污水厂现有剩余处理能力能够接纳本项目污水量</w:t>
            </w:r>
            <w:r>
              <w:rPr>
                <w:sz w:val="24"/>
              </w:rPr>
              <w:t>，从水量角度接管是可行的。</w:t>
            </w:r>
          </w:p>
          <w:p w14:paraId="3FC520B9">
            <w:pPr>
              <w:autoSpaceDE w:val="0"/>
              <w:autoSpaceDN w:val="0"/>
              <w:adjustRightInd w:val="0"/>
              <w:spacing w:line="360" w:lineRule="auto"/>
              <w:ind w:firstLine="480" w:firstLineChars="200"/>
              <w:rPr>
                <w:rFonts w:hAnsi="宋体"/>
                <w:bCs/>
                <w:kern w:val="0"/>
                <w:sz w:val="24"/>
              </w:rPr>
            </w:pPr>
            <w:r>
              <w:rPr>
                <w:rFonts w:hint="eastAsia" w:hAnsi="宋体"/>
                <w:bCs/>
                <w:kern w:val="0"/>
                <w:sz w:val="24"/>
              </w:rPr>
              <w:t>③</w:t>
            </w:r>
            <w:r>
              <w:rPr>
                <w:sz w:val="24"/>
              </w:rPr>
              <w:t>纳管范围</w:t>
            </w:r>
          </w:p>
          <w:p w14:paraId="029DE324">
            <w:pPr>
              <w:autoSpaceDE w:val="0"/>
              <w:autoSpaceDN w:val="0"/>
              <w:adjustRightInd w:val="0"/>
              <w:spacing w:line="360" w:lineRule="auto"/>
              <w:ind w:firstLine="480" w:firstLineChars="200"/>
              <w:rPr>
                <w:rFonts w:hAnsi="宋体"/>
                <w:kern w:val="0"/>
                <w:sz w:val="24"/>
              </w:rPr>
            </w:pPr>
            <w:r>
              <w:rPr>
                <w:rFonts w:hint="eastAsia" w:hAnsi="宋体"/>
                <w:bCs/>
                <w:kern w:val="0"/>
                <w:sz w:val="24"/>
              </w:rPr>
              <w:t>衡阳西渡高新区污水处理厂服务范围为湖南衡阳西渡高新技术产业园区全部区域和樟树乡S315沿线区域（面积6.35 km</w:t>
            </w:r>
            <w:r>
              <w:rPr>
                <w:rFonts w:hint="eastAsia" w:hAnsi="宋体"/>
                <w:bCs/>
                <w:kern w:val="0"/>
                <w:sz w:val="24"/>
                <w:vertAlign w:val="superscript"/>
              </w:rPr>
              <w:t>2</w:t>
            </w:r>
            <w:r>
              <w:rPr>
                <w:rFonts w:hint="eastAsia" w:hAnsi="宋体"/>
                <w:bCs/>
                <w:kern w:val="0"/>
                <w:sz w:val="24"/>
              </w:rPr>
              <w:t>），</w:t>
            </w:r>
            <w:r>
              <w:rPr>
                <w:sz w:val="24"/>
              </w:rPr>
              <w:t>本项目位于</w:t>
            </w:r>
            <w:r>
              <w:rPr>
                <w:rFonts w:hint="eastAsia"/>
                <w:sz w:val="24"/>
                <w:szCs w:val="28"/>
              </w:rPr>
              <w:t>衡阳县西渡镇大勇村</w:t>
            </w:r>
            <w:r>
              <w:rPr>
                <w:sz w:val="24"/>
              </w:rPr>
              <w:t>，在</w:t>
            </w:r>
            <w:r>
              <w:rPr>
                <w:rFonts w:hint="eastAsia" w:hAnsi="宋体"/>
                <w:bCs/>
                <w:kern w:val="0"/>
                <w:sz w:val="24"/>
              </w:rPr>
              <w:t>衡阳西渡高新区污水处理厂</w:t>
            </w:r>
            <w:r>
              <w:rPr>
                <w:sz w:val="24"/>
              </w:rPr>
              <w:t>污水管网规划范围内，根据现场调查。项目周边污水管网已铺设完成，因此废水能够通过市政污水管网进入</w:t>
            </w:r>
            <w:r>
              <w:rPr>
                <w:rFonts w:hint="eastAsia" w:hAnsi="宋体"/>
                <w:bCs/>
                <w:kern w:val="0"/>
                <w:sz w:val="24"/>
              </w:rPr>
              <w:t>衡阳西渡高新区污水处理厂。</w:t>
            </w:r>
          </w:p>
          <w:p w14:paraId="3964AE84">
            <w:pPr>
              <w:adjustRightInd w:val="0"/>
              <w:snapToGrid w:val="0"/>
              <w:spacing w:line="360" w:lineRule="auto"/>
              <w:ind w:firstLine="480" w:firstLineChars="200"/>
              <w:rPr>
                <w:b/>
                <w:sz w:val="24"/>
              </w:rPr>
            </w:pPr>
            <w:r>
              <w:rPr>
                <w:rFonts w:hAnsi="宋体"/>
                <w:bCs/>
                <w:kern w:val="0"/>
                <w:sz w:val="24"/>
              </w:rPr>
              <w:t>综上所述，</w:t>
            </w:r>
            <w:r>
              <w:rPr>
                <w:sz w:val="24"/>
              </w:rPr>
              <w:t>本项目废水外排去向可行。项目废水量很小，进入</w:t>
            </w:r>
            <w:r>
              <w:rPr>
                <w:rFonts w:hint="eastAsia" w:hAnsi="宋体"/>
                <w:bCs/>
                <w:kern w:val="0"/>
                <w:sz w:val="24"/>
              </w:rPr>
              <w:t>衡阳西渡高新区污水处理厂</w:t>
            </w:r>
            <w:r>
              <w:rPr>
                <w:sz w:val="24"/>
              </w:rPr>
              <w:t>深度处理达标后，对地表水体不会造成不利影响</w:t>
            </w:r>
            <w:r>
              <w:rPr>
                <w:rFonts w:hint="eastAsia" w:ascii="宋体" w:cs="宋体"/>
                <w:kern w:val="0"/>
                <w:sz w:val="24"/>
              </w:rPr>
              <w:t>。</w:t>
            </w:r>
          </w:p>
          <w:p w14:paraId="1C19A98A">
            <w:pPr>
              <w:tabs>
                <w:tab w:val="left" w:pos="8580"/>
              </w:tabs>
              <w:adjustRightInd w:val="0"/>
              <w:snapToGrid w:val="0"/>
              <w:spacing w:line="360" w:lineRule="auto"/>
              <w:ind w:firstLine="482" w:firstLineChars="200"/>
              <w:rPr>
                <w:b/>
                <w:bCs/>
                <w:sz w:val="24"/>
              </w:rPr>
            </w:pPr>
            <w:r>
              <w:rPr>
                <w:b/>
                <w:bCs/>
                <w:sz w:val="24"/>
              </w:rPr>
              <w:t>3、排放口情况</w:t>
            </w:r>
          </w:p>
          <w:p w14:paraId="157A65AF">
            <w:pPr>
              <w:spacing w:before="120" w:beforeLines="50"/>
              <w:jc w:val="center"/>
              <w:rPr>
                <w:b/>
                <w:bCs/>
                <w:szCs w:val="21"/>
              </w:rPr>
            </w:pPr>
            <w:r>
              <w:rPr>
                <w:b/>
                <w:bCs/>
                <w:szCs w:val="21"/>
              </w:rPr>
              <w:t>表4-</w:t>
            </w:r>
            <w:r>
              <w:rPr>
                <w:rFonts w:hint="eastAsia"/>
                <w:b/>
                <w:bCs/>
                <w:szCs w:val="21"/>
              </w:rPr>
              <w:t>7</w:t>
            </w:r>
            <w:r>
              <w:rPr>
                <w:b/>
                <w:bCs/>
                <w:szCs w:val="21"/>
              </w:rPr>
              <w:t xml:space="preserve">  废水类别、污染物及污染治理设施信息表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41"/>
              <w:gridCol w:w="1280"/>
              <w:gridCol w:w="1927"/>
              <w:gridCol w:w="1345"/>
              <w:gridCol w:w="1345"/>
              <w:gridCol w:w="1345"/>
              <w:gridCol w:w="1338"/>
            </w:tblGrid>
            <w:tr w14:paraId="7BCCBC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46" w:type="pct"/>
                  <w:vAlign w:val="center"/>
                </w:tcPr>
                <w:p w14:paraId="272CD257">
                  <w:pPr>
                    <w:adjustRightInd w:val="0"/>
                    <w:snapToGrid w:val="0"/>
                    <w:jc w:val="center"/>
                    <w:rPr>
                      <w:b/>
                      <w:bCs/>
                      <w:szCs w:val="21"/>
                    </w:rPr>
                  </w:pPr>
                  <w:r>
                    <w:rPr>
                      <w:b/>
                      <w:bCs/>
                      <w:szCs w:val="21"/>
                    </w:rPr>
                    <w:t>废水类别</w:t>
                  </w:r>
                </w:p>
              </w:tc>
              <w:tc>
                <w:tcPr>
                  <w:tcW w:w="679" w:type="pct"/>
                  <w:shd w:val="clear" w:color="auto" w:fill="auto"/>
                  <w:vAlign w:val="center"/>
                </w:tcPr>
                <w:p w14:paraId="3911ECEC">
                  <w:pPr>
                    <w:adjustRightInd w:val="0"/>
                    <w:snapToGrid w:val="0"/>
                    <w:jc w:val="center"/>
                    <w:rPr>
                      <w:b/>
                      <w:bCs/>
                      <w:szCs w:val="21"/>
                    </w:rPr>
                  </w:pPr>
                  <w:r>
                    <w:rPr>
                      <w:b/>
                      <w:bCs/>
                      <w:szCs w:val="21"/>
                    </w:rPr>
                    <w:t>污染物种类</w:t>
                  </w:r>
                </w:p>
              </w:tc>
              <w:tc>
                <w:tcPr>
                  <w:tcW w:w="1022" w:type="pct"/>
                  <w:shd w:val="clear" w:color="auto" w:fill="auto"/>
                  <w:vAlign w:val="center"/>
                </w:tcPr>
                <w:p w14:paraId="3158AABE">
                  <w:pPr>
                    <w:adjustRightInd w:val="0"/>
                    <w:snapToGrid w:val="0"/>
                    <w:jc w:val="center"/>
                    <w:rPr>
                      <w:b/>
                      <w:bCs/>
                      <w:szCs w:val="21"/>
                    </w:rPr>
                  </w:pPr>
                  <w:r>
                    <w:rPr>
                      <w:b/>
                      <w:bCs/>
                      <w:szCs w:val="21"/>
                    </w:rPr>
                    <w:t>排放规律</w:t>
                  </w:r>
                </w:p>
              </w:tc>
              <w:tc>
                <w:tcPr>
                  <w:tcW w:w="714" w:type="pct"/>
                  <w:shd w:val="clear" w:color="auto" w:fill="auto"/>
                  <w:vAlign w:val="center"/>
                </w:tcPr>
                <w:p w14:paraId="4BE6DFA1">
                  <w:pPr>
                    <w:adjustRightInd w:val="0"/>
                    <w:snapToGrid w:val="0"/>
                    <w:jc w:val="center"/>
                    <w:rPr>
                      <w:b/>
                      <w:bCs/>
                      <w:szCs w:val="21"/>
                    </w:rPr>
                  </w:pPr>
                  <w:r>
                    <w:rPr>
                      <w:b/>
                      <w:bCs/>
                      <w:szCs w:val="21"/>
                    </w:rPr>
                    <w:t>污染治理设施</w:t>
                  </w:r>
                </w:p>
              </w:tc>
              <w:tc>
                <w:tcPr>
                  <w:tcW w:w="714" w:type="pct"/>
                  <w:vAlign w:val="center"/>
                </w:tcPr>
                <w:p w14:paraId="6BB1558A">
                  <w:pPr>
                    <w:adjustRightInd w:val="0"/>
                    <w:snapToGrid w:val="0"/>
                    <w:jc w:val="center"/>
                    <w:rPr>
                      <w:b/>
                      <w:bCs/>
                      <w:szCs w:val="21"/>
                    </w:rPr>
                  </w:pPr>
                  <w:r>
                    <w:rPr>
                      <w:b/>
                      <w:bCs/>
                      <w:szCs w:val="21"/>
                    </w:rPr>
                    <w:t>排放口编号</w:t>
                  </w:r>
                </w:p>
              </w:tc>
              <w:tc>
                <w:tcPr>
                  <w:tcW w:w="714" w:type="pct"/>
                  <w:vAlign w:val="center"/>
                </w:tcPr>
                <w:p w14:paraId="3E6A3B2E">
                  <w:pPr>
                    <w:adjustRightInd w:val="0"/>
                    <w:snapToGrid w:val="0"/>
                    <w:jc w:val="center"/>
                    <w:rPr>
                      <w:b/>
                      <w:bCs/>
                      <w:szCs w:val="21"/>
                    </w:rPr>
                  </w:pPr>
                  <w:r>
                    <w:rPr>
                      <w:b/>
                      <w:bCs/>
                      <w:szCs w:val="21"/>
                    </w:rPr>
                    <w:t>排放口是否符合要求</w:t>
                  </w:r>
                </w:p>
              </w:tc>
              <w:tc>
                <w:tcPr>
                  <w:tcW w:w="710" w:type="pct"/>
                  <w:vAlign w:val="center"/>
                </w:tcPr>
                <w:p w14:paraId="1A10AC47">
                  <w:pPr>
                    <w:adjustRightInd w:val="0"/>
                    <w:snapToGrid w:val="0"/>
                    <w:jc w:val="center"/>
                    <w:rPr>
                      <w:b/>
                      <w:bCs/>
                      <w:szCs w:val="21"/>
                    </w:rPr>
                  </w:pPr>
                  <w:r>
                    <w:rPr>
                      <w:b/>
                      <w:bCs/>
                      <w:szCs w:val="21"/>
                    </w:rPr>
                    <w:t>排放口类型</w:t>
                  </w:r>
                </w:p>
              </w:tc>
            </w:tr>
            <w:tr w14:paraId="5C9022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46" w:type="pct"/>
                  <w:vAlign w:val="center"/>
                </w:tcPr>
                <w:p w14:paraId="666B8558">
                  <w:pPr>
                    <w:adjustRightInd w:val="0"/>
                    <w:snapToGrid w:val="0"/>
                    <w:jc w:val="center"/>
                    <w:rPr>
                      <w:szCs w:val="21"/>
                    </w:rPr>
                  </w:pPr>
                  <w:r>
                    <w:rPr>
                      <w:rFonts w:hint="eastAsia"/>
                      <w:szCs w:val="21"/>
                    </w:rPr>
                    <w:t>生活</w:t>
                  </w:r>
                  <w:r>
                    <w:rPr>
                      <w:szCs w:val="21"/>
                    </w:rPr>
                    <w:t>污水</w:t>
                  </w:r>
                </w:p>
              </w:tc>
              <w:tc>
                <w:tcPr>
                  <w:tcW w:w="679" w:type="pct"/>
                  <w:shd w:val="clear" w:color="auto" w:fill="auto"/>
                  <w:vAlign w:val="center"/>
                </w:tcPr>
                <w:p w14:paraId="3E0292D0">
                  <w:pPr>
                    <w:adjustRightInd w:val="0"/>
                    <w:snapToGrid w:val="0"/>
                    <w:jc w:val="center"/>
                    <w:rPr>
                      <w:szCs w:val="21"/>
                    </w:rPr>
                  </w:pPr>
                  <w:r>
                    <w:rPr>
                      <w:szCs w:val="21"/>
                    </w:rPr>
                    <w:t>COD</w:t>
                  </w:r>
                </w:p>
                <w:p w14:paraId="670640F1">
                  <w:pPr>
                    <w:adjustRightInd w:val="0"/>
                    <w:snapToGrid w:val="0"/>
                    <w:jc w:val="center"/>
                    <w:rPr>
                      <w:szCs w:val="21"/>
                    </w:rPr>
                  </w:pPr>
                  <w:r>
                    <w:rPr>
                      <w:szCs w:val="21"/>
                    </w:rPr>
                    <w:t>BOD</w:t>
                  </w:r>
                  <w:r>
                    <w:rPr>
                      <w:szCs w:val="21"/>
                      <w:vertAlign w:val="subscript"/>
                    </w:rPr>
                    <w:t>5</w:t>
                  </w:r>
                </w:p>
                <w:p w14:paraId="4E19D836">
                  <w:pPr>
                    <w:adjustRightInd w:val="0"/>
                    <w:snapToGrid w:val="0"/>
                    <w:jc w:val="center"/>
                    <w:rPr>
                      <w:szCs w:val="21"/>
                    </w:rPr>
                  </w:pPr>
                  <w:r>
                    <w:rPr>
                      <w:szCs w:val="21"/>
                    </w:rPr>
                    <w:t>NH</w:t>
                  </w:r>
                  <w:r>
                    <w:rPr>
                      <w:szCs w:val="21"/>
                      <w:vertAlign w:val="subscript"/>
                    </w:rPr>
                    <w:t>3</w:t>
                  </w:r>
                  <w:r>
                    <w:rPr>
                      <w:szCs w:val="21"/>
                    </w:rPr>
                    <w:t>-N</w:t>
                  </w:r>
                </w:p>
                <w:p w14:paraId="3F53E61A">
                  <w:pPr>
                    <w:adjustRightInd w:val="0"/>
                    <w:snapToGrid w:val="0"/>
                    <w:jc w:val="center"/>
                    <w:rPr>
                      <w:szCs w:val="21"/>
                    </w:rPr>
                  </w:pPr>
                  <w:r>
                    <w:rPr>
                      <w:szCs w:val="21"/>
                    </w:rPr>
                    <w:t>SS</w:t>
                  </w:r>
                </w:p>
              </w:tc>
              <w:tc>
                <w:tcPr>
                  <w:tcW w:w="1022" w:type="pct"/>
                  <w:shd w:val="clear" w:color="auto" w:fill="auto"/>
                  <w:vAlign w:val="center"/>
                </w:tcPr>
                <w:p w14:paraId="7791D7CC">
                  <w:pPr>
                    <w:adjustRightInd w:val="0"/>
                    <w:snapToGrid w:val="0"/>
                    <w:jc w:val="center"/>
                    <w:rPr>
                      <w:szCs w:val="21"/>
                    </w:rPr>
                  </w:pPr>
                  <w:r>
                    <w:rPr>
                      <w:szCs w:val="21"/>
                    </w:rPr>
                    <w:t>间断排放，排放期间流量不稳定且无规律，但不属于冲击型排放</w:t>
                  </w:r>
                </w:p>
              </w:tc>
              <w:tc>
                <w:tcPr>
                  <w:tcW w:w="714" w:type="pct"/>
                  <w:shd w:val="clear" w:color="auto" w:fill="auto"/>
                  <w:vAlign w:val="center"/>
                </w:tcPr>
                <w:p w14:paraId="7AA63F54">
                  <w:pPr>
                    <w:adjustRightInd w:val="0"/>
                    <w:snapToGrid w:val="0"/>
                    <w:jc w:val="center"/>
                    <w:rPr>
                      <w:szCs w:val="21"/>
                    </w:rPr>
                  </w:pPr>
                  <w:r>
                    <w:rPr>
                      <w:szCs w:val="21"/>
                    </w:rPr>
                    <w:t>化粪池</w:t>
                  </w:r>
                </w:p>
              </w:tc>
              <w:tc>
                <w:tcPr>
                  <w:tcW w:w="714" w:type="pct"/>
                  <w:vAlign w:val="center"/>
                </w:tcPr>
                <w:p w14:paraId="360F8841">
                  <w:pPr>
                    <w:adjustRightInd w:val="0"/>
                    <w:snapToGrid w:val="0"/>
                    <w:jc w:val="center"/>
                    <w:rPr>
                      <w:szCs w:val="21"/>
                    </w:rPr>
                  </w:pPr>
                  <w:r>
                    <w:rPr>
                      <w:szCs w:val="21"/>
                    </w:rPr>
                    <w:t>DW001</w:t>
                  </w:r>
                </w:p>
              </w:tc>
              <w:tc>
                <w:tcPr>
                  <w:tcW w:w="714" w:type="pct"/>
                  <w:vAlign w:val="center"/>
                </w:tcPr>
                <w:p w14:paraId="7A059463">
                  <w:pPr>
                    <w:adjustRightInd w:val="0"/>
                    <w:snapToGrid w:val="0"/>
                    <w:jc w:val="center"/>
                    <w:rPr>
                      <w:szCs w:val="21"/>
                    </w:rPr>
                  </w:pPr>
                  <w:r>
                    <w:rPr>
                      <w:szCs w:val="21"/>
                    </w:rPr>
                    <w:t>是</w:t>
                  </w:r>
                </w:p>
              </w:tc>
              <w:tc>
                <w:tcPr>
                  <w:tcW w:w="710" w:type="pct"/>
                  <w:vAlign w:val="center"/>
                </w:tcPr>
                <w:p w14:paraId="6A3C5F91">
                  <w:pPr>
                    <w:adjustRightInd w:val="0"/>
                    <w:snapToGrid w:val="0"/>
                    <w:jc w:val="center"/>
                    <w:rPr>
                      <w:szCs w:val="21"/>
                    </w:rPr>
                  </w:pPr>
                  <w:r>
                    <w:rPr>
                      <w:szCs w:val="21"/>
                    </w:rPr>
                    <w:t>一般排放口</w:t>
                  </w:r>
                </w:p>
              </w:tc>
            </w:tr>
          </w:tbl>
          <w:p w14:paraId="17D10DBC">
            <w:pPr>
              <w:spacing w:before="120" w:beforeLines="50"/>
              <w:jc w:val="center"/>
              <w:rPr>
                <w:b/>
                <w:bCs/>
                <w:szCs w:val="21"/>
              </w:rPr>
            </w:pPr>
            <w:r>
              <w:rPr>
                <w:b/>
                <w:bCs/>
                <w:szCs w:val="21"/>
              </w:rPr>
              <w:t>表4-</w:t>
            </w:r>
            <w:r>
              <w:rPr>
                <w:rFonts w:hint="eastAsia"/>
                <w:b/>
                <w:bCs/>
                <w:szCs w:val="21"/>
              </w:rPr>
              <w:t>8</w:t>
            </w:r>
            <w:r>
              <w:rPr>
                <w:b/>
                <w:bCs/>
                <w:szCs w:val="21"/>
              </w:rPr>
              <w:t xml:space="preserve">  废水排放口基本情况表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87"/>
              <w:gridCol w:w="1657"/>
              <w:gridCol w:w="1118"/>
              <w:gridCol w:w="1117"/>
              <w:gridCol w:w="1117"/>
              <w:gridCol w:w="1119"/>
              <w:gridCol w:w="1119"/>
              <w:gridCol w:w="1287"/>
            </w:tblGrid>
            <w:tr w14:paraId="5AB205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70" w:type="pct"/>
                  <w:vAlign w:val="center"/>
                </w:tcPr>
                <w:p w14:paraId="5098292C">
                  <w:pPr>
                    <w:adjustRightInd w:val="0"/>
                    <w:snapToGrid w:val="0"/>
                    <w:jc w:val="center"/>
                    <w:rPr>
                      <w:b/>
                      <w:bCs/>
                      <w:szCs w:val="21"/>
                    </w:rPr>
                  </w:pPr>
                  <w:r>
                    <w:rPr>
                      <w:b/>
                      <w:bCs/>
                      <w:szCs w:val="21"/>
                    </w:rPr>
                    <w:t>排放口编号</w:t>
                  </w:r>
                </w:p>
              </w:tc>
              <w:tc>
                <w:tcPr>
                  <w:tcW w:w="879" w:type="pct"/>
                  <w:vAlign w:val="center"/>
                </w:tcPr>
                <w:p w14:paraId="25FF5634">
                  <w:pPr>
                    <w:adjustRightInd w:val="0"/>
                    <w:snapToGrid w:val="0"/>
                    <w:jc w:val="center"/>
                    <w:rPr>
                      <w:b/>
                      <w:bCs/>
                      <w:szCs w:val="21"/>
                    </w:rPr>
                  </w:pPr>
                  <w:r>
                    <w:rPr>
                      <w:b/>
                      <w:bCs/>
                      <w:szCs w:val="21"/>
                    </w:rPr>
                    <w:t>排放口地理坐标</w:t>
                  </w:r>
                </w:p>
              </w:tc>
              <w:tc>
                <w:tcPr>
                  <w:tcW w:w="593" w:type="pct"/>
                  <w:shd w:val="clear" w:color="auto" w:fill="auto"/>
                  <w:vAlign w:val="center"/>
                </w:tcPr>
                <w:p w14:paraId="68548C30">
                  <w:pPr>
                    <w:adjustRightInd w:val="0"/>
                    <w:snapToGrid w:val="0"/>
                    <w:jc w:val="center"/>
                    <w:rPr>
                      <w:b/>
                      <w:bCs/>
                      <w:szCs w:val="21"/>
                    </w:rPr>
                  </w:pPr>
                  <w:r>
                    <w:rPr>
                      <w:b/>
                      <w:bCs/>
                      <w:szCs w:val="21"/>
                    </w:rPr>
                    <w:t>废水排放量（t/a）</w:t>
                  </w:r>
                </w:p>
              </w:tc>
              <w:tc>
                <w:tcPr>
                  <w:tcW w:w="593" w:type="pct"/>
                  <w:shd w:val="clear" w:color="auto" w:fill="auto"/>
                  <w:vAlign w:val="center"/>
                </w:tcPr>
                <w:p w14:paraId="2C4944B5">
                  <w:pPr>
                    <w:adjustRightInd w:val="0"/>
                    <w:snapToGrid w:val="0"/>
                    <w:jc w:val="center"/>
                    <w:rPr>
                      <w:b/>
                      <w:bCs/>
                      <w:szCs w:val="21"/>
                    </w:rPr>
                  </w:pPr>
                  <w:r>
                    <w:rPr>
                      <w:b/>
                      <w:bCs/>
                      <w:szCs w:val="21"/>
                    </w:rPr>
                    <w:t>排放方式</w:t>
                  </w:r>
                </w:p>
              </w:tc>
              <w:tc>
                <w:tcPr>
                  <w:tcW w:w="593" w:type="pct"/>
                  <w:shd w:val="clear" w:color="auto" w:fill="auto"/>
                  <w:vAlign w:val="center"/>
                </w:tcPr>
                <w:p w14:paraId="26A04115">
                  <w:pPr>
                    <w:adjustRightInd w:val="0"/>
                    <w:snapToGrid w:val="0"/>
                    <w:jc w:val="center"/>
                    <w:rPr>
                      <w:b/>
                      <w:bCs/>
                      <w:szCs w:val="21"/>
                    </w:rPr>
                  </w:pPr>
                  <w:r>
                    <w:rPr>
                      <w:b/>
                      <w:bCs/>
                      <w:szCs w:val="21"/>
                    </w:rPr>
                    <w:t>排放去向</w:t>
                  </w:r>
                </w:p>
              </w:tc>
              <w:tc>
                <w:tcPr>
                  <w:tcW w:w="1871" w:type="pct"/>
                  <w:gridSpan w:val="3"/>
                  <w:vAlign w:val="center"/>
                </w:tcPr>
                <w:p w14:paraId="25206E3F">
                  <w:pPr>
                    <w:adjustRightInd w:val="0"/>
                    <w:snapToGrid w:val="0"/>
                    <w:jc w:val="center"/>
                    <w:rPr>
                      <w:b/>
                      <w:bCs/>
                      <w:szCs w:val="21"/>
                    </w:rPr>
                  </w:pPr>
                  <w:r>
                    <w:rPr>
                      <w:b/>
                      <w:bCs/>
                      <w:szCs w:val="21"/>
                    </w:rPr>
                    <w:t>受纳污水处理厂/水体名称</w:t>
                  </w:r>
                </w:p>
              </w:tc>
            </w:tr>
            <w:tr w14:paraId="1B0771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70" w:type="pct"/>
                  <w:vMerge w:val="restart"/>
                  <w:vAlign w:val="center"/>
                </w:tcPr>
                <w:p w14:paraId="1BD6004C">
                  <w:pPr>
                    <w:adjustRightInd w:val="0"/>
                    <w:snapToGrid w:val="0"/>
                    <w:jc w:val="center"/>
                    <w:rPr>
                      <w:szCs w:val="21"/>
                    </w:rPr>
                  </w:pPr>
                  <w:r>
                    <w:rPr>
                      <w:szCs w:val="21"/>
                    </w:rPr>
                    <w:t>DW001</w:t>
                  </w:r>
                </w:p>
              </w:tc>
              <w:tc>
                <w:tcPr>
                  <w:tcW w:w="879" w:type="pct"/>
                  <w:vMerge w:val="restart"/>
                  <w:vAlign w:val="center"/>
                </w:tcPr>
                <w:p w14:paraId="40BFE2F9">
                  <w:pPr>
                    <w:adjustRightInd w:val="0"/>
                    <w:snapToGrid w:val="0"/>
                    <w:jc w:val="center"/>
                    <w:rPr>
                      <w:szCs w:val="21"/>
                    </w:rPr>
                  </w:pPr>
                  <w:r>
                    <w:rPr>
                      <w:szCs w:val="21"/>
                    </w:rPr>
                    <w:t>E 112.</w:t>
                  </w:r>
                  <w:r>
                    <w:rPr>
                      <w:rFonts w:hint="eastAsia"/>
                      <w:szCs w:val="21"/>
                    </w:rPr>
                    <w:t>260572</w:t>
                  </w:r>
                </w:p>
                <w:p w14:paraId="4FADB018">
                  <w:pPr>
                    <w:adjustRightInd w:val="0"/>
                    <w:snapToGrid w:val="0"/>
                    <w:jc w:val="center"/>
                    <w:rPr>
                      <w:szCs w:val="21"/>
                    </w:rPr>
                  </w:pPr>
                  <w:r>
                    <w:rPr>
                      <w:szCs w:val="21"/>
                    </w:rPr>
                    <w:t>N 26.</w:t>
                  </w:r>
                  <w:r>
                    <w:rPr>
                      <w:rFonts w:hint="eastAsia"/>
                      <w:szCs w:val="21"/>
                    </w:rPr>
                    <w:t>560165</w:t>
                  </w:r>
                </w:p>
              </w:tc>
              <w:tc>
                <w:tcPr>
                  <w:tcW w:w="593" w:type="pct"/>
                  <w:vMerge w:val="restart"/>
                  <w:shd w:val="clear" w:color="auto" w:fill="auto"/>
                  <w:vAlign w:val="center"/>
                </w:tcPr>
                <w:p w14:paraId="7C4666DD">
                  <w:pPr>
                    <w:adjustRightInd w:val="0"/>
                    <w:snapToGrid w:val="0"/>
                    <w:jc w:val="center"/>
                    <w:rPr>
                      <w:szCs w:val="21"/>
                    </w:rPr>
                  </w:pPr>
                  <w:r>
                    <w:rPr>
                      <w:rFonts w:hint="eastAsia"/>
                      <w:szCs w:val="21"/>
                    </w:rPr>
                    <w:t>304</w:t>
                  </w:r>
                </w:p>
              </w:tc>
              <w:tc>
                <w:tcPr>
                  <w:tcW w:w="593" w:type="pct"/>
                  <w:vMerge w:val="restart"/>
                  <w:shd w:val="clear" w:color="auto" w:fill="auto"/>
                  <w:vAlign w:val="center"/>
                </w:tcPr>
                <w:p w14:paraId="69BC213B">
                  <w:pPr>
                    <w:adjustRightInd w:val="0"/>
                    <w:snapToGrid w:val="0"/>
                    <w:jc w:val="center"/>
                    <w:rPr>
                      <w:szCs w:val="21"/>
                    </w:rPr>
                  </w:pPr>
                  <w:r>
                    <w:rPr>
                      <w:szCs w:val="21"/>
                    </w:rPr>
                    <w:t>间接排放</w:t>
                  </w:r>
                </w:p>
              </w:tc>
              <w:tc>
                <w:tcPr>
                  <w:tcW w:w="593" w:type="pct"/>
                  <w:vMerge w:val="restart"/>
                  <w:shd w:val="clear" w:color="auto" w:fill="auto"/>
                  <w:vAlign w:val="center"/>
                </w:tcPr>
                <w:p w14:paraId="1A2F353F">
                  <w:pPr>
                    <w:adjustRightInd w:val="0"/>
                    <w:snapToGrid w:val="0"/>
                    <w:jc w:val="center"/>
                    <w:rPr>
                      <w:szCs w:val="21"/>
                    </w:rPr>
                  </w:pPr>
                  <w:r>
                    <w:rPr>
                      <w:szCs w:val="21"/>
                    </w:rPr>
                    <w:t>市政污水管网</w:t>
                  </w:r>
                </w:p>
              </w:tc>
              <w:tc>
                <w:tcPr>
                  <w:tcW w:w="594" w:type="pct"/>
                  <w:vMerge w:val="restart"/>
                  <w:vAlign w:val="center"/>
                </w:tcPr>
                <w:p w14:paraId="5E531486">
                  <w:pPr>
                    <w:adjustRightInd w:val="0"/>
                    <w:snapToGrid w:val="0"/>
                    <w:jc w:val="center"/>
                    <w:rPr>
                      <w:szCs w:val="21"/>
                    </w:rPr>
                  </w:pPr>
                  <w:r>
                    <w:rPr>
                      <w:rFonts w:hint="eastAsia"/>
                      <w:szCs w:val="21"/>
                    </w:rPr>
                    <w:t>衡阳西渡高新区污水处理厂</w:t>
                  </w:r>
                </w:p>
              </w:tc>
              <w:tc>
                <w:tcPr>
                  <w:tcW w:w="594" w:type="pct"/>
                  <w:vAlign w:val="center"/>
                </w:tcPr>
                <w:p w14:paraId="51D08024">
                  <w:pPr>
                    <w:adjustRightInd w:val="0"/>
                    <w:snapToGrid w:val="0"/>
                    <w:jc w:val="center"/>
                    <w:rPr>
                      <w:szCs w:val="21"/>
                    </w:rPr>
                  </w:pPr>
                  <w:r>
                    <w:rPr>
                      <w:szCs w:val="21"/>
                    </w:rPr>
                    <w:t>COD</w:t>
                  </w:r>
                </w:p>
              </w:tc>
              <w:tc>
                <w:tcPr>
                  <w:tcW w:w="683" w:type="pct"/>
                  <w:vAlign w:val="center"/>
                </w:tcPr>
                <w:p w14:paraId="599D9E0C">
                  <w:pPr>
                    <w:adjustRightInd w:val="0"/>
                    <w:snapToGrid w:val="0"/>
                    <w:jc w:val="center"/>
                    <w:rPr>
                      <w:szCs w:val="21"/>
                    </w:rPr>
                  </w:pPr>
                  <w:r>
                    <w:rPr>
                      <w:szCs w:val="21"/>
                    </w:rPr>
                    <w:t>50mg/L</w:t>
                  </w:r>
                </w:p>
              </w:tc>
            </w:tr>
            <w:tr w14:paraId="690270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70" w:type="pct"/>
                  <w:vMerge w:val="continue"/>
                  <w:vAlign w:val="center"/>
                </w:tcPr>
                <w:p w14:paraId="7B47C0C3">
                  <w:pPr>
                    <w:adjustRightInd w:val="0"/>
                    <w:snapToGrid w:val="0"/>
                    <w:jc w:val="center"/>
                    <w:rPr>
                      <w:szCs w:val="21"/>
                    </w:rPr>
                  </w:pPr>
                </w:p>
              </w:tc>
              <w:tc>
                <w:tcPr>
                  <w:tcW w:w="879" w:type="pct"/>
                  <w:vMerge w:val="continue"/>
                  <w:vAlign w:val="center"/>
                </w:tcPr>
                <w:p w14:paraId="4251DA51">
                  <w:pPr>
                    <w:adjustRightInd w:val="0"/>
                    <w:snapToGrid w:val="0"/>
                    <w:jc w:val="center"/>
                    <w:rPr>
                      <w:szCs w:val="21"/>
                    </w:rPr>
                  </w:pPr>
                </w:p>
              </w:tc>
              <w:tc>
                <w:tcPr>
                  <w:tcW w:w="593" w:type="pct"/>
                  <w:vMerge w:val="continue"/>
                  <w:shd w:val="clear" w:color="auto" w:fill="auto"/>
                  <w:vAlign w:val="center"/>
                </w:tcPr>
                <w:p w14:paraId="5F4CDFAC">
                  <w:pPr>
                    <w:adjustRightInd w:val="0"/>
                    <w:snapToGrid w:val="0"/>
                    <w:jc w:val="center"/>
                    <w:rPr>
                      <w:szCs w:val="21"/>
                    </w:rPr>
                  </w:pPr>
                </w:p>
              </w:tc>
              <w:tc>
                <w:tcPr>
                  <w:tcW w:w="593" w:type="pct"/>
                  <w:vMerge w:val="continue"/>
                  <w:shd w:val="clear" w:color="auto" w:fill="auto"/>
                  <w:vAlign w:val="center"/>
                </w:tcPr>
                <w:p w14:paraId="3DC72A15">
                  <w:pPr>
                    <w:adjustRightInd w:val="0"/>
                    <w:snapToGrid w:val="0"/>
                    <w:jc w:val="center"/>
                    <w:rPr>
                      <w:szCs w:val="21"/>
                    </w:rPr>
                  </w:pPr>
                </w:p>
              </w:tc>
              <w:tc>
                <w:tcPr>
                  <w:tcW w:w="593" w:type="pct"/>
                  <w:vMerge w:val="continue"/>
                  <w:shd w:val="clear" w:color="auto" w:fill="auto"/>
                  <w:vAlign w:val="center"/>
                </w:tcPr>
                <w:p w14:paraId="020CE2BB">
                  <w:pPr>
                    <w:adjustRightInd w:val="0"/>
                    <w:snapToGrid w:val="0"/>
                    <w:jc w:val="center"/>
                    <w:rPr>
                      <w:szCs w:val="21"/>
                    </w:rPr>
                  </w:pPr>
                </w:p>
              </w:tc>
              <w:tc>
                <w:tcPr>
                  <w:tcW w:w="594" w:type="pct"/>
                  <w:vMerge w:val="continue"/>
                  <w:vAlign w:val="center"/>
                </w:tcPr>
                <w:p w14:paraId="333BDEC4">
                  <w:pPr>
                    <w:adjustRightInd w:val="0"/>
                    <w:snapToGrid w:val="0"/>
                    <w:jc w:val="center"/>
                    <w:rPr>
                      <w:szCs w:val="21"/>
                    </w:rPr>
                  </w:pPr>
                </w:p>
              </w:tc>
              <w:tc>
                <w:tcPr>
                  <w:tcW w:w="594" w:type="pct"/>
                  <w:vAlign w:val="center"/>
                </w:tcPr>
                <w:p w14:paraId="43E60BB0">
                  <w:pPr>
                    <w:adjustRightInd w:val="0"/>
                    <w:snapToGrid w:val="0"/>
                    <w:jc w:val="center"/>
                    <w:rPr>
                      <w:szCs w:val="21"/>
                    </w:rPr>
                  </w:pPr>
                  <w:r>
                    <w:rPr>
                      <w:szCs w:val="21"/>
                    </w:rPr>
                    <w:t>BOD</w:t>
                  </w:r>
                  <w:r>
                    <w:rPr>
                      <w:szCs w:val="21"/>
                      <w:vertAlign w:val="subscript"/>
                    </w:rPr>
                    <w:t>5</w:t>
                  </w:r>
                </w:p>
              </w:tc>
              <w:tc>
                <w:tcPr>
                  <w:tcW w:w="683" w:type="pct"/>
                  <w:vAlign w:val="center"/>
                </w:tcPr>
                <w:p w14:paraId="01F47B4F">
                  <w:pPr>
                    <w:adjustRightInd w:val="0"/>
                    <w:snapToGrid w:val="0"/>
                    <w:jc w:val="center"/>
                    <w:rPr>
                      <w:szCs w:val="21"/>
                    </w:rPr>
                  </w:pPr>
                  <w:r>
                    <w:rPr>
                      <w:szCs w:val="21"/>
                    </w:rPr>
                    <w:t>10mg/L</w:t>
                  </w:r>
                </w:p>
              </w:tc>
            </w:tr>
            <w:tr w14:paraId="003980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70" w:type="pct"/>
                  <w:vMerge w:val="continue"/>
                  <w:vAlign w:val="center"/>
                </w:tcPr>
                <w:p w14:paraId="3C10FF77">
                  <w:pPr>
                    <w:adjustRightInd w:val="0"/>
                    <w:snapToGrid w:val="0"/>
                    <w:jc w:val="center"/>
                    <w:rPr>
                      <w:szCs w:val="21"/>
                    </w:rPr>
                  </w:pPr>
                </w:p>
              </w:tc>
              <w:tc>
                <w:tcPr>
                  <w:tcW w:w="879" w:type="pct"/>
                  <w:vMerge w:val="continue"/>
                  <w:vAlign w:val="center"/>
                </w:tcPr>
                <w:p w14:paraId="26578CF4">
                  <w:pPr>
                    <w:adjustRightInd w:val="0"/>
                    <w:snapToGrid w:val="0"/>
                    <w:jc w:val="center"/>
                    <w:rPr>
                      <w:szCs w:val="21"/>
                    </w:rPr>
                  </w:pPr>
                </w:p>
              </w:tc>
              <w:tc>
                <w:tcPr>
                  <w:tcW w:w="593" w:type="pct"/>
                  <w:vMerge w:val="continue"/>
                  <w:shd w:val="clear" w:color="auto" w:fill="auto"/>
                  <w:vAlign w:val="center"/>
                </w:tcPr>
                <w:p w14:paraId="5508AEF9">
                  <w:pPr>
                    <w:adjustRightInd w:val="0"/>
                    <w:snapToGrid w:val="0"/>
                    <w:jc w:val="center"/>
                    <w:rPr>
                      <w:szCs w:val="21"/>
                    </w:rPr>
                  </w:pPr>
                </w:p>
              </w:tc>
              <w:tc>
                <w:tcPr>
                  <w:tcW w:w="593" w:type="pct"/>
                  <w:vMerge w:val="continue"/>
                  <w:shd w:val="clear" w:color="auto" w:fill="auto"/>
                  <w:vAlign w:val="center"/>
                </w:tcPr>
                <w:p w14:paraId="304F62EF">
                  <w:pPr>
                    <w:adjustRightInd w:val="0"/>
                    <w:snapToGrid w:val="0"/>
                    <w:jc w:val="center"/>
                    <w:rPr>
                      <w:szCs w:val="21"/>
                    </w:rPr>
                  </w:pPr>
                </w:p>
              </w:tc>
              <w:tc>
                <w:tcPr>
                  <w:tcW w:w="593" w:type="pct"/>
                  <w:vMerge w:val="continue"/>
                  <w:shd w:val="clear" w:color="auto" w:fill="auto"/>
                  <w:vAlign w:val="center"/>
                </w:tcPr>
                <w:p w14:paraId="1C92C7EB">
                  <w:pPr>
                    <w:adjustRightInd w:val="0"/>
                    <w:snapToGrid w:val="0"/>
                    <w:jc w:val="center"/>
                    <w:rPr>
                      <w:szCs w:val="21"/>
                    </w:rPr>
                  </w:pPr>
                </w:p>
              </w:tc>
              <w:tc>
                <w:tcPr>
                  <w:tcW w:w="594" w:type="pct"/>
                  <w:vMerge w:val="continue"/>
                  <w:vAlign w:val="center"/>
                </w:tcPr>
                <w:p w14:paraId="52501D0A">
                  <w:pPr>
                    <w:adjustRightInd w:val="0"/>
                    <w:snapToGrid w:val="0"/>
                    <w:jc w:val="center"/>
                    <w:rPr>
                      <w:szCs w:val="21"/>
                    </w:rPr>
                  </w:pPr>
                </w:p>
              </w:tc>
              <w:tc>
                <w:tcPr>
                  <w:tcW w:w="594" w:type="pct"/>
                  <w:vAlign w:val="center"/>
                </w:tcPr>
                <w:p w14:paraId="343BAC73">
                  <w:pPr>
                    <w:adjustRightInd w:val="0"/>
                    <w:snapToGrid w:val="0"/>
                    <w:jc w:val="center"/>
                    <w:rPr>
                      <w:szCs w:val="21"/>
                    </w:rPr>
                  </w:pPr>
                  <w:r>
                    <w:rPr>
                      <w:szCs w:val="21"/>
                    </w:rPr>
                    <w:t>SS</w:t>
                  </w:r>
                </w:p>
              </w:tc>
              <w:tc>
                <w:tcPr>
                  <w:tcW w:w="683" w:type="pct"/>
                  <w:vAlign w:val="center"/>
                </w:tcPr>
                <w:p w14:paraId="46F8BEF8">
                  <w:pPr>
                    <w:adjustRightInd w:val="0"/>
                    <w:snapToGrid w:val="0"/>
                    <w:jc w:val="center"/>
                    <w:rPr>
                      <w:szCs w:val="21"/>
                    </w:rPr>
                  </w:pPr>
                  <w:r>
                    <w:rPr>
                      <w:szCs w:val="21"/>
                    </w:rPr>
                    <w:t>10mg/L</w:t>
                  </w:r>
                </w:p>
              </w:tc>
            </w:tr>
            <w:tr w14:paraId="3F0E27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70" w:type="pct"/>
                  <w:vMerge w:val="continue"/>
                  <w:vAlign w:val="center"/>
                </w:tcPr>
                <w:p w14:paraId="1626382D">
                  <w:pPr>
                    <w:adjustRightInd w:val="0"/>
                    <w:snapToGrid w:val="0"/>
                    <w:jc w:val="center"/>
                    <w:rPr>
                      <w:szCs w:val="21"/>
                    </w:rPr>
                  </w:pPr>
                </w:p>
              </w:tc>
              <w:tc>
                <w:tcPr>
                  <w:tcW w:w="879" w:type="pct"/>
                  <w:vMerge w:val="continue"/>
                  <w:vAlign w:val="center"/>
                </w:tcPr>
                <w:p w14:paraId="3D218323">
                  <w:pPr>
                    <w:adjustRightInd w:val="0"/>
                    <w:snapToGrid w:val="0"/>
                    <w:jc w:val="center"/>
                    <w:rPr>
                      <w:szCs w:val="21"/>
                    </w:rPr>
                  </w:pPr>
                </w:p>
              </w:tc>
              <w:tc>
                <w:tcPr>
                  <w:tcW w:w="593" w:type="pct"/>
                  <w:vMerge w:val="continue"/>
                  <w:shd w:val="clear" w:color="auto" w:fill="auto"/>
                  <w:vAlign w:val="center"/>
                </w:tcPr>
                <w:p w14:paraId="654127CF">
                  <w:pPr>
                    <w:adjustRightInd w:val="0"/>
                    <w:snapToGrid w:val="0"/>
                    <w:jc w:val="center"/>
                    <w:rPr>
                      <w:szCs w:val="21"/>
                    </w:rPr>
                  </w:pPr>
                </w:p>
              </w:tc>
              <w:tc>
                <w:tcPr>
                  <w:tcW w:w="593" w:type="pct"/>
                  <w:vMerge w:val="continue"/>
                  <w:shd w:val="clear" w:color="auto" w:fill="auto"/>
                  <w:vAlign w:val="center"/>
                </w:tcPr>
                <w:p w14:paraId="32724C19">
                  <w:pPr>
                    <w:adjustRightInd w:val="0"/>
                    <w:snapToGrid w:val="0"/>
                    <w:jc w:val="center"/>
                    <w:rPr>
                      <w:szCs w:val="21"/>
                    </w:rPr>
                  </w:pPr>
                </w:p>
              </w:tc>
              <w:tc>
                <w:tcPr>
                  <w:tcW w:w="593" w:type="pct"/>
                  <w:vMerge w:val="continue"/>
                  <w:shd w:val="clear" w:color="auto" w:fill="auto"/>
                  <w:vAlign w:val="center"/>
                </w:tcPr>
                <w:p w14:paraId="1DFD99AC">
                  <w:pPr>
                    <w:adjustRightInd w:val="0"/>
                    <w:snapToGrid w:val="0"/>
                    <w:jc w:val="center"/>
                    <w:rPr>
                      <w:szCs w:val="21"/>
                    </w:rPr>
                  </w:pPr>
                </w:p>
              </w:tc>
              <w:tc>
                <w:tcPr>
                  <w:tcW w:w="594" w:type="pct"/>
                  <w:vMerge w:val="continue"/>
                  <w:vAlign w:val="center"/>
                </w:tcPr>
                <w:p w14:paraId="0EEB0B40">
                  <w:pPr>
                    <w:adjustRightInd w:val="0"/>
                    <w:snapToGrid w:val="0"/>
                    <w:jc w:val="center"/>
                    <w:rPr>
                      <w:szCs w:val="21"/>
                    </w:rPr>
                  </w:pPr>
                </w:p>
              </w:tc>
              <w:tc>
                <w:tcPr>
                  <w:tcW w:w="594" w:type="pct"/>
                  <w:vAlign w:val="center"/>
                </w:tcPr>
                <w:p w14:paraId="5F3238BE">
                  <w:pPr>
                    <w:adjustRightInd w:val="0"/>
                    <w:snapToGrid w:val="0"/>
                    <w:jc w:val="center"/>
                    <w:rPr>
                      <w:szCs w:val="21"/>
                    </w:rPr>
                  </w:pPr>
                  <w:r>
                    <w:rPr>
                      <w:szCs w:val="21"/>
                    </w:rPr>
                    <w:t>NH</w:t>
                  </w:r>
                  <w:r>
                    <w:rPr>
                      <w:szCs w:val="21"/>
                      <w:vertAlign w:val="subscript"/>
                    </w:rPr>
                    <w:t>3</w:t>
                  </w:r>
                  <w:r>
                    <w:rPr>
                      <w:szCs w:val="21"/>
                    </w:rPr>
                    <w:t>-N</w:t>
                  </w:r>
                </w:p>
              </w:tc>
              <w:tc>
                <w:tcPr>
                  <w:tcW w:w="683" w:type="pct"/>
                  <w:vAlign w:val="center"/>
                </w:tcPr>
                <w:p w14:paraId="7F65C81C">
                  <w:pPr>
                    <w:adjustRightInd w:val="0"/>
                    <w:snapToGrid w:val="0"/>
                    <w:jc w:val="center"/>
                    <w:rPr>
                      <w:szCs w:val="21"/>
                    </w:rPr>
                  </w:pPr>
                  <w:r>
                    <w:rPr>
                      <w:szCs w:val="21"/>
                    </w:rPr>
                    <w:t>5mg/L</w:t>
                  </w:r>
                </w:p>
              </w:tc>
            </w:tr>
          </w:tbl>
          <w:p w14:paraId="3CBC89FC">
            <w:pPr>
              <w:tabs>
                <w:tab w:val="left" w:pos="8580"/>
              </w:tabs>
              <w:adjustRightInd w:val="0"/>
              <w:snapToGrid w:val="0"/>
              <w:spacing w:line="360" w:lineRule="auto"/>
              <w:ind w:firstLine="482" w:firstLineChars="200"/>
              <w:rPr>
                <w:b/>
                <w:bCs/>
                <w:sz w:val="24"/>
              </w:rPr>
            </w:pPr>
            <w:r>
              <w:rPr>
                <w:b/>
                <w:bCs/>
                <w:sz w:val="24"/>
              </w:rPr>
              <w:t>4、污染物排放量核算</w:t>
            </w:r>
          </w:p>
          <w:p w14:paraId="62373F8C">
            <w:pPr>
              <w:tabs>
                <w:tab w:val="left" w:pos="8580"/>
              </w:tabs>
              <w:adjustRightInd w:val="0"/>
              <w:snapToGrid w:val="0"/>
              <w:spacing w:line="360" w:lineRule="auto"/>
              <w:ind w:firstLine="480" w:firstLineChars="200"/>
              <w:rPr>
                <w:sz w:val="24"/>
              </w:rPr>
            </w:pPr>
            <w:r>
              <w:rPr>
                <w:sz w:val="24"/>
              </w:rPr>
              <w:t>根据《环境影响评价技术导则  地表水环境》（HJ 2.3-2018）：间接排放建设项目污染源排放量核算根据依托污水处理设施的控制要求核算确定。项目废水接管后最终纳入</w:t>
            </w:r>
            <w:r>
              <w:rPr>
                <w:rFonts w:hint="eastAsia"/>
                <w:sz w:val="24"/>
              </w:rPr>
              <w:t>衡阳西渡高新区污水处理厂</w:t>
            </w:r>
            <w:r>
              <w:rPr>
                <w:sz w:val="24"/>
              </w:rPr>
              <w:t>处置，则项目废水接管后污染排放量按照《城镇污水处理厂污染物排放标准》（GB18918-2002）一级A标准进行核算。</w:t>
            </w:r>
          </w:p>
          <w:p w14:paraId="42AB90F0">
            <w:pPr>
              <w:spacing w:before="120" w:beforeLines="50"/>
              <w:jc w:val="center"/>
              <w:rPr>
                <w:b/>
                <w:bCs/>
                <w:szCs w:val="21"/>
              </w:rPr>
            </w:pPr>
            <w:r>
              <w:rPr>
                <w:b/>
                <w:bCs/>
                <w:szCs w:val="21"/>
              </w:rPr>
              <w:t>表4-</w:t>
            </w:r>
            <w:r>
              <w:rPr>
                <w:rFonts w:hint="eastAsia"/>
                <w:b/>
                <w:bCs/>
                <w:szCs w:val="21"/>
              </w:rPr>
              <w:t>9</w:t>
            </w:r>
            <w:r>
              <w:rPr>
                <w:b/>
                <w:bCs/>
                <w:szCs w:val="21"/>
              </w:rPr>
              <w:t xml:space="preserve">  废水污染物排放信息表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56"/>
              <w:gridCol w:w="2357"/>
              <w:gridCol w:w="2357"/>
              <w:gridCol w:w="2351"/>
            </w:tblGrid>
            <w:tr w14:paraId="3203C7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34EF4BC0">
                  <w:pPr>
                    <w:adjustRightInd w:val="0"/>
                    <w:snapToGrid w:val="0"/>
                    <w:jc w:val="center"/>
                    <w:rPr>
                      <w:b/>
                      <w:bCs/>
                      <w:szCs w:val="21"/>
                    </w:rPr>
                  </w:pPr>
                  <w:r>
                    <w:rPr>
                      <w:b/>
                      <w:bCs/>
                      <w:szCs w:val="21"/>
                    </w:rPr>
                    <w:t>编号</w:t>
                  </w:r>
                </w:p>
              </w:tc>
              <w:tc>
                <w:tcPr>
                  <w:tcW w:w="1251" w:type="pct"/>
                  <w:shd w:val="clear" w:color="auto" w:fill="auto"/>
                  <w:vAlign w:val="center"/>
                </w:tcPr>
                <w:p w14:paraId="78AFA2E6">
                  <w:pPr>
                    <w:adjustRightInd w:val="0"/>
                    <w:snapToGrid w:val="0"/>
                    <w:jc w:val="center"/>
                    <w:rPr>
                      <w:b/>
                      <w:bCs/>
                      <w:szCs w:val="21"/>
                    </w:rPr>
                  </w:pPr>
                  <w:r>
                    <w:rPr>
                      <w:b/>
                      <w:bCs/>
                      <w:szCs w:val="21"/>
                    </w:rPr>
                    <w:t>污染物种类</w:t>
                  </w:r>
                </w:p>
              </w:tc>
              <w:tc>
                <w:tcPr>
                  <w:tcW w:w="1251" w:type="pct"/>
                  <w:vAlign w:val="center"/>
                </w:tcPr>
                <w:p w14:paraId="53B9E009">
                  <w:pPr>
                    <w:adjustRightInd w:val="0"/>
                    <w:snapToGrid w:val="0"/>
                    <w:jc w:val="center"/>
                    <w:rPr>
                      <w:b/>
                      <w:bCs/>
                      <w:szCs w:val="21"/>
                    </w:rPr>
                  </w:pPr>
                  <w:r>
                    <w:rPr>
                      <w:b/>
                      <w:bCs/>
                      <w:szCs w:val="21"/>
                    </w:rPr>
                    <w:t>排放浓度mg/L</w:t>
                  </w:r>
                </w:p>
              </w:tc>
              <w:tc>
                <w:tcPr>
                  <w:tcW w:w="1248" w:type="pct"/>
                  <w:vAlign w:val="center"/>
                </w:tcPr>
                <w:p w14:paraId="36BD38D8">
                  <w:pPr>
                    <w:adjustRightInd w:val="0"/>
                    <w:snapToGrid w:val="0"/>
                    <w:jc w:val="center"/>
                    <w:rPr>
                      <w:b/>
                      <w:bCs/>
                      <w:szCs w:val="21"/>
                    </w:rPr>
                  </w:pPr>
                  <w:r>
                    <w:rPr>
                      <w:b/>
                      <w:bCs/>
                      <w:szCs w:val="21"/>
                    </w:rPr>
                    <w:t>排放量t/a</w:t>
                  </w:r>
                </w:p>
              </w:tc>
            </w:tr>
            <w:tr w14:paraId="6D03C9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Merge w:val="restart"/>
                  <w:vAlign w:val="center"/>
                </w:tcPr>
                <w:p w14:paraId="14AE8863">
                  <w:pPr>
                    <w:adjustRightInd w:val="0"/>
                    <w:snapToGrid w:val="0"/>
                    <w:jc w:val="center"/>
                    <w:rPr>
                      <w:szCs w:val="21"/>
                    </w:rPr>
                  </w:pPr>
                  <w:r>
                    <w:rPr>
                      <w:szCs w:val="21"/>
                    </w:rPr>
                    <w:t>DW001（</w:t>
                  </w:r>
                  <w:r>
                    <w:rPr>
                      <w:rFonts w:hint="eastAsia"/>
                      <w:szCs w:val="21"/>
                    </w:rPr>
                    <w:t>304</w:t>
                  </w:r>
                  <w:r>
                    <w:rPr>
                      <w:szCs w:val="21"/>
                    </w:rPr>
                    <w:t>m</w:t>
                  </w:r>
                  <w:r>
                    <w:rPr>
                      <w:szCs w:val="21"/>
                      <w:vertAlign w:val="superscript"/>
                    </w:rPr>
                    <w:t>3</w:t>
                  </w:r>
                  <w:r>
                    <w:rPr>
                      <w:szCs w:val="21"/>
                    </w:rPr>
                    <w:t>/a）</w:t>
                  </w:r>
                </w:p>
              </w:tc>
              <w:tc>
                <w:tcPr>
                  <w:tcW w:w="1251" w:type="pct"/>
                  <w:shd w:val="clear" w:color="auto" w:fill="auto"/>
                  <w:vAlign w:val="center"/>
                </w:tcPr>
                <w:p w14:paraId="08109A20">
                  <w:pPr>
                    <w:adjustRightInd w:val="0"/>
                    <w:snapToGrid w:val="0"/>
                    <w:jc w:val="center"/>
                    <w:rPr>
                      <w:szCs w:val="21"/>
                    </w:rPr>
                  </w:pPr>
                  <w:r>
                    <w:rPr>
                      <w:szCs w:val="21"/>
                    </w:rPr>
                    <w:t>COD</w:t>
                  </w:r>
                </w:p>
              </w:tc>
              <w:tc>
                <w:tcPr>
                  <w:tcW w:w="1251" w:type="pct"/>
                  <w:vAlign w:val="center"/>
                </w:tcPr>
                <w:p w14:paraId="3C10342D">
                  <w:pPr>
                    <w:adjustRightInd w:val="0"/>
                    <w:snapToGrid w:val="0"/>
                    <w:jc w:val="center"/>
                    <w:rPr>
                      <w:szCs w:val="21"/>
                    </w:rPr>
                  </w:pPr>
                  <w:r>
                    <w:rPr>
                      <w:szCs w:val="21"/>
                    </w:rPr>
                    <w:t>50</w:t>
                  </w:r>
                </w:p>
              </w:tc>
              <w:tc>
                <w:tcPr>
                  <w:tcW w:w="1248" w:type="pct"/>
                  <w:vAlign w:val="center"/>
                </w:tcPr>
                <w:p w14:paraId="12D12F51">
                  <w:pPr>
                    <w:adjustRightInd w:val="0"/>
                    <w:snapToGrid w:val="0"/>
                    <w:jc w:val="center"/>
                    <w:rPr>
                      <w:szCs w:val="21"/>
                    </w:rPr>
                  </w:pPr>
                  <w:r>
                    <w:rPr>
                      <w:szCs w:val="21"/>
                    </w:rPr>
                    <w:t>0.</w:t>
                  </w:r>
                  <w:r>
                    <w:rPr>
                      <w:rFonts w:hint="eastAsia"/>
                      <w:szCs w:val="21"/>
                    </w:rPr>
                    <w:t>015</w:t>
                  </w:r>
                </w:p>
              </w:tc>
            </w:tr>
            <w:tr w14:paraId="5A8D6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Merge w:val="continue"/>
                  <w:vAlign w:val="center"/>
                </w:tcPr>
                <w:p w14:paraId="02F6A63B">
                  <w:pPr>
                    <w:adjustRightInd w:val="0"/>
                    <w:snapToGrid w:val="0"/>
                    <w:jc w:val="center"/>
                    <w:rPr>
                      <w:szCs w:val="21"/>
                    </w:rPr>
                  </w:pPr>
                </w:p>
              </w:tc>
              <w:tc>
                <w:tcPr>
                  <w:tcW w:w="1251" w:type="pct"/>
                  <w:shd w:val="clear" w:color="auto" w:fill="auto"/>
                  <w:vAlign w:val="center"/>
                </w:tcPr>
                <w:p w14:paraId="6C4DF5F7">
                  <w:pPr>
                    <w:adjustRightInd w:val="0"/>
                    <w:snapToGrid w:val="0"/>
                    <w:jc w:val="center"/>
                    <w:rPr>
                      <w:szCs w:val="21"/>
                    </w:rPr>
                  </w:pPr>
                  <w:r>
                    <w:rPr>
                      <w:szCs w:val="21"/>
                    </w:rPr>
                    <w:t>BOD</w:t>
                  </w:r>
                  <w:r>
                    <w:rPr>
                      <w:szCs w:val="21"/>
                      <w:vertAlign w:val="subscript"/>
                    </w:rPr>
                    <w:t>5</w:t>
                  </w:r>
                </w:p>
              </w:tc>
              <w:tc>
                <w:tcPr>
                  <w:tcW w:w="1251" w:type="pct"/>
                  <w:vAlign w:val="center"/>
                </w:tcPr>
                <w:p w14:paraId="34543D1A">
                  <w:pPr>
                    <w:adjustRightInd w:val="0"/>
                    <w:snapToGrid w:val="0"/>
                    <w:jc w:val="center"/>
                    <w:rPr>
                      <w:szCs w:val="21"/>
                    </w:rPr>
                  </w:pPr>
                  <w:r>
                    <w:rPr>
                      <w:szCs w:val="21"/>
                    </w:rPr>
                    <w:t>10</w:t>
                  </w:r>
                </w:p>
              </w:tc>
              <w:tc>
                <w:tcPr>
                  <w:tcW w:w="1248" w:type="pct"/>
                  <w:vAlign w:val="center"/>
                </w:tcPr>
                <w:p w14:paraId="15B815B2">
                  <w:pPr>
                    <w:adjustRightInd w:val="0"/>
                    <w:snapToGrid w:val="0"/>
                    <w:jc w:val="center"/>
                    <w:rPr>
                      <w:szCs w:val="21"/>
                    </w:rPr>
                  </w:pPr>
                  <w:r>
                    <w:rPr>
                      <w:rFonts w:hint="eastAsia"/>
                      <w:szCs w:val="21"/>
                    </w:rPr>
                    <w:t>0.003</w:t>
                  </w:r>
                </w:p>
              </w:tc>
            </w:tr>
            <w:tr w14:paraId="5F2B48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Merge w:val="continue"/>
                  <w:vAlign w:val="center"/>
                </w:tcPr>
                <w:p w14:paraId="3D1879E5">
                  <w:pPr>
                    <w:adjustRightInd w:val="0"/>
                    <w:snapToGrid w:val="0"/>
                    <w:jc w:val="center"/>
                    <w:rPr>
                      <w:szCs w:val="21"/>
                    </w:rPr>
                  </w:pPr>
                </w:p>
              </w:tc>
              <w:tc>
                <w:tcPr>
                  <w:tcW w:w="1251" w:type="pct"/>
                  <w:shd w:val="clear" w:color="auto" w:fill="auto"/>
                  <w:vAlign w:val="center"/>
                </w:tcPr>
                <w:p w14:paraId="205825ED">
                  <w:pPr>
                    <w:adjustRightInd w:val="0"/>
                    <w:snapToGrid w:val="0"/>
                    <w:jc w:val="center"/>
                    <w:rPr>
                      <w:szCs w:val="21"/>
                    </w:rPr>
                  </w:pPr>
                  <w:r>
                    <w:rPr>
                      <w:szCs w:val="21"/>
                    </w:rPr>
                    <w:t>SS</w:t>
                  </w:r>
                </w:p>
              </w:tc>
              <w:tc>
                <w:tcPr>
                  <w:tcW w:w="1251" w:type="pct"/>
                  <w:vAlign w:val="center"/>
                </w:tcPr>
                <w:p w14:paraId="754A573E">
                  <w:pPr>
                    <w:adjustRightInd w:val="0"/>
                    <w:snapToGrid w:val="0"/>
                    <w:jc w:val="center"/>
                    <w:rPr>
                      <w:szCs w:val="21"/>
                    </w:rPr>
                  </w:pPr>
                  <w:r>
                    <w:rPr>
                      <w:szCs w:val="21"/>
                    </w:rPr>
                    <w:t>5</w:t>
                  </w:r>
                </w:p>
              </w:tc>
              <w:tc>
                <w:tcPr>
                  <w:tcW w:w="1248" w:type="pct"/>
                  <w:vAlign w:val="center"/>
                </w:tcPr>
                <w:p w14:paraId="373B0A3B">
                  <w:pPr>
                    <w:adjustRightInd w:val="0"/>
                    <w:snapToGrid w:val="0"/>
                    <w:jc w:val="center"/>
                    <w:rPr>
                      <w:szCs w:val="21"/>
                    </w:rPr>
                  </w:pPr>
                  <w:r>
                    <w:rPr>
                      <w:rFonts w:hint="eastAsia"/>
                      <w:szCs w:val="21"/>
                    </w:rPr>
                    <w:t>0.0015</w:t>
                  </w:r>
                </w:p>
              </w:tc>
            </w:tr>
            <w:tr w14:paraId="3FB6A7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Merge w:val="continue"/>
                  <w:vAlign w:val="center"/>
                </w:tcPr>
                <w:p w14:paraId="4E27639E">
                  <w:pPr>
                    <w:adjustRightInd w:val="0"/>
                    <w:snapToGrid w:val="0"/>
                    <w:jc w:val="center"/>
                    <w:rPr>
                      <w:szCs w:val="21"/>
                    </w:rPr>
                  </w:pPr>
                </w:p>
              </w:tc>
              <w:tc>
                <w:tcPr>
                  <w:tcW w:w="1251" w:type="pct"/>
                  <w:shd w:val="clear" w:color="auto" w:fill="auto"/>
                  <w:vAlign w:val="center"/>
                </w:tcPr>
                <w:p w14:paraId="352F7279">
                  <w:pPr>
                    <w:adjustRightInd w:val="0"/>
                    <w:snapToGrid w:val="0"/>
                    <w:jc w:val="center"/>
                    <w:rPr>
                      <w:szCs w:val="21"/>
                    </w:rPr>
                  </w:pPr>
                  <w:r>
                    <w:rPr>
                      <w:szCs w:val="21"/>
                    </w:rPr>
                    <w:t>NH</w:t>
                  </w:r>
                  <w:r>
                    <w:rPr>
                      <w:szCs w:val="21"/>
                      <w:vertAlign w:val="subscript"/>
                    </w:rPr>
                    <w:t>3</w:t>
                  </w:r>
                  <w:r>
                    <w:rPr>
                      <w:szCs w:val="21"/>
                    </w:rPr>
                    <w:t>-N</w:t>
                  </w:r>
                </w:p>
              </w:tc>
              <w:tc>
                <w:tcPr>
                  <w:tcW w:w="1251" w:type="pct"/>
                  <w:vAlign w:val="center"/>
                </w:tcPr>
                <w:p w14:paraId="5BEEDDC1">
                  <w:pPr>
                    <w:adjustRightInd w:val="0"/>
                    <w:snapToGrid w:val="0"/>
                    <w:jc w:val="center"/>
                    <w:rPr>
                      <w:szCs w:val="21"/>
                    </w:rPr>
                  </w:pPr>
                  <w:r>
                    <w:rPr>
                      <w:szCs w:val="21"/>
                    </w:rPr>
                    <w:t>10</w:t>
                  </w:r>
                </w:p>
              </w:tc>
              <w:tc>
                <w:tcPr>
                  <w:tcW w:w="1248" w:type="pct"/>
                  <w:vAlign w:val="center"/>
                </w:tcPr>
                <w:p w14:paraId="0E29EC37">
                  <w:pPr>
                    <w:adjustRightInd w:val="0"/>
                    <w:snapToGrid w:val="0"/>
                    <w:jc w:val="center"/>
                    <w:rPr>
                      <w:szCs w:val="21"/>
                    </w:rPr>
                  </w:pPr>
                  <w:r>
                    <w:rPr>
                      <w:rFonts w:hint="eastAsia"/>
                      <w:szCs w:val="21"/>
                    </w:rPr>
                    <w:t>0.003</w:t>
                  </w:r>
                </w:p>
              </w:tc>
            </w:tr>
          </w:tbl>
          <w:p w14:paraId="035FE078">
            <w:pPr>
              <w:adjustRightInd w:val="0"/>
              <w:snapToGrid w:val="0"/>
              <w:spacing w:line="360" w:lineRule="auto"/>
              <w:ind w:firstLine="482" w:firstLineChars="200"/>
              <w:rPr>
                <w:b/>
                <w:bCs/>
                <w:sz w:val="24"/>
              </w:rPr>
            </w:pPr>
            <w:r>
              <w:rPr>
                <w:b/>
                <w:bCs/>
                <w:sz w:val="24"/>
              </w:rPr>
              <w:t>5、监测要求</w:t>
            </w:r>
          </w:p>
          <w:p w14:paraId="46414FE6">
            <w:pPr>
              <w:adjustRightInd w:val="0"/>
              <w:snapToGrid w:val="0"/>
              <w:spacing w:line="360" w:lineRule="auto"/>
              <w:ind w:firstLine="480" w:firstLineChars="200"/>
              <w:rPr>
                <w:b/>
                <w:sz w:val="24"/>
              </w:rPr>
            </w:pPr>
            <w:r>
              <w:rPr>
                <w:sz w:val="24"/>
              </w:rPr>
              <w:t>依据《排污单位自行监测技术指南 总则》（HJ 819-2017）、《排污许可证申请与核发技术规范 总则》（HJ942-2018）、《环境影响评价技术导则  地表水环境》（HJ2.3-2018），本项目属于间接排放且仅排放生活污水，水污染源无需开展环境监测</w:t>
            </w:r>
          </w:p>
          <w:p w14:paraId="1E47F3A9">
            <w:pPr>
              <w:adjustRightInd w:val="0"/>
              <w:snapToGrid w:val="0"/>
              <w:spacing w:line="360" w:lineRule="auto"/>
              <w:ind w:firstLine="482" w:firstLineChars="200"/>
              <w:rPr>
                <w:b/>
                <w:sz w:val="24"/>
              </w:rPr>
            </w:pPr>
            <w:r>
              <w:rPr>
                <w:rFonts w:hint="eastAsia"/>
                <w:b/>
                <w:sz w:val="24"/>
              </w:rPr>
              <w:t>三、噪声</w:t>
            </w:r>
          </w:p>
          <w:p w14:paraId="6B987D43">
            <w:pPr>
              <w:spacing w:line="360" w:lineRule="auto"/>
              <w:ind w:firstLine="482" w:firstLineChars="200"/>
              <w:rPr>
                <w:rFonts w:hAnsi="宋体"/>
                <w:b/>
                <w:kern w:val="0"/>
                <w:sz w:val="24"/>
              </w:rPr>
            </w:pPr>
            <w:r>
              <w:rPr>
                <w:rFonts w:hint="eastAsia" w:hAnsi="宋体"/>
                <w:b/>
                <w:kern w:val="0"/>
                <w:sz w:val="24"/>
              </w:rPr>
              <w:t>1、预测模型</w:t>
            </w:r>
          </w:p>
          <w:p w14:paraId="46468B94">
            <w:pPr>
              <w:spacing w:line="360" w:lineRule="auto"/>
              <w:ind w:firstLine="480" w:firstLineChars="200"/>
              <w:rPr>
                <w:rFonts w:hAnsi="宋体"/>
                <w:kern w:val="0"/>
                <w:sz w:val="24"/>
              </w:rPr>
            </w:pPr>
            <w:r>
              <w:rPr>
                <w:rFonts w:hint="eastAsia" w:hAnsi="宋体"/>
                <w:kern w:val="0"/>
                <w:sz w:val="24"/>
              </w:rPr>
              <w:t>根据项目建设内容及《环境影响评价技术导则  声环境》（HJ2.4-2021）的要求，项目环评采用的模型为《环境影响评价技术导则声环境》（HJ2.4-2021）附录A（规范性附录）户外声传播的衰减和附录B（规范性附录）中“B.1工业噪声预测计算模型”。</w:t>
            </w:r>
          </w:p>
          <w:p w14:paraId="3BC48DF4">
            <w:pPr>
              <w:spacing w:line="360" w:lineRule="auto"/>
              <w:ind w:firstLine="482" w:firstLineChars="200"/>
              <w:rPr>
                <w:rFonts w:hAnsi="宋体"/>
                <w:b/>
                <w:kern w:val="0"/>
                <w:sz w:val="24"/>
              </w:rPr>
            </w:pPr>
            <w:r>
              <w:rPr>
                <w:rFonts w:hint="eastAsia" w:hAnsi="宋体"/>
                <w:b/>
                <w:kern w:val="0"/>
                <w:sz w:val="24"/>
              </w:rPr>
              <w:t>2、预测参数</w:t>
            </w:r>
          </w:p>
          <w:p w14:paraId="24E6B82F">
            <w:pPr>
              <w:spacing w:line="360" w:lineRule="auto"/>
              <w:ind w:firstLine="482" w:firstLineChars="200"/>
              <w:rPr>
                <w:rFonts w:hAnsi="宋体"/>
                <w:b/>
                <w:kern w:val="0"/>
                <w:sz w:val="24"/>
              </w:rPr>
            </w:pPr>
            <w:r>
              <w:rPr>
                <w:rFonts w:hint="eastAsia" w:hAnsi="宋体"/>
                <w:b/>
                <w:kern w:val="0"/>
                <w:sz w:val="24"/>
              </w:rPr>
              <w:t>（1）源强</w:t>
            </w:r>
          </w:p>
          <w:p w14:paraId="19B59B29">
            <w:pPr>
              <w:adjustRightInd w:val="0"/>
              <w:snapToGrid w:val="0"/>
              <w:spacing w:line="360" w:lineRule="auto"/>
              <w:ind w:firstLine="480" w:firstLineChars="200"/>
              <w:rPr>
                <w:rFonts w:hAnsi="宋体"/>
                <w:kern w:val="0"/>
                <w:sz w:val="24"/>
              </w:rPr>
            </w:pPr>
            <w:r>
              <w:rPr>
                <w:rFonts w:hint="eastAsia" w:hAnsi="宋体"/>
                <w:kern w:val="0"/>
                <w:sz w:val="24"/>
              </w:rPr>
              <w:t>项目在生产过程中产生的噪声主要源自破碎、磨粉一体机等，</w:t>
            </w:r>
            <w:r>
              <w:rPr>
                <w:rFonts w:hAnsi="宋体"/>
                <w:kern w:val="0"/>
                <w:sz w:val="24"/>
              </w:rPr>
              <w:t>项目噪声设备主要集中在厂区</w:t>
            </w:r>
            <w:r>
              <w:rPr>
                <w:rFonts w:hint="eastAsia" w:hAnsi="宋体"/>
                <w:kern w:val="0"/>
                <w:sz w:val="24"/>
              </w:rPr>
              <w:t>中部</w:t>
            </w:r>
            <w:r>
              <w:rPr>
                <w:rFonts w:hAnsi="宋体"/>
                <w:kern w:val="0"/>
                <w:sz w:val="24"/>
              </w:rPr>
              <w:t>，均为离居民区较远一侧。根据类比同类工程调查可知，生产设备</w:t>
            </w:r>
            <w:r>
              <w:rPr>
                <w:rFonts w:hint="eastAsia" w:hAnsi="宋体"/>
                <w:kern w:val="0"/>
                <w:sz w:val="24"/>
              </w:rPr>
              <w:t>噪声源强介于90~95dB（A）。主要噪声源排放情况见下表4-10。</w:t>
            </w:r>
          </w:p>
          <w:p w14:paraId="41D0F7FA">
            <w:pPr>
              <w:spacing w:before="120" w:beforeLines="50"/>
              <w:jc w:val="center"/>
              <w:rPr>
                <w:b/>
              </w:rPr>
            </w:pPr>
            <w:r>
              <w:rPr>
                <w:rFonts w:hint="eastAsia"/>
                <w:b/>
              </w:rPr>
              <w:t>表4-10  工业企业噪声源强调查清单</w:t>
            </w:r>
          </w:p>
          <w:tbl>
            <w:tblPr>
              <w:tblStyle w:val="35"/>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8"/>
              <w:gridCol w:w="781"/>
              <w:gridCol w:w="781"/>
              <w:gridCol w:w="780"/>
              <w:gridCol w:w="780"/>
              <w:gridCol w:w="780"/>
              <w:gridCol w:w="889"/>
              <w:gridCol w:w="927"/>
              <w:gridCol w:w="507"/>
              <w:gridCol w:w="797"/>
              <w:gridCol w:w="880"/>
              <w:gridCol w:w="661"/>
            </w:tblGrid>
            <w:tr w14:paraId="31F6D1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Merge w:val="restart"/>
                  <w:vAlign w:val="center"/>
                </w:tcPr>
                <w:p w14:paraId="4D5774E5">
                  <w:pPr>
                    <w:jc w:val="center"/>
                    <w:rPr>
                      <w:rFonts w:eastAsiaTheme="minorEastAsia"/>
                      <w:b/>
                      <w:sz w:val="18"/>
                      <w:szCs w:val="18"/>
                    </w:rPr>
                  </w:pPr>
                  <w:r>
                    <w:rPr>
                      <w:rFonts w:eastAsiaTheme="minorEastAsia"/>
                      <w:b/>
                      <w:sz w:val="18"/>
                      <w:szCs w:val="18"/>
                    </w:rPr>
                    <w:t>声源名称</w:t>
                  </w:r>
                </w:p>
              </w:tc>
              <w:tc>
                <w:tcPr>
                  <w:tcW w:w="414" w:type="pct"/>
                  <w:vAlign w:val="center"/>
                </w:tcPr>
                <w:p w14:paraId="455BAD2A">
                  <w:pPr>
                    <w:jc w:val="center"/>
                    <w:rPr>
                      <w:rFonts w:eastAsiaTheme="minorEastAsia"/>
                      <w:b/>
                      <w:sz w:val="18"/>
                      <w:szCs w:val="18"/>
                    </w:rPr>
                  </w:pPr>
                  <w:r>
                    <w:rPr>
                      <w:rFonts w:eastAsiaTheme="minorEastAsia"/>
                      <w:b/>
                      <w:sz w:val="18"/>
                      <w:szCs w:val="18"/>
                    </w:rPr>
                    <w:t>声源源强</w:t>
                  </w:r>
                </w:p>
              </w:tc>
              <w:tc>
                <w:tcPr>
                  <w:tcW w:w="414" w:type="pct"/>
                  <w:vMerge w:val="restart"/>
                  <w:vAlign w:val="center"/>
                </w:tcPr>
                <w:p w14:paraId="76A500CE">
                  <w:pPr>
                    <w:jc w:val="center"/>
                    <w:rPr>
                      <w:rFonts w:eastAsiaTheme="minorEastAsia"/>
                      <w:b/>
                      <w:sz w:val="18"/>
                      <w:szCs w:val="18"/>
                    </w:rPr>
                  </w:pPr>
                  <w:r>
                    <w:rPr>
                      <w:rFonts w:eastAsiaTheme="minorEastAsia"/>
                      <w:b/>
                      <w:sz w:val="18"/>
                      <w:szCs w:val="18"/>
                    </w:rPr>
                    <w:t>声源控制措施</w:t>
                  </w:r>
                </w:p>
              </w:tc>
              <w:tc>
                <w:tcPr>
                  <w:tcW w:w="1242" w:type="pct"/>
                  <w:gridSpan w:val="3"/>
                  <w:vAlign w:val="center"/>
                </w:tcPr>
                <w:p w14:paraId="3DCDDCDC">
                  <w:pPr>
                    <w:jc w:val="center"/>
                    <w:rPr>
                      <w:rFonts w:eastAsiaTheme="minorEastAsia"/>
                      <w:b/>
                      <w:sz w:val="18"/>
                      <w:szCs w:val="18"/>
                    </w:rPr>
                  </w:pPr>
                  <w:r>
                    <w:rPr>
                      <w:rFonts w:eastAsiaTheme="minorEastAsia"/>
                      <w:b/>
                      <w:sz w:val="18"/>
                      <w:szCs w:val="18"/>
                    </w:rPr>
                    <w:t>空间相对位置/m</w:t>
                  </w:r>
                </w:p>
              </w:tc>
              <w:tc>
                <w:tcPr>
                  <w:tcW w:w="472" w:type="pct"/>
                  <w:vMerge w:val="restart"/>
                  <w:vAlign w:val="center"/>
                </w:tcPr>
                <w:p w14:paraId="1B0166F0">
                  <w:pPr>
                    <w:pStyle w:val="2"/>
                    <w:jc w:val="center"/>
                    <w:rPr>
                      <w:rFonts w:ascii="Times New Roman" w:cs="Times New Roman" w:eastAsiaTheme="minorEastAsia"/>
                      <w:b/>
                      <w:color w:val="auto"/>
                      <w:sz w:val="18"/>
                      <w:szCs w:val="18"/>
                    </w:rPr>
                  </w:pPr>
                  <w:r>
                    <w:rPr>
                      <w:rFonts w:ascii="Times New Roman" w:cs="Times New Roman" w:eastAsiaTheme="minorEastAsia"/>
                      <w:b/>
                      <w:color w:val="auto"/>
                      <w:sz w:val="18"/>
                      <w:szCs w:val="18"/>
                    </w:rPr>
                    <w:t>距室内边界最近距离/m</w:t>
                  </w:r>
                </w:p>
              </w:tc>
              <w:tc>
                <w:tcPr>
                  <w:tcW w:w="492" w:type="pct"/>
                  <w:vMerge w:val="restart"/>
                  <w:vAlign w:val="center"/>
                </w:tcPr>
                <w:p w14:paraId="06AD60FF">
                  <w:pPr>
                    <w:pStyle w:val="2"/>
                    <w:jc w:val="center"/>
                    <w:rPr>
                      <w:rFonts w:ascii="Times New Roman" w:cs="Times New Roman" w:eastAsiaTheme="minorEastAsia"/>
                      <w:b/>
                      <w:color w:val="auto"/>
                      <w:sz w:val="18"/>
                      <w:szCs w:val="18"/>
                    </w:rPr>
                  </w:pPr>
                  <w:r>
                    <w:rPr>
                      <w:rFonts w:ascii="Times New Roman" w:cs="Times New Roman" w:eastAsiaTheme="minorEastAsia"/>
                      <w:b/>
                      <w:color w:val="auto"/>
                      <w:sz w:val="18"/>
                      <w:szCs w:val="18"/>
                    </w:rPr>
                    <w:t>室内边界声级/dB（A）</w:t>
                  </w:r>
                </w:p>
              </w:tc>
              <w:tc>
                <w:tcPr>
                  <w:tcW w:w="269" w:type="pct"/>
                  <w:vMerge w:val="restart"/>
                  <w:vAlign w:val="center"/>
                </w:tcPr>
                <w:p w14:paraId="6FD1C24B">
                  <w:pPr>
                    <w:pStyle w:val="2"/>
                    <w:jc w:val="center"/>
                    <w:rPr>
                      <w:rFonts w:ascii="Times New Roman" w:cs="Times New Roman" w:eastAsiaTheme="minorEastAsia"/>
                      <w:b/>
                      <w:color w:val="auto"/>
                      <w:sz w:val="18"/>
                      <w:szCs w:val="18"/>
                    </w:rPr>
                  </w:pPr>
                  <w:r>
                    <w:rPr>
                      <w:rFonts w:ascii="Times New Roman" w:cs="Times New Roman" w:eastAsiaTheme="minorEastAsia"/>
                      <w:b/>
                      <w:color w:val="auto"/>
                      <w:sz w:val="18"/>
                      <w:szCs w:val="18"/>
                    </w:rPr>
                    <w:t>运行时段</w:t>
                  </w:r>
                </w:p>
              </w:tc>
              <w:tc>
                <w:tcPr>
                  <w:tcW w:w="423" w:type="pct"/>
                  <w:vMerge w:val="restart"/>
                  <w:vAlign w:val="center"/>
                </w:tcPr>
                <w:p w14:paraId="6D2B1EC1">
                  <w:pPr>
                    <w:jc w:val="center"/>
                    <w:rPr>
                      <w:rFonts w:eastAsiaTheme="minorEastAsia"/>
                      <w:b/>
                      <w:sz w:val="18"/>
                      <w:szCs w:val="18"/>
                    </w:rPr>
                  </w:pPr>
                  <w:r>
                    <w:rPr>
                      <w:rFonts w:eastAsiaTheme="minorEastAsia"/>
                      <w:b/>
                      <w:sz w:val="18"/>
                      <w:szCs w:val="18"/>
                    </w:rPr>
                    <w:t>建筑物插入损失/dB（A）</w:t>
                  </w:r>
                </w:p>
              </w:tc>
              <w:tc>
                <w:tcPr>
                  <w:tcW w:w="818" w:type="pct"/>
                  <w:gridSpan w:val="2"/>
                  <w:vAlign w:val="center"/>
                </w:tcPr>
                <w:p w14:paraId="1E3F0CE9">
                  <w:pPr>
                    <w:jc w:val="center"/>
                    <w:rPr>
                      <w:rFonts w:eastAsiaTheme="minorEastAsia"/>
                      <w:b/>
                      <w:sz w:val="18"/>
                      <w:szCs w:val="18"/>
                    </w:rPr>
                  </w:pPr>
                  <w:r>
                    <w:rPr>
                      <w:rFonts w:eastAsiaTheme="minorEastAsia"/>
                      <w:b/>
                      <w:sz w:val="18"/>
                      <w:szCs w:val="18"/>
                    </w:rPr>
                    <w:t>建筑外噪声</w:t>
                  </w:r>
                </w:p>
              </w:tc>
            </w:tr>
            <w:tr w14:paraId="71A3BF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Merge w:val="continue"/>
                  <w:vAlign w:val="center"/>
                </w:tcPr>
                <w:p w14:paraId="553FEF84">
                  <w:pPr>
                    <w:jc w:val="center"/>
                    <w:rPr>
                      <w:rFonts w:eastAsiaTheme="minorEastAsia"/>
                      <w:b/>
                      <w:sz w:val="18"/>
                      <w:szCs w:val="18"/>
                    </w:rPr>
                  </w:pPr>
                </w:p>
              </w:tc>
              <w:tc>
                <w:tcPr>
                  <w:tcW w:w="414" w:type="pct"/>
                  <w:vAlign w:val="center"/>
                </w:tcPr>
                <w:p w14:paraId="39180A0D">
                  <w:pPr>
                    <w:pStyle w:val="2"/>
                    <w:jc w:val="center"/>
                    <w:rPr>
                      <w:rFonts w:ascii="Times New Roman" w:cs="Times New Roman" w:eastAsiaTheme="minorEastAsia"/>
                      <w:b/>
                      <w:color w:val="auto"/>
                      <w:sz w:val="18"/>
                      <w:szCs w:val="18"/>
                    </w:rPr>
                  </w:pPr>
                  <w:r>
                    <w:rPr>
                      <w:rFonts w:ascii="Times New Roman" w:cs="Times New Roman" w:eastAsiaTheme="minorEastAsia"/>
                      <w:b/>
                      <w:color w:val="auto"/>
                      <w:sz w:val="18"/>
                      <w:szCs w:val="18"/>
                    </w:rPr>
                    <w:t>声功率级/dB（A）</w:t>
                  </w:r>
                </w:p>
              </w:tc>
              <w:tc>
                <w:tcPr>
                  <w:tcW w:w="414" w:type="pct"/>
                  <w:vMerge w:val="continue"/>
                  <w:vAlign w:val="center"/>
                </w:tcPr>
                <w:p w14:paraId="79BDFCE9">
                  <w:pPr>
                    <w:jc w:val="center"/>
                    <w:rPr>
                      <w:rFonts w:eastAsiaTheme="minorEastAsia"/>
                      <w:b/>
                      <w:sz w:val="18"/>
                      <w:szCs w:val="18"/>
                    </w:rPr>
                  </w:pPr>
                </w:p>
              </w:tc>
              <w:tc>
                <w:tcPr>
                  <w:tcW w:w="414" w:type="pct"/>
                  <w:vAlign w:val="center"/>
                </w:tcPr>
                <w:p w14:paraId="5A762905">
                  <w:pPr>
                    <w:jc w:val="center"/>
                    <w:rPr>
                      <w:rFonts w:eastAsiaTheme="minorEastAsia"/>
                      <w:b/>
                      <w:sz w:val="18"/>
                      <w:szCs w:val="18"/>
                    </w:rPr>
                  </w:pPr>
                  <w:r>
                    <w:rPr>
                      <w:rFonts w:eastAsiaTheme="minorEastAsia"/>
                      <w:b/>
                      <w:sz w:val="18"/>
                      <w:szCs w:val="18"/>
                    </w:rPr>
                    <w:t>X</w:t>
                  </w:r>
                </w:p>
              </w:tc>
              <w:tc>
                <w:tcPr>
                  <w:tcW w:w="414" w:type="pct"/>
                  <w:vAlign w:val="center"/>
                </w:tcPr>
                <w:p w14:paraId="5CA03E69">
                  <w:pPr>
                    <w:jc w:val="center"/>
                    <w:rPr>
                      <w:rFonts w:eastAsiaTheme="minorEastAsia"/>
                      <w:b/>
                      <w:sz w:val="18"/>
                      <w:szCs w:val="18"/>
                    </w:rPr>
                  </w:pPr>
                  <w:r>
                    <w:rPr>
                      <w:rFonts w:eastAsiaTheme="minorEastAsia"/>
                      <w:b/>
                      <w:sz w:val="18"/>
                      <w:szCs w:val="18"/>
                    </w:rPr>
                    <w:t>Y</w:t>
                  </w:r>
                </w:p>
              </w:tc>
              <w:tc>
                <w:tcPr>
                  <w:tcW w:w="414" w:type="pct"/>
                  <w:vAlign w:val="center"/>
                </w:tcPr>
                <w:p w14:paraId="55EECE84">
                  <w:pPr>
                    <w:jc w:val="center"/>
                    <w:rPr>
                      <w:rFonts w:eastAsiaTheme="minorEastAsia"/>
                      <w:b/>
                      <w:sz w:val="18"/>
                      <w:szCs w:val="18"/>
                    </w:rPr>
                  </w:pPr>
                  <w:r>
                    <w:rPr>
                      <w:rFonts w:eastAsiaTheme="minorEastAsia"/>
                      <w:b/>
                      <w:sz w:val="18"/>
                      <w:szCs w:val="18"/>
                    </w:rPr>
                    <w:t>Z</w:t>
                  </w:r>
                </w:p>
              </w:tc>
              <w:tc>
                <w:tcPr>
                  <w:tcW w:w="472" w:type="pct"/>
                  <w:vMerge w:val="continue"/>
                  <w:vAlign w:val="center"/>
                </w:tcPr>
                <w:p w14:paraId="0040B2E5">
                  <w:pPr>
                    <w:pStyle w:val="2"/>
                    <w:jc w:val="center"/>
                    <w:rPr>
                      <w:rFonts w:ascii="Times New Roman" w:cs="Times New Roman" w:eastAsiaTheme="minorEastAsia"/>
                      <w:b/>
                      <w:color w:val="auto"/>
                      <w:sz w:val="18"/>
                      <w:szCs w:val="18"/>
                    </w:rPr>
                  </w:pPr>
                </w:p>
              </w:tc>
              <w:tc>
                <w:tcPr>
                  <w:tcW w:w="492" w:type="pct"/>
                  <w:vMerge w:val="continue"/>
                  <w:vAlign w:val="center"/>
                </w:tcPr>
                <w:p w14:paraId="740CB01F">
                  <w:pPr>
                    <w:pStyle w:val="2"/>
                    <w:jc w:val="center"/>
                    <w:rPr>
                      <w:rFonts w:ascii="Times New Roman" w:cs="Times New Roman" w:eastAsiaTheme="minorEastAsia"/>
                      <w:b/>
                      <w:color w:val="auto"/>
                      <w:sz w:val="18"/>
                      <w:szCs w:val="18"/>
                    </w:rPr>
                  </w:pPr>
                </w:p>
              </w:tc>
              <w:tc>
                <w:tcPr>
                  <w:tcW w:w="269" w:type="pct"/>
                  <w:vMerge w:val="continue"/>
                  <w:vAlign w:val="center"/>
                </w:tcPr>
                <w:p w14:paraId="6744680C">
                  <w:pPr>
                    <w:jc w:val="center"/>
                    <w:rPr>
                      <w:rFonts w:eastAsiaTheme="minorEastAsia"/>
                      <w:b/>
                      <w:sz w:val="18"/>
                      <w:szCs w:val="18"/>
                    </w:rPr>
                  </w:pPr>
                </w:p>
              </w:tc>
              <w:tc>
                <w:tcPr>
                  <w:tcW w:w="423" w:type="pct"/>
                  <w:vMerge w:val="continue"/>
                  <w:vAlign w:val="center"/>
                </w:tcPr>
                <w:p w14:paraId="3FB5FCE9">
                  <w:pPr>
                    <w:jc w:val="center"/>
                    <w:rPr>
                      <w:rFonts w:eastAsiaTheme="minorEastAsia"/>
                      <w:b/>
                      <w:sz w:val="18"/>
                      <w:szCs w:val="18"/>
                    </w:rPr>
                  </w:pPr>
                </w:p>
              </w:tc>
              <w:tc>
                <w:tcPr>
                  <w:tcW w:w="467" w:type="pct"/>
                  <w:vAlign w:val="center"/>
                </w:tcPr>
                <w:p w14:paraId="7242135A">
                  <w:pPr>
                    <w:jc w:val="center"/>
                    <w:rPr>
                      <w:rFonts w:eastAsiaTheme="minorEastAsia"/>
                      <w:b/>
                      <w:sz w:val="18"/>
                      <w:szCs w:val="18"/>
                    </w:rPr>
                  </w:pPr>
                  <w:r>
                    <w:rPr>
                      <w:rFonts w:eastAsiaTheme="minorEastAsia"/>
                      <w:b/>
                      <w:sz w:val="18"/>
                      <w:szCs w:val="18"/>
                    </w:rPr>
                    <w:t>声压级/dB（A）</w:t>
                  </w:r>
                </w:p>
              </w:tc>
              <w:tc>
                <w:tcPr>
                  <w:tcW w:w="351" w:type="pct"/>
                  <w:vAlign w:val="center"/>
                </w:tcPr>
                <w:p w14:paraId="5341EFFC">
                  <w:pPr>
                    <w:pStyle w:val="2"/>
                    <w:jc w:val="center"/>
                    <w:rPr>
                      <w:rFonts w:ascii="Times New Roman" w:cs="Times New Roman" w:eastAsiaTheme="minorEastAsia"/>
                      <w:b/>
                      <w:color w:val="auto"/>
                      <w:sz w:val="18"/>
                      <w:szCs w:val="18"/>
                    </w:rPr>
                  </w:pPr>
                  <w:r>
                    <w:rPr>
                      <w:rFonts w:ascii="Times New Roman" w:cs="Times New Roman" w:eastAsiaTheme="minorEastAsia"/>
                      <w:b/>
                      <w:color w:val="auto"/>
                      <w:sz w:val="18"/>
                      <w:szCs w:val="18"/>
                    </w:rPr>
                    <w:t>建筑物外距离</w:t>
                  </w:r>
                </w:p>
              </w:tc>
            </w:tr>
            <w:tr w14:paraId="4E9D96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Align w:val="center"/>
                </w:tcPr>
                <w:p w14:paraId="39A13BF1">
                  <w:pPr>
                    <w:widowControl/>
                    <w:jc w:val="center"/>
                    <w:textAlignment w:val="bottom"/>
                    <w:rPr>
                      <w:sz w:val="18"/>
                      <w:szCs w:val="18"/>
                    </w:rPr>
                  </w:pPr>
                  <w:r>
                    <w:rPr>
                      <w:sz w:val="18"/>
                      <w:szCs w:val="18"/>
                    </w:rPr>
                    <w:t>破碎机</w:t>
                  </w:r>
                </w:p>
              </w:tc>
              <w:tc>
                <w:tcPr>
                  <w:tcW w:w="414" w:type="pct"/>
                  <w:vAlign w:val="center"/>
                </w:tcPr>
                <w:p w14:paraId="32016C94">
                  <w:pPr>
                    <w:widowControl/>
                    <w:jc w:val="center"/>
                    <w:textAlignment w:val="bottom"/>
                    <w:rPr>
                      <w:rFonts w:eastAsiaTheme="minorEastAsia"/>
                      <w:sz w:val="18"/>
                      <w:szCs w:val="18"/>
                    </w:rPr>
                  </w:pPr>
                  <w:r>
                    <w:rPr>
                      <w:rFonts w:hint="eastAsia" w:eastAsiaTheme="minorEastAsia"/>
                      <w:sz w:val="18"/>
                      <w:szCs w:val="18"/>
                    </w:rPr>
                    <w:t>90</w:t>
                  </w:r>
                </w:p>
              </w:tc>
              <w:tc>
                <w:tcPr>
                  <w:tcW w:w="414" w:type="pct"/>
                  <w:vAlign w:val="center"/>
                </w:tcPr>
                <w:p w14:paraId="720E7A31">
                  <w:pPr>
                    <w:jc w:val="center"/>
                    <w:rPr>
                      <w:rFonts w:eastAsiaTheme="minorEastAsia"/>
                      <w:sz w:val="18"/>
                      <w:szCs w:val="18"/>
                    </w:rPr>
                  </w:pPr>
                  <w:r>
                    <w:rPr>
                      <w:rFonts w:eastAsiaTheme="minorEastAsia"/>
                      <w:sz w:val="18"/>
                      <w:szCs w:val="18"/>
                    </w:rPr>
                    <w:t>减振隔声</w:t>
                  </w:r>
                </w:p>
              </w:tc>
              <w:tc>
                <w:tcPr>
                  <w:tcW w:w="414" w:type="pct"/>
                  <w:vAlign w:val="center"/>
                </w:tcPr>
                <w:p w14:paraId="13534CBD">
                  <w:pPr>
                    <w:widowControl/>
                    <w:jc w:val="center"/>
                    <w:textAlignment w:val="bottom"/>
                    <w:rPr>
                      <w:rFonts w:eastAsiaTheme="minorEastAsia"/>
                      <w:sz w:val="18"/>
                      <w:szCs w:val="18"/>
                    </w:rPr>
                  </w:pPr>
                  <w:r>
                    <w:rPr>
                      <w:rFonts w:hint="eastAsia" w:eastAsiaTheme="minorEastAsia"/>
                      <w:sz w:val="18"/>
                      <w:szCs w:val="18"/>
                    </w:rPr>
                    <w:t>33.42</w:t>
                  </w:r>
                </w:p>
              </w:tc>
              <w:tc>
                <w:tcPr>
                  <w:tcW w:w="414" w:type="pct"/>
                  <w:vAlign w:val="center"/>
                </w:tcPr>
                <w:p w14:paraId="5AEA5FB0">
                  <w:pPr>
                    <w:widowControl/>
                    <w:jc w:val="center"/>
                    <w:textAlignment w:val="bottom"/>
                    <w:rPr>
                      <w:rFonts w:eastAsiaTheme="minorEastAsia"/>
                      <w:sz w:val="18"/>
                      <w:szCs w:val="18"/>
                    </w:rPr>
                  </w:pPr>
                  <w:r>
                    <w:rPr>
                      <w:rFonts w:hint="eastAsia" w:eastAsiaTheme="minorEastAsia"/>
                      <w:sz w:val="18"/>
                      <w:szCs w:val="18"/>
                    </w:rPr>
                    <w:t>97.89</w:t>
                  </w:r>
                </w:p>
              </w:tc>
              <w:tc>
                <w:tcPr>
                  <w:tcW w:w="414" w:type="pct"/>
                  <w:vAlign w:val="center"/>
                </w:tcPr>
                <w:p w14:paraId="744DC6D2">
                  <w:pPr>
                    <w:widowControl/>
                    <w:jc w:val="center"/>
                    <w:textAlignment w:val="bottom"/>
                    <w:rPr>
                      <w:rFonts w:eastAsiaTheme="minorEastAsia"/>
                      <w:sz w:val="18"/>
                      <w:szCs w:val="18"/>
                    </w:rPr>
                  </w:pPr>
                  <w:r>
                    <w:rPr>
                      <w:rFonts w:hint="eastAsia" w:eastAsiaTheme="minorEastAsia"/>
                      <w:sz w:val="18"/>
                      <w:szCs w:val="18"/>
                    </w:rPr>
                    <w:t>1</w:t>
                  </w:r>
                </w:p>
              </w:tc>
              <w:tc>
                <w:tcPr>
                  <w:tcW w:w="472" w:type="pct"/>
                  <w:vAlign w:val="center"/>
                </w:tcPr>
                <w:p w14:paraId="2BD5291A">
                  <w:pPr>
                    <w:widowControl/>
                    <w:jc w:val="center"/>
                    <w:textAlignment w:val="center"/>
                    <w:rPr>
                      <w:sz w:val="18"/>
                      <w:szCs w:val="18"/>
                    </w:rPr>
                  </w:pPr>
                  <w:r>
                    <w:rPr>
                      <w:rFonts w:hint="eastAsia"/>
                      <w:sz w:val="18"/>
                      <w:szCs w:val="18"/>
                    </w:rPr>
                    <w:t>1.69</w:t>
                  </w:r>
                </w:p>
              </w:tc>
              <w:tc>
                <w:tcPr>
                  <w:tcW w:w="492" w:type="pct"/>
                  <w:vAlign w:val="center"/>
                </w:tcPr>
                <w:p w14:paraId="376B357F">
                  <w:pPr>
                    <w:widowControl/>
                    <w:jc w:val="center"/>
                    <w:textAlignment w:val="center"/>
                    <w:rPr>
                      <w:sz w:val="18"/>
                      <w:szCs w:val="18"/>
                    </w:rPr>
                  </w:pPr>
                  <w:r>
                    <w:rPr>
                      <w:rFonts w:hint="eastAsia"/>
                      <w:sz w:val="18"/>
                      <w:szCs w:val="18"/>
                    </w:rPr>
                    <w:t>81.91</w:t>
                  </w:r>
                </w:p>
              </w:tc>
              <w:tc>
                <w:tcPr>
                  <w:tcW w:w="269" w:type="pct"/>
                  <w:vMerge w:val="restart"/>
                  <w:vAlign w:val="center"/>
                </w:tcPr>
                <w:p w14:paraId="6A8FC7BD">
                  <w:pPr>
                    <w:jc w:val="center"/>
                  </w:pPr>
                  <w:r>
                    <w:rPr>
                      <w:rFonts w:hint="eastAsia" w:eastAsiaTheme="minorEastAsia"/>
                      <w:sz w:val="18"/>
                      <w:szCs w:val="18"/>
                    </w:rPr>
                    <w:t>8h</w:t>
                  </w:r>
                </w:p>
              </w:tc>
              <w:tc>
                <w:tcPr>
                  <w:tcW w:w="423" w:type="pct"/>
                  <w:vAlign w:val="center"/>
                </w:tcPr>
                <w:p w14:paraId="070A49F7">
                  <w:pPr>
                    <w:jc w:val="center"/>
                    <w:rPr>
                      <w:rFonts w:eastAsiaTheme="minorEastAsia"/>
                      <w:sz w:val="18"/>
                      <w:szCs w:val="18"/>
                    </w:rPr>
                  </w:pPr>
                  <w:r>
                    <w:rPr>
                      <w:rFonts w:eastAsiaTheme="minorEastAsia"/>
                      <w:sz w:val="18"/>
                      <w:szCs w:val="18"/>
                    </w:rPr>
                    <w:t>20</w:t>
                  </w:r>
                </w:p>
              </w:tc>
              <w:tc>
                <w:tcPr>
                  <w:tcW w:w="467" w:type="pct"/>
                  <w:vAlign w:val="center"/>
                </w:tcPr>
                <w:p w14:paraId="3432F2E2">
                  <w:pPr>
                    <w:widowControl/>
                    <w:jc w:val="center"/>
                    <w:textAlignment w:val="center"/>
                    <w:rPr>
                      <w:sz w:val="18"/>
                      <w:szCs w:val="18"/>
                    </w:rPr>
                  </w:pPr>
                  <w:r>
                    <w:rPr>
                      <w:rFonts w:hint="eastAsia"/>
                      <w:sz w:val="18"/>
                      <w:szCs w:val="18"/>
                    </w:rPr>
                    <w:t>61.91</w:t>
                  </w:r>
                </w:p>
              </w:tc>
              <w:tc>
                <w:tcPr>
                  <w:tcW w:w="351" w:type="pct"/>
                  <w:vAlign w:val="center"/>
                </w:tcPr>
                <w:p w14:paraId="22A86776">
                  <w:pPr>
                    <w:jc w:val="center"/>
                    <w:rPr>
                      <w:rFonts w:eastAsiaTheme="minorEastAsia"/>
                      <w:sz w:val="18"/>
                      <w:szCs w:val="18"/>
                    </w:rPr>
                  </w:pPr>
                  <w:r>
                    <w:rPr>
                      <w:rFonts w:eastAsiaTheme="minorEastAsia"/>
                      <w:sz w:val="18"/>
                      <w:szCs w:val="18"/>
                    </w:rPr>
                    <w:t>1</w:t>
                  </w:r>
                </w:p>
              </w:tc>
            </w:tr>
            <w:tr w14:paraId="5B8D5A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Align w:val="center"/>
                </w:tcPr>
                <w:p w14:paraId="10AECFAE">
                  <w:pPr>
                    <w:widowControl/>
                    <w:jc w:val="center"/>
                    <w:rPr>
                      <w:kern w:val="0"/>
                      <w:sz w:val="18"/>
                      <w:szCs w:val="18"/>
                    </w:rPr>
                  </w:pPr>
                  <w:bookmarkStart w:id="62" w:name="OLE_LINK51"/>
                  <w:r>
                    <w:rPr>
                      <w:kern w:val="0"/>
                      <w:sz w:val="18"/>
                      <w:szCs w:val="18"/>
                    </w:rPr>
                    <w:t>环辊磨</w:t>
                  </w:r>
                  <w:bookmarkEnd w:id="62"/>
                </w:p>
              </w:tc>
              <w:tc>
                <w:tcPr>
                  <w:tcW w:w="414" w:type="pct"/>
                  <w:vAlign w:val="center"/>
                </w:tcPr>
                <w:p w14:paraId="29587A10">
                  <w:pPr>
                    <w:widowControl/>
                    <w:jc w:val="center"/>
                    <w:textAlignment w:val="bottom"/>
                    <w:rPr>
                      <w:rFonts w:eastAsiaTheme="minorEastAsia"/>
                      <w:sz w:val="18"/>
                      <w:szCs w:val="18"/>
                    </w:rPr>
                  </w:pPr>
                  <w:r>
                    <w:rPr>
                      <w:rFonts w:hint="eastAsia" w:eastAsiaTheme="minorEastAsia"/>
                      <w:sz w:val="18"/>
                      <w:szCs w:val="18"/>
                    </w:rPr>
                    <w:t>95</w:t>
                  </w:r>
                </w:p>
              </w:tc>
              <w:tc>
                <w:tcPr>
                  <w:tcW w:w="414" w:type="pct"/>
                  <w:vAlign w:val="center"/>
                </w:tcPr>
                <w:p w14:paraId="35AFE6F7">
                  <w:pPr>
                    <w:jc w:val="center"/>
                    <w:rPr>
                      <w:sz w:val="18"/>
                      <w:szCs w:val="18"/>
                    </w:rPr>
                  </w:pPr>
                  <w:r>
                    <w:rPr>
                      <w:rFonts w:eastAsiaTheme="minorEastAsia"/>
                      <w:sz w:val="18"/>
                      <w:szCs w:val="18"/>
                    </w:rPr>
                    <w:t>减振隔声</w:t>
                  </w:r>
                </w:p>
              </w:tc>
              <w:tc>
                <w:tcPr>
                  <w:tcW w:w="414" w:type="pct"/>
                  <w:vAlign w:val="center"/>
                </w:tcPr>
                <w:p w14:paraId="6BB62576">
                  <w:pPr>
                    <w:widowControl/>
                    <w:jc w:val="center"/>
                    <w:textAlignment w:val="bottom"/>
                    <w:rPr>
                      <w:rFonts w:eastAsiaTheme="minorEastAsia"/>
                      <w:sz w:val="18"/>
                      <w:szCs w:val="18"/>
                    </w:rPr>
                  </w:pPr>
                  <w:r>
                    <w:rPr>
                      <w:rFonts w:hint="eastAsia" w:eastAsiaTheme="minorEastAsia"/>
                      <w:sz w:val="18"/>
                      <w:szCs w:val="18"/>
                    </w:rPr>
                    <w:t>43.32</w:t>
                  </w:r>
                </w:p>
              </w:tc>
              <w:tc>
                <w:tcPr>
                  <w:tcW w:w="414" w:type="pct"/>
                  <w:vAlign w:val="center"/>
                </w:tcPr>
                <w:p w14:paraId="3FC72A26">
                  <w:pPr>
                    <w:widowControl/>
                    <w:jc w:val="center"/>
                    <w:textAlignment w:val="bottom"/>
                    <w:rPr>
                      <w:rFonts w:eastAsiaTheme="minorEastAsia"/>
                      <w:sz w:val="18"/>
                      <w:szCs w:val="18"/>
                    </w:rPr>
                  </w:pPr>
                  <w:r>
                    <w:rPr>
                      <w:rFonts w:hint="eastAsia" w:eastAsiaTheme="minorEastAsia"/>
                      <w:sz w:val="18"/>
                      <w:szCs w:val="18"/>
                    </w:rPr>
                    <w:t>77.8</w:t>
                  </w:r>
                </w:p>
              </w:tc>
              <w:tc>
                <w:tcPr>
                  <w:tcW w:w="414" w:type="pct"/>
                  <w:vAlign w:val="center"/>
                </w:tcPr>
                <w:p w14:paraId="16E9A06C">
                  <w:pPr>
                    <w:widowControl/>
                    <w:jc w:val="center"/>
                    <w:textAlignment w:val="bottom"/>
                    <w:rPr>
                      <w:rFonts w:eastAsiaTheme="minorEastAsia"/>
                      <w:sz w:val="18"/>
                      <w:szCs w:val="18"/>
                    </w:rPr>
                  </w:pPr>
                  <w:r>
                    <w:rPr>
                      <w:rFonts w:hint="eastAsia" w:eastAsiaTheme="minorEastAsia"/>
                      <w:sz w:val="18"/>
                      <w:szCs w:val="18"/>
                    </w:rPr>
                    <w:t>1</w:t>
                  </w:r>
                </w:p>
              </w:tc>
              <w:tc>
                <w:tcPr>
                  <w:tcW w:w="472" w:type="pct"/>
                  <w:vAlign w:val="center"/>
                </w:tcPr>
                <w:p w14:paraId="2468971C">
                  <w:pPr>
                    <w:widowControl/>
                    <w:jc w:val="center"/>
                    <w:textAlignment w:val="center"/>
                    <w:rPr>
                      <w:sz w:val="18"/>
                      <w:szCs w:val="18"/>
                    </w:rPr>
                  </w:pPr>
                  <w:r>
                    <w:rPr>
                      <w:rFonts w:hint="eastAsia"/>
                      <w:sz w:val="18"/>
                      <w:szCs w:val="18"/>
                    </w:rPr>
                    <w:t>2.26</w:t>
                  </w:r>
                </w:p>
              </w:tc>
              <w:tc>
                <w:tcPr>
                  <w:tcW w:w="492" w:type="pct"/>
                  <w:vAlign w:val="center"/>
                </w:tcPr>
                <w:p w14:paraId="3F3A8878">
                  <w:pPr>
                    <w:widowControl/>
                    <w:jc w:val="center"/>
                    <w:textAlignment w:val="center"/>
                    <w:rPr>
                      <w:sz w:val="18"/>
                      <w:szCs w:val="18"/>
                    </w:rPr>
                  </w:pPr>
                  <w:r>
                    <w:rPr>
                      <w:rFonts w:hint="eastAsia"/>
                      <w:sz w:val="18"/>
                      <w:szCs w:val="18"/>
                    </w:rPr>
                    <w:t>86.55</w:t>
                  </w:r>
                </w:p>
              </w:tc>
              <w:tc>
                <w:tcPr>
                  <w:tcW w:w="269" w:type="pct"/>
                  <w:vMerge w:val="continue"/>
                  <w:vAlign w:val="center"/>
                </w:tcPr>
                <w:p w14:paraId="3DB64716">
                  <w:pPr>
                    <w:jc w:val="center"/>
                    <w:rPr>
                      <w:rFonts w:eastAsiaTheme="minorEastAsia"/>
                      <w:sz w:val="18"/>
                      <w:szCs w:val="18"/>
                    </w:rPr>
                  </w:pPr>
                </w:p>
              </w:tc>
              <w:tc>
                <w:tcPr>
                  <w:tcW w:w="423" w:type="pct"/>
                  <w:vAlign w:val="center"/>
                </w:tcPr>
                <w:p w14:paraId="27492F7D">
                  <w:pPr>
                    <w:jc w:val="center"/>
                    <w:rPr>
                      <w:sz w:val="18"/>
                      <w:szCs w:val="18"/>
                    </w:rPr>
                  </w:pPr>
                  <w:r>
                    <w:rPr>
                      <w:rFonts w:eastAsiaTheme="minorEastAsia"/>
                      <w:sz w:val="18"/>
                      <w:szCs w:val="18"/>
                    </w:rPr>
                    <w:t>20</w:t>
                  </w:r>
                </w:p>
              </w:tc>
              <w:tc>
                <w:tcPr>
                  <w:tcW w:w="467" w:type="pct"/>
                  <w:vAlign w:val="center"/>
                </w:tcPr>
                <w:p w14:paraId="76ED79DD">
                  <w:pPr>
                    <w:widowControl/>
                    <w:jc w:val="center"/>
                    <w:textAlignment w:val="center"/>
                    <w:rPr>
                      <w:sz w:val="18"/>
                      <w:szCs w:val="18"/>
                    </w:rPr>
                  </w:pPr>
                  <w:r>
                    <w:rPr>
                      <w:rFonts w:hint="eastAsia"/>
                      <w:sz w:val="18"/>
                      <w:szCs w:val="18"/>
                    </w:rPr>
                    <w:t>66.55</w:t>
                  </w:r>
                </w:p>
              </w:tc>
              <w:tc>
                <w:tcPr>
                  <w:tcW w:w="351" w:type="pct"/>
                  <w:vAlign w:val="center"/>
                </w:tcPr>
                <w:p w14:paraId="6631783C">
                  <w:pPr>
                    <w:jc w:val="center"/>
                    <w:rPr>
                      <w:rFonts w:eastAsiaTheme="minorEastAsia"/>
                      <w:sz w:val="18"/>
                      <w:szCs w:val="18"/>
                    </w:rPr>
                  </w:pPr>
                  <w:r>
                    <w:rPr>
                      <w:rFonts w:eastAsiaTheme="minorEastAsia"/>
                      <w:sz w:val="18"/>
                      <w:szCs w:val="18"/>
                    </w:rPr>
                    <w:t>1</w:t>
                  </w:r>
                </w:p>
              </w:tc>
            </w:tr>
            <w:tr w14:paraId="7669B6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Align w:val="center"/>
                </w:tcPr>
                <w:p w14:paraId="22A60F71">
                  <w:pPr>
                    <w:widowControl/>
                    <w:jc w:val="center"/>
                    <w:rPr>
                      <w:kern w:val="0"/>
                      <w:sz w:val="18"/>
                      <w:szCs w:val="18"/>
                    </w:rPr>
                  </w:pPr>
                  <w:r>
                    <w:rPr>
                      <w:kern w:val="0"/>
                      <w:sz w:val="18"/>
                      <w:szCs w:val="18"/>
                    </w:rPr>
                    <w:t>环辊磨</w:t>
                  </w:r>
                </w:p>
              </w:tc>
              <w:tc>
                <w:tcPr>
                  <w:tcW w:w="414" w:type="pct"/>
                  <w:vAlign w:val="center"/>
                </w:tcPr>
                <w:p w14:paraId="5541DCBC">
                  <w:pPr>
                    <w:widowControl/>
                    <w:jc w:val="center"/>
                    <w:textAlignment w:val="bottom"/>
                    <w:rPr>
                      <w:sz w:val="18"/>
                      <w:szCs w:val="18"/>
                    </w:rPr>
                  </w:pPr>
                  <w:r>
                    <w:rPr>
                      <w:rFonts w:hint="eastAsia"/>
                      <w:sz w:val="18"/>
                      <w:szCs w:val="18"/>
                    </w:rPr>
                    <w:t>95</w:t>
                  </w:r>
                </w:p>
              </w:tc>
              <w:tc>
                <w:tcPr>
                  <w:tcW w:w="414" w:type="pct"/>
                  <w:vAlign w:val="center"/>
                </w:tcPr>
                <w:p w14:paraId="280A2627">
                  <w:pPr>
                    <w:jc w:val="center"/>
                    <w:rPr>
                      <w:sz w:val="18"/>
                      <w:szCs w:val="18"/>
                    </w:rPr>
                  </w:pPr>
                  <w:r>
                    <w:rPr>
                      <w:rFonts w:eastAsiaTheme="minorEastAsia"/>
                      <w:sz w:val="18"/>
                      <w:szCs w:val="18"/>
                    </w:rPr>
                    <w:t>减振隔声</w:t>
                  </w:r>
                </w:p>
              </w:tc>
              <w:tc>
                <w:tcPr>
                  <w:tcW w:w="414" w:type="pct"/>
                  <w:vAlign w:val="center"/>
                </w:tcPr>
                <w:p w14:paraId="10273063">
                  <w:pPr>
                    <w:widowControl/>
                    <w:jc w:val="center"/>
                    <w:textAlignment w:val="bottom"/>
                    <w:rPr>
                      <w:rFonts w:eastAsiaTheme="minorEastAsia"/>
                      <w:sz w:val="18"/>
                      <w:szCs w:val="18"/>
                    </w:rPr>
                  </w:pPr>
                  <w:r>
                    <w:rPr>
                      <w:rFonts w:hint="eastAsia" w:eastAsiaTheme="minorEastAsia"/>
                      <w:sz w:val="18"/>
                      <w:szCs w:val="18"/>
                    </w:rPr>
                    <w:t>38.79</w:t>
                  </w:r>
                </w:p>
              </w:tc>
              <w:tc>
                <w:tcPr>
                  <w:tcW w:w="414" w:type="pct"/>
                  <w:vAlign w:val="center"/>
                </w:tcPr>
                <w:p w14:paraId="775BA7B7">
                  <w:pPr>
                    <w:widowControl/>
                    <w:jc w:val="center"/>
                    <w:textAlignment w:val="bottom"/>
                    <w:rPr>
                      <w:rFonts w:eastAsiaTheme="minorEastAsia"/>
                      <w:sz w:val="18"/>
                      <w:szCs w:val="18"/>
                    </w:rPr>
                  </w:pPr>
                  <w:r>
                    <w:rPr>
                      <w:rFonts w:hint="eastAsia" w:eastAsiaTheme="minorEastAsia"/>
                      <w:sz w:val="18"/>
                      <w:szCs w:val="18"/>
                    </w:rPr>
                    <w:t>75.54</w:t>
                  </w:r>
                </w:p>
              </w:tc>
              <w:tc>
                <w:tcPr>
                  <w:tcW w:w="414" w:type="pct"/>
                  <w:vAlign w:val="center"/>
                </w:tcPr>
                <w:p w14:paraId="08105A2F">
                  <w:pPr>
                    <w:widowControl/>
                    <w:jc w:val="center"/>
                    <w:textAlignment w:val="bottom"/>
                    <w:rPr>
                      <w:rFonts w:eastAsiaTheme="minorEastAsia"/>
                      <w:sz w:val="18"/>
                      <w:szCs w:val="18"/>
                    </w:rPr>
                  </w:pPr>
                  <w:r>
                    <w:rPr>
                      <w:rFonts w:hint="eastAsia" w:eastAsiaTheme="minorEastAsia"/>
                      <w:sz w:val="18"/>
                      <w:szCs w:val="18"/>
                    </w:rPr>
                    <w:t>1</w:t>
                  </w:r>
                </w:p>
              </w:tc>
              <w:tc>
                <w:tcPr>
                  <w:tcW w:w="472" w:type="pct"/>
                  <w:vAlign w:val="center"/>
                </w:tcPr>
                <w:p w14:paraId="5ACA5992">
                  <w:pPr>
                    <w:widowControl/>
                    <w:jc w:val="center"/>
                    <w:textAlignment w:val="center"/>
                    <w:rPr>
                      <w:sz w:val="18"/>
                      <w:szCs w:val="18"/>
                    </w:rPr>
                  </w:pPr>
                  <w:r>
                    <w:rPr>
                      <w:rFonts w:hint="eastAsia"/>
                      <w:sz w:val="18"/>
                      <w:szCs w:val="18"/>
                    </w:rPr>
                    <w:t>3.68</w:t>
                  </w:r>
                </w:p>
              </w:tc>
              <w:tc>
                <w:tcPr>
                  <w:tcW w:w="492" w:type="pct"/>
                  <w:vAlign w:val="center"/>
                </w:tcPr>
                <w:p w14:paraId="0FE826FD">
                  <w:pPr>
                    <w:widowControl/>
                    <w:jc w:val="center"/>
                    <w:textAlignment w:val="center"/>
                    <w:rPr>
                      <w:sz w:val="18"/>
                      <w:szCs w:val="18"/>
                    </w:rPr>
                  </w:pPr>
                  <w:r>
                    <w:rPr>
                      <w:rFonts w:hint="eastAsia"/>
                      <w:sz w:val="18"/>
                      <w:szCs w:val="18"/>
                    </w:rPr>
                    <w:t>86.25</w:t>
                  </w:r>
                </w:p>
              </w:tc>
              <w:tc>
                <w:tcPr>
                  <w:tcW w:w="269" w:type="pct"/>
                  <w:vMerge w:val="continue"/>
                  <w:vAlign w:val="center"/>
                </w:tcPr>
                <w:p w14:paraId="50C47E27">
                  <w:pPr>
                    <w:jc w:val="center"/>
                    <w:rPr>
                      <w:rFonts w:eastAsiaTheme="minorEastAsia"/>
                      <w:sz w:val="18"/>
                      <w:szCs w:val="18"/>
                    </w:rPr>
                  </w:pPr>
                </w:p>
              </w:tc>
              <w:tc>
                <w:tcPr>
                  <w:tcW w:w="423" w:type="pct"/>
                  <w:vAlign w:val="center"/>
                </w:tcPr>
                <w:p w14:paraId="5350F62F">
                  <w:pPr>
                    <w:jc w:val="center"/>
                    <w:rPr>
                      <w:sz w:val="18"/>
                      <w:szCs w:val="18"/>
                    </w:rPr>
                  </w:pPr>
                  <w:r>
                    <w:rPr>
                      <w:rFonts w:eastAsiaTheme="minorEastAsia"/>
                      <w:sz w:val="18"/>
                      <w:szCs w:val="18"/>
                    </w:rPr>
                    <w:t>20</w:t>
                  </w:r>
                </w:p>
              </w:tc>
              <w:tc>
                <w:tcPr>
                  <w:tcW w:w="467" w:type="pct"/>
                  <w:vAlign w:val="center"/>
                </w:tcPr>
                <w:p w14:paraId="63F0F08C">
                  <w:pPr>
                    <w:widowControl/>
                    <w:jc w:val="center"/>
                    <w:textAlignment w:val="center"/>
                    <w:rPr>
                      <w:sz w:val="18"/>
                      <w:szCs w:val="18"/>
                    </w:rPr>
                  </w:pPr>
                  <w:r>
                    <w:rPr>
                      <w:rFonts w:hint="eastAsia"/>
                      <w:sz w:val="18"/>
                      <w:szCs w:val="18"/>
                    </w:rPr>
                    <w:t>66.25</w:t>
                  </w:r>
                </w:p>
              </w:tc>
              <w:tc>
                <w:tcPr>
                  <w:tcW w:w="351" w:type="pct"/>
                  <w:vAlign w:val="center"/>
                </w:tcPr>
                <w:p w14:paraId="44F99B94">
                  <w:pPr>
                    <w:jc w:val="center"/>
                    <w:rPr>
                      <w:rFonts w:eastAsiaTheme="minorEastAsia"/>
                      <w:sz w:val="18"/>
                      <w:szCs w:val="18"/>
                    </w:rPr>
                  </w:pPr>
                  <w:r>
                    <w:rPr>
                      <w:rFonts w:eastAsiaTheme="minorEastAsia"/>
                      <w:sz w:val="18"/>
                      <w:szCs w:val="18"/>
                    </w:rPr>
                    <w:t>1</w:t>
                  </w:r>
                </w:p>
              </w:tc>
            </w:tr>
            <w:tr w14:paraId="21C3A5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5" w:type="pct"/>
                  <w:vAlign w:val="center"/>
                </w:tcPr>
                <w:p w14:paraId="1C9E6155">
                  <w:pPr>
                    <w:widowControl/>
                    <w:jc w:val="center"/>
                    <w:textAlignment w:val="bottom"/>
                    <w:rPr>
                      <w:sz w:val="18"/>
                      <w:szCs w:val="18"/>
                    </w:rPr>
                  </w:pPr>
                  <w:r>
                    <w:rPr>
                      <w:sz w:val="18"/>
                      <w:szCs w:val="18"/>
                    </w:rPr>
                    <w:t>雷蒙磨</w:t>
                  </w:r>
                </w:p>
              </w:tc>
              <w:tc>
                <w:tcPr>
                  <w:tcW w:w="414" w:type="pct"/>
                  <w:vAlign w:val="center"/>
                </w:tcPr>
                <w:p w14:paraId="40BB8C0D">
                  <w:pPr>
                    <w:widowControl/>
                    <w:jc w:val="center"/>
                    <w:textAlignment w:val="bottom"/>
                    <w:rPr>
                      <w:sz w:val="18"/>
                      <w:szCs w:val="18"/>
                    </w:rPr>
                  </w:pPr>
                  <w:r>
                    <w:rPr>
                      <w:rFonts w:hint="eastAsia"/>
                      <w:sz w:val="18"/>
                      <w:szCs w:val="18"/>
                    </w:rPr>
                    <w:t>95</w:t>
                  </w:r>
                </w:p>
              </w:tc>
              <w:tc>
                <w:tcPr>
                  <w:tcW w:w="414" w:type="pct"/>
                  <w:vAlign w:val="center"/>
                </w:tcPr>
                <w:p w14:paraId="50807DE4">
                  <w:pPr>
                    <w:jc w:val="center"/>
                    <w:rPr>
                      <w:sz w:val="18"/>
                      <w:szCs w:val="18"/>
                    </w:rPr>
                  </w:pPr>
                  <w:r>
                    <w:rPr>
                      <w:rFonts w:eastAsiaTheme="minorEastAsia"/>
                      <w:sz w:val="18"/>
                      <w:szCs w:val="18"/>
                    </w:rPr>
                    <w:t>减振隔声</w:t>
                  </w:r>
                </w:p>
              </w:tc>
              <w:tc>
                <w:tcPr>
                  <w:tcW w:w="414" w:type="pct"/>
                  <w:vAlign w:val="center"/>
                </w:tcPr>
                <w:p w14:paraId="342D6C69">
                  <w:pPr>
                    <w:widowControl/>
                    <w:jc w:val="center"/>
                    <w:textAlignment w:val="bottom"/>
                    <w:rPr>
                      <w:rFonts w:eastAsiaTheme="minorEastAsia"/>
                      <w:sz w:val="18"/>
                      <w:szCs w:val="18"/>
                    </w:rPr>
                  </w:pPr>
                  <w:r>
                    <w:rPr>
                      <w:rFonts w:hint="eastAsia" w:eastAsiaTheme="minorEastAsia"/>
                      <w:sz w:val="18"/>
                      <w:szCs w:val="18"/>
                    </w:rPr>
                    <w:t>30.59</w:t>
                  </w:r>
                </w:p>
              </w:tc>
              <w:tc>
                <w:tcPr>
                  <w:tcW w:w="414" w:type="pct"/>
                  <w:vAlign w:val="center"/>
                </w:tcPr>
                <w:p w14:paraId="5720C965">
                  <w:pPr>
                    <w:widowControl/>
                    <w:jc w:val="center"/>
                    <w:textAlignment w:val="bottom"/>
                    <w:rPr>
                      <w:rFonts w:eastAsiaTheme="minorEastAsia"/>
                      <w:sz w:val="18"/>
                      <w:szCs w:val="18"/>
                    </w:rPr>
                  </w:pPr>
                  <w:r>
                    <w:rPr>
                      <w:rFonts w:hint="eastAsia" w:eastAsiaTheme="minorEastAsia"/>
                      <w:sz w:val="18"/>
                      <w:szCs w:val="18"/>
                    </w:rPr>
                    <w:t>71.58</w:t>
                  </w:r>
                </w:p>
              </w:tc>
              <w:tc>
                <w:tcPr>
                  <w:tcW w:w="414" w:type="pct"/>
                  <w:vAlign w:val="center"/>
                </w:tcPr>
                <w:p w14:paraId="608F7BDA">
                  <w:pPr>
                    <w:widowControl/>
                    <w:jc w:val="center"/>
                    <w:textAlignment w:val="bottom"/>
                    <w:rPr>
                      <w:rFonts w:eastAsiaTheme="minorEastAsia"/>
                      <w:sz w:val="18"/>
                      <w:szCs w:val="18"/>
                    </w:rPr>
                  </w:pPr>
                  <w:r>
                    <w:rPr>
                      <w:rFonts w:hint="eastAsia" w:eastAsiaTheme="minorEastAsia"/>
                      <w:sz w:val="18"/>
                      <w:szCs w:val="18"/>
                    </w:rPr>
                    <w:t>1</w:t>
                  </w:r>
                </w:p>
              </w:tc>
              <w:tc>
                <w:tcPr>
                  <w:tcW w:w="472" w:type="pct"/>
                  <w:vAlign w:val="center"/>
                </w:tcPr>
                <w:p w14:paraId="68A6FEA2">
                  <w:pPr>
                    <w:widowControl/>
                    <w:jc w:val="center"/>
                    <w:textAlignment w:val="center"/>
                    <w:rPr>
                      <w:sz w:val="18"/>
                      <w:szCs w:val="18"/>
                    </w:rPr>
                  </w:pPr>
                  <w:r>
                    <w:rPr>
                      <w:rFonts w:hint="eastAsia"/>
                      <w:sz w:val="18"/>
                      <w:szCs w:val="18"/>
                    </w:rPr>
                    <w:t>3.33</w:t>
                  </w:r>
                </w:p>
              </w:tc>
              <w:tc>
                <w:tcPr>
                  <w:tcW w:w="492" w:type="pct"/>
                  <w:vAlign w:val="center"/>
                </w:tcPr>
                <w:p w14:paraId="74EF70B6">
                  <w:pPr>
                    <w:widowControl/>
                    <w:jc w:val="center"/>
                    <w:textAlignment w:val="center"/>
                    <w:rPr>
                      <w:sz w:val="18"/>
                      <w:szCs w:val="18"/>
                    </w:rPr>
                  </w:pPr>
                  <w:r>
                    <w:rPr>
                      <w:rFonts w:hint="eastAsia"/>
                      <w:sz w:val="18"/>
                      <w:szCs w:val="18"/>
                    </w:rPr>
                    <w:t>86.29</w:t>
                  </w:r>
                </w:p>
              </w:tc>
              <w:tc>
                <w:tcPr>
                  <w:tcW w:w="269" w:type="pct"/>
                  <w:vMerge w:val="continue"/>
                  <w:vAlign w:val="center"/>
                </w:tcPr>
                <w:p w14:paraId="76F7A5AB">
                  <w:pPr>
                    <w:jc w:val="center"/>
                    <w:rPr>
                      <w:rFonts w:eastAsiaTheme="minorEastAsia"/>
                      <w:sz w:val="18"/>
                      <w:szCs w:val="18"/>
                    </w:rPr>
                  </w:pPr>
                </w:p>
              </w:tc>
              <w:tc>
                <w:tcPr>
                  <w:tcW w:w="423" w:type="pct"/>
                  <w:vAlign w:val="center"/>
                </w:tcPr>
                <w:p w14:paraId="08BFB151">
                  <w:pPr>
                    <w:jc w:val="center"/>
                    <w:rPr>
                      <w:sz w:val="18"/>
                      <w:szCs w:val="18"/>
                    </w:rPr>
                  </w:pPr>
                  <w:r>
                    <w:rPr>
                      <w:rFonts w:eastAsiaTheme="minorEastAsia"/>
                      <w:sz w:val="18"/>
                      <w:szCs w:val="18"/>
                    </w:rPr>
                    <w:t>20</w:t>
                  </w:r>
                </w:p>
              </w:tc>
              <w:tc>
                <w:tcPr>
                  <w:tcW w:w="467" w:type="pct"/>
                  <w:vAlign w:val="center"/>
                </w:tcPr>
                <w:p w14:paraId="30A124F7">
                  <w:pPr>
                    <w:widowControl/>
                    <w:jc w:val="center"/>
                    <w:textAlignment w:val="center"/>
                    <w:rPr>
                      <w:sz w:val="18"/>
                      <w:szCs w:val="18"/>
                    </w:rPr>
                  </w:pPr>
                  <w:r>
                    <w:rPr>
                      <w:rFonts w:hint="eastAsia"/>
                      <w:sz w:val="18"/>
                      <w:szCs w:val="18"/>
                    </w:rPr>
                    <w:t>60.29</w:t>
                  </w:r>
                </w:p>
              </w:tc>
              <w:tc>
                <w:tcPr>
                  <w:tcW w:w="351" w:type="pct"/>
                  <w:vAlign w:val="center"/>
                </w:tcPr>
                <w:p w14:paraId="039CFFC6">
                  <w:pPr>
                    <w:jc w:val="center"/>
                    <w:rPr>
                      <w:rFonts w:eastAsiaTheme="minorEastAsia"/>
                      <w:sz w:val="18"/>
                      <w:szCs w:val="18"/>
                    </w:rPr>
                  </w:pPr>
                  <w:r>
                    <w:rPr>
                      <w:rFonts w:eastAsiaTheme="minorEastAsia"/>
                      <w:sz w:val="18"/>
                      <w:szCs w:val="18"/>
                    </w:rPr>
                    <w:t>1</w:t>
                  </w:r>
                </w:p>
              </w:tc>
            </w:tr>
          </w:tbl>
          <w:p w14:paraId="51BC1CBC">
            <w:pPr>
              <w:spacing w:line="360" w:lineRule="auto"/>
              <w:ind w:firstLine="420" w:firstLineChars="200"/>
              <w:rPr>
                <w:rFonts w:hAnsi="宋体"/>
                <w:kern w:val="0"/>
                <w:szCs w:val="21"/>
              </w:rPr>
            </w:pPr>
            <w:r>
              <w:rPr>
                <w:rFonts w:hint="eastAsia" w:hAnsi="宋体"/>
                <w:kern w:val="0"/>
                <w:szCs w:val="21"/>
              </w:rPr>
              <w:t xml:space="preserve">注：1、坐标原点为：E </w:t>
            </w:r>
            <w:r>
              <w:rPr>
                <w:rFonts w:hAnsi="宋体"/>
                <w:kern w:val="0"/>
                <w:szCs w:val="21"/>
              </w:rPr>
              <w:t>112.</w:t>
            </w:r>
            <w:r>
              <w:rPr>
                <w:rFonts w:hint="eastAsia" w:hAnsi="宋体"/>
                <w:kern w:val="0"/>
                <w:szCs w:val="21"/>
              </w:rPr>
              <w:t>449183</w:t>
            </w:r>
            <w:r>
              <w:rPr>
                <w:rFonts w:hAnsi="宋体"/>
                <w:kern w:val="0"/>
                <w:szCs w:val="21"/>
              </w:rPr>
              <w:t>°，</w:t>
            </w:r>
            <w:r>
              <w:rPr>
                <w:rFonts w:hint="eastAsia" w:hAnsi="宋体"/>
                <w:kern w:val="0"/>
                <w:szCs w:val="21"/>
              </w:rPr>
              <w:t xml:space="preserve">N </w:t>
            </w:r>
            <w:r>
              <w:rPr>
                <w:rFonts w:hAnsi="宋体"/>
                <w:kern w:val="0"/>
                <w:szCs w:val="21"/>
              </w:rPr>
              <w:t>2</w:t>
            </w:r>
            <w:r>
              <w:rPr>
                <w:rFonts w:hint="eastAsia" w:hAnsi="宋体"/>
                <w:kern w:val="0"/>
                <w:szCs w:val="21"/>
              </w:rPr>
              <w:t>6.943596</w:t>
            </w:r>
            <w:r>
              <w:rPr>
                <w:rFonts w:hAnsi="宋体"/>
                <w:kern w:val="0"/>
                <w:szCs w:val="21"/>
              </w:rPr>
              <w:t>°</w:t>
            </w:r>
            <w:r>
              <w:rPr>
                <w:rFonts w:hint="eastAsia" w:hAnsi="宋体"/>
                <w:kern w:val="0"/>
                <w:szCs w:val="21"/>
              </w:rPr>
              <w:t>，东向为X轴正方向，北向为Y轴正方向；2、厂房为钢架结构，隔声量取20dB（A）。</w:t>
            </w:r>
          </w:p>
          <w:p w14:paraId="2606C0C3">
            <w:pPr>
              <w:spacing w:line="360" w:lineRule="auto"/>
              <w:ind w:firstLine="482" w:firstLineChars="200"/>
              <w:rPr>
                <w:rFonts w:hAnsi="宋体"/>
                <w:b/>
                <w:kern w:val="0"/>
                <w:sz w:val="24"/>
              </w:rPr>
            </w:pPr>
            <w:r>
              <w:rPr>
                <w:rFonts w:hint="eastAsia" w:hAnsi="宋体"/>
                <w:b/>
                <w:kern w:val="0"/>
                <w:sz w:val="24"/>
              </w:rPr>
              <w:t>（2）基础数据</w:t>
            </w:r>
          </w:p>
          <w:p w14:paraId="44916FCA">
            <w:pPr>
              <w:spacing w:line="360" w:lineRule="auto"/>
              <w:ind w:firstLine="480" w:firstLineChars="200"/>
              <w:rPr>
                <w:rFonts w:hAnsi="宋体"/>
                <w:kern w:val="0"/>
                <w:sz w:val="24"/>
              </w:rPr>
            </w:pPr>
            <w:r>
              <w:rPr>
                <w:rFonts w:hint="eastAsia" w:hAnsi="宋体"/>
                <w:kern w:val="0"/>
                <w:sz w:val="24"/>
              </w:rPr>
              <w:t>项目噪声环境影响预测基础数据见表4-11。</w:t>
            </w:r>
          </w:p>
          <w:p w14:paraId="29C55735">
            <w:pPr>
              <w:pStyle w:val="17"/>
              <w:spacing w:before="120" w:beforeLines="50"/>
              <w:rPr>
                <w:rFonts w:ascii="Times New Roman" w:hAnsi="Times New Roman"/>
                <w:color w:val="auto"/>
                <w:sz w:val="21"/>
              </w:rPr>
            </w:pPr>
            <w:r>
              <w:rPr>
                <w:rFonts w:ascii="Times New Roman" w:hAnsi="Times New Roman"/>
                <w:color w:val="auto"/>
                <w:sz w:val="21"/>
              </w:rPr>
              <w:t>表</w:t>
            </w:r>
            <w:r>
              <w:rPr>
                <w:rFonts w:hint="eastAsia" w:ascii="Times New Roman" w:hAnsi="Times New Roman"/>
                <w:color w:val="auto"/>
                <w:sz w:val="21"/>
              </w:rPr>
              <w:t>4-11</w:t>
            </w:r>
            <w:r>
              <w:rPr>
                <w:rFonts w:ascii="Times New Roman" w:hAnsi="Times New Roman"/>
                <w:color w:val="auto"/>
                <w:sz w:val="21"/>
              </w:rPr>
              <w:t xml:space="preserve"> </w:t>
            </w:r>
            <w:r>
              <w:rPr>
                <w:rFonts w:hint="eastAsia" w:ascii="Times New Roman" w:hAnsi="Times New Roman"/>
                <w:color w:val="auto"/>
                <w:sz w:val="21"/>
              </w:rPr>
              <w:t xml:space="preserve"> 项目噪声环境影响预测基础数据表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56"/>
              <w:gridCol w:w="2361"/>
              <w:gridCol w:w="2353"/>
              <w:gridCol w:w="2351"/>
            </w:tblGrid>
            <w:tr w14:paraId="7FEDFF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atLeast"/>
              </w:trPr>
              <w:tc>
                <w:tcPr>
                  <w:tcW w:w="1250" w:type="pct"/>
                  <w:vAlign w:val="center"/>
                </w:tcPr>
                <w:p w14:paraId="5EF7D710">
                  <w:pPr>
                    <w:overflowPunct w:val="0"/>
                    <w:snapToGrid w:val="0"/>
                    <w:jc w:val="center"/>
                    <w:rPr>
                      <w:rFonts w:eastAsiaTheme="minorEastAsia"/>
                      <w:b/>
                      <w:szCs w:val="21"/>
                    </w:rPr>
                  </w:pPr>
                  <w:r>
                    <w:rPr>
                      <w:rFonts w:eastAsiaTheme="minorEastAsia"/>
                      <w:b/>
                      <w:szCs w:val="21"/>
                    </w:rPr>
                    <w:t>序号</w:t>
                  </w:r>
                </w:p>
              </w:tc>
              <w:tc>
                <w:tcPr>
                  <w:tcW w:w="1253" w:type="pct"/>
                  <w:vAlign w:val="center"/>
                </w:tcPr>
                <w:p w14:paraId="20BCC8C6">
                  <w:pPr>
                    <w:overflowPunct w:val="0"/>
                    <w:snapToGrid w:val="0"/>
                    <w:jc w:val="center"/>
                    <w:rPr>
                      <w:rFonts w:eastAsiaTheme="minorEastAsia"/>
                      <w:b/>
                      <w:szCs w:val="21"/>
                    </w:rPr>
                  </w:pPr>
                  <w:r>
                    <w:rPr>
                      <w:rFonts w:eastAsiaTheme="minorEastAsia"/>
                      <w:b/>
                      <w:szCs w:val="21"/>
                    </w:rPr>
                    <w:t>名称</w:t>
                  </w:r>
                </w:p>
              </w:tc>
              <w:tc>
                <w:tcPr>
                  <w:tcW w:w="1249" w:type="pct"/>
                  <w:vAlign w:val="center"/>
                </w:tcPr>
                <w:p w14:paraId="3CB9373E">
                  <w:pPr>
                    <w:overflowPunct w:val="0"/>
                    <w:snapToGrid w:val="0"/>
                    <w:jc w:val="center"/>
                    <w:rPr>
                      <w:rFonts w:eastAsiaTheme="minorEastAsia"/>
                      <w:b/>
                      <w:szCs w:val="21"/>
                    </w:rPr>
                  </w:pPr>
                  <w:r>
                    <w:rPr>
                      <w:rFonts w:eastAsiaTheme="minorEastAsia"/>
                      <w:b/>
                      <w:szCs w:val="21"/>
                    </w:rPr>
                    <w:t>单位</w:t>
                  </w:r>
                </w:p>
              </w:tc>
              <w:tc>
                <w:tcPr>
                  <w:tcW w:w="1248" w:type="pct"/>
                  <w:vAlign w:val="center"/>
                </w:tcPr>
                <w:p w14:paraId="75B774E1">
                  <w:pPr>
                    <w:overflowPunct w:val="0"/>
                    <w:snapToGrid w:val="0"/>
                    <w:jc w:val="center"/>
                    <w:rPr>
                      <w:rFonts w:eastAsiaTheme="minorEastAsia"/>
                      <w:b/>
                      <w:szCs w:val="21"/>
                    </w:rPr>
                  </w:pPr>
                  <w:r>
                    <w:rPr>
                      <w:rFonts w:eastAsiaTheme="minorEastAsia"/>
                      <w:b/>
                      <w:szCs w:val="21"/>
                    </w:rPr>
                    <w:t>数据</w:t>
                  </w:r>
                </w:p>
              </w:tc>
            </w:tr>
            <w:tr w14:paraId="6BB8F6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580BD8A4">
                  <w:pPr>
                    <w:overflowPunct w:val="0"/>
                    <w:snapToGrid w:val="0"/>
                    <w:jc w:val="center"/>
                    <w:rPr>
                      <w:rFonts w:eastAsiaTheme="minorEastAsia"/>
                      <w:szCs w:val="21"/>
                    </w:rPr>
                  </w:pPr>
                  <w:r>
                    <w:rPr>
                      <w:rFonts w:hint="eastAsia" w:eastAsiaTheme="minorEastAsia"/>
                      <w:szCs w:val="21"/>
                    </w:rPr>
                    <w:t>1</w:t>
                  </w:r>
                </w:p>
              </w:tc>
              <w:tc>
                <w:tcPr>
                  <w:tcW w:w="1253" w:type="pct"/>
                  <w:vAlign w:val="center"/>
                </w:tcPr>
                <w:p w14:paraId="16970962">
                  <w:pPr>
                    <w:pStyle w:val="2"/>
                    <w:ind w:firstLine="210"/>
                    <w:jc w:val="center"/>
                    <w:rPr>
                      <w:rFonts w:eastAsiaTheme="minorEastAsia"/>
                      <w:color w:val="auto"/>
                      <w:szCs w:val="21"/>
                    </w:rPr>
                  </w:pPr>
                  <w:r>
                    <w:rPr>
                      <w:rFonts w:hint="eastAsia"/>
                      <w:color w:val="auto"/>
                      <w:sz w:val="21"/>
                      <w:szCs w:val="21"/>
                    </w:rPr>
                    <w:t>年平均风速</w:t>
                  </w:r>
                </w:p>
              </w:tc>
              <w:tc>
                <w:tcPr>
                  <w:tcW w:w="1249" w:type="pct"/>
                  <w:vAlign w:val="center"/>
                </w:tcPr>
                <w:p w14:paraId="361BCF59">
                  <w:pPr>
                    <w:overflowPunct w:val="0"/>
                    <w:snapToGrid w:val="0"/>
                    <w:jc w:val="center"/>
                    <w:rPr>
                      <w:rFonts w:eastAsiaTheme="minorEastAsia"/>
                      <w:szCs w:val="21"/>
                    </w:rPr>
                  </w:pPr>
                  <w:r>
                    <w:rPr>
                      <w:rFonts w:hint="eastAsia" w:eastAsiaTheme="minorEastAsia"/>
                      <w:szCs w:val="21"/>
                    </w:rPr>
                    <w:t>m/s</w:t>
                  </w:r>
                </w:p>
              </w:tc>
              <w:tc>
                <w:tcPr>
                  <w:tcW w:w="1248" w:type="pct"/>
                  <w:vAlign w:val="center"/>
                </w:tcPr>
                <w:p w14:paraId="0C60A8E6">
                  <w:pPr>
                    <w:overflowPunct w:val="0"/>
                    <w:snapToGrid w:val="0"/>
                    <w:jc w:val="center"/>
                    <w:rPr>
                      <w:rFonts w:eastAsiaTheme="minorEastAsia"/>
                      <w:szCs w:val="21"/>
                    </w:rPr>
                  </w:pPr>
                  <w:r>
                    <w:rPr>
                      <w:rFonts w:hint="eastAsia" w:eastAsiaTheme="minorEastAsia"/>
                      <w:szCs w:val="21"/>
                    </w:rPr>
                    <w:t>1.9</w:t>
                  </w:r>
                </w:p>
              </w:tc>
            </w:tr>
            <w:tr w14:paraId="78E947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286430F2">
                  <w:pPr>
                    <w:jc w:val="center"/>
                    <w:rPr>
                      <w:rFonts w:eastAsiaTheme="minorEastAsia"/>
                      <w:szCs w:val="21"/>
                    </w:rPr>
                  </w:pPr>
                  <w:r>
                    <w:rPr>
                      <w:rFonts w:hint="eastAsia" w:eastAsiaTheme="minorEastAsia"/>
                      <w:szCs w:val="21"/>
                    </w:rPr>
                    <w:t>2</w:t>
                  </w:r>
                </w:p>
              </w:tc>
              <w:tc>
                <w:tcPr>
                  <w:tcW w:w="1253" w:type="pct"/>
                  <w:vAlign w:val="center"/>
                </w:tcPr>
                <w:p w14:paraId="72ABE684">
                  <w:pPr>
                    <w:jc w:val="center"/>
                    <w:rPr>
                      <w:rFonts w:eastAsiaTheme="minorEastAsia"/>
                      <w:szCs w:val="21"/>
                    </w:rPr>
                  </w:pPr>
                  <w:r>
                    <w:rPr>
                      <w:rFonts w:eastAsiaTheme="minorEastAsia"/>
                      <w:szCs w:val="21"/>
                    </w:rPr>
                    <w:t>主导风向</w:t>
                  </w:r>
                </w:p>
              </w:tc>
              <w:tc>
                <w:tcPr>
                  <w:tcW w:w="1249" w:type="pct"/>
                  <w:vAlign w:val="center"/>
                </w:tcPr>
                <w:p w14:paraId="7DC6C8E9">
                  <w:pPr>
                    <w:jc w:val="center"/>
                    <w:rPr>
                      <w:rFonts w:eastAsiaTheme="minorEastAsia"/>
                      <w:szCs w:val="21"/>
                    </w:rPr>
                  </w:pPr>
                  <w:r>
                    <w:rPr>
                      <w:rFonts w:hint="eastAsia" w:eastAsiaTheme="minorEastAsia"/>
                      <w:szCs w:val="21"/>
                    </w:rPr>
                    <w:t>/</w:t>
                  </w:r>
                </w:p>
              </w:tc>
              <w:tc>
                <w:tcPr>
                  <w:tcW w:w="1248" w:type="pct"/>
                  <w:vAlign w:val="center"/>
                </w:tcPr>
                <w:p w14:paraId="381FE892">
                  <w:pPr>
                    <w:overflowPunct w:val="0"/>
                    <w:snapToGrid w:val="0"/>
                    <w:jc w:val="center"/>
                    <w:rPr>
                      <w:rFonts w:eastAsiaTheme="minorEastAsia"/>
                      <w:szCs w:val="21"/>
                    </w:rPr>
                  </w:pPr>
                  <w:r>
                    <w:rPr>
                      <w:rFonts w:hint="eastAsia" w:eastAsiaTheme="minorEastAsia"/>
                      <w:szCs w:val="21"/>
                    </w:rPr>
                    <w:t>北</w:t>
                  </w:r>
                </w:p>
              </w:tc>
            </w:tr>
            <w:tr w14:paraId="199342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1A0D430E">
                  <w:pPr>
                    <w:jc w:val="center"/>
                    <w:rPr>
                      <w:rFonts w:eastAsiaTheme="minorEastAsia"/>
                      <w:szCs w:val="21"/>
                    </w:rPr>
                  </w:pPr>
                  <w:r>
                    <w:rPr>
                      <w:rFonts w:hint="eastAsia" w:eastAsiaTheme="minorEastAsia"/>
                      <w:szCs w:val="21"/>
                    </w:rPr>
                    <w:t>3</w:t>
                  </w:r>
                </w:p>
              </w:tc>
              <w:tc>
                <w:tcPr>
                  <w:tcW w:w="1253" w:type="pct"/>
                  <w:vAlign w:val="center"/>
                </w:tcPr>
                <w:p w14:paraId="7D30D026">
                  <w:pPr>
                    <w:jc w:val="center"/>
                    <w:rPr>
                      <w:rFonts w:eastAsiaTheme="minorEastAsia"/>
                      <w:szCs w:val="21"/>
                    </w:rPr>
                  </w:pPr>
                  <w:r>
                    <w:rPr>
                      <w:rFonts w:eastAsiaTheme="minorEastAsia"/>
                      <w:szCs w:val="21"/>
                    </w:rPr>
                    <w:t>年平均气温</w:t>
                  </w:r>
                </w:p>
              </w:tc>
              <w:tc>
                <w:tcPr>
                  <w:tcW w:w="1249" w:type="pct"/>
                  <w:vAlign w:val="center"/>
                </w:tcPr>
                <w:p w14:paraId="4CE27032">
                  <w:pPr>
                    <w:jc w:val="center"/>
                    <w:rPr>
                      <w:rFonts w:eastAsiaTheme="minorEastAsia"/>
                      <w:szCs w:val="21"/>
                    </w:rPr>
                  </w:pPr>
                  <w:r>
                    <w:rPr>
                      <w:rFonts w:eastAsiaTheme="minorEastAsia"/>
                      <w:szCs w:val="21"/>
                    </w:rPr>
                    <w:t>℃</w:t>
                  </w:r>
                </w:p>
              </w:tc>
              <w:tc>
                <w:tcPr>
                  <w:tcW w:w="1248" w:type="pct"/>
                  <w:vAlign w:val="center"/>
                </w:tcPr>
                <w:p w14:paraId="3EDDAFE5">
                  <w:pPr>
                    <w:overflowPunct w:val="0"/>
                    <w:snapToGrid w:val="0"/>
                    <w:jc w:val="center"/>
                    <w:rPr>
                      <w:rFonts w:eastAsiaTheme="minorEastAsia"/>
                      <w:szCs w:val="21"/>
                    </w:rPr>
                  </w:pPr>
                  <w:r>
                    <w:rPr>
                      <w:rFonts w:hint="eastAsia" w:eastAsiaTheme="minorEastAsia"/>
                      <w:szCs w:val="21"/>
                    </w:rPr>
                    <w:t>18.5</w:t>
                  </w:r>
                </w:p>
              </w:tc>
            </w:tr>
            <w:tr w14:paraId="2134F6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55661673">
                  <w:pPr>
                    <w:jc w:val="center"/>
                    <w:rPr>
                      <w:rFonts w:eastAsiaTheme="minorEastAsia"/>
                      <w:szCs w:val="21"/>
                    </w:rPr>
                  </w:pPr>
                  <w:r>
                    <w:rPr>
                      <w:rFonts w:hint="eastAsia" w:eastAsiaTheme="minorEastAsia"/>
                      <w:szCs w:val="21"/>
                    </w:rPr>
                    <w:t>4</w:t>
                  </w:r>
                </w:p>
              </w:tc>
              <w:tc>
                <w:tcPr>
                  <w:tcW w:w="1253" w:type="pct"/>
                  <w:vAlign w:val="center"/>
                </w:tcPr>
                <w:p w14:paraId="1FC9E951">
                  <w:pPr>
                    <w:jc w:val="center"/>
                    <w:rPr>
                      <w:rFonts w:eastAsiaTheme="minorEastAsia"/>
                      <w:szCs w:val="21"/>
                    </w:rPr>
                  </w:pPr>
                  <w:r>
                    <w:rPr>
                      <w:rFonts w:eastAsiaTheme="minorEastAsia"/>
                      <w:szCs w:val="21"/>
                    </w:rPr>
                    <w:t>年平均相对湿度</w:t>
                  </w:r>
                </w:p>
              </w:tc>
              <w:tc>
                <w:tcPr>
                  <w:tcW w:w="1249" w:type="pct"/>
                  <w:vAlign w:val="center"/>
                </w:tcPr>
                <w:p w14:paraId="40E16810">
                  <w:pPr>
                    <w:jc w:val="center"/>
                    <w:rPr>
                      <w:rFonts w:eastAsiaTheme="minorEastAsia"/>
                      <w:szCs w:val="21"/>
                    </w:rPr>
                  </w:pPr>
                  <w:r>
                    <w:rPr>
                      <w:rFonts w:eastAsiaTheme="minorEastAsia"/>
                      <w:szCs w:val="21"/>
                    </w:rPr>
                    <w:t>%</w:t>
                  </w:r>
                </w:p>
              </w:tc>
              <w:tc>
                <w:tcPr>
                  <w:tcW w:w="1248" w:type="pct"/>
                  <w:vAlign w:val="center"/>
                </w:tcPr>
                <w:p w14:paraId="10CEDC70">
                  <w:pPr>
                    <w:overflowPunct w:val="0"/>
                    <w:snapToGrid w:val="0"/>
                    <w:jc w:val="center"/>
                    <w:rPr>
                      <w:rFonts w:eastAsiaTheme="minorEastAsia"/>
                      <w:szCs w:val="21"/>
                    </w:rPr>
                  </w:pPr>
                  <w:r>
                    <w:rPr>
                      <w:rFonts w:hint="eastAsia" w:eastAsiaTheme="minorEastAsia"/>
                      <w:szCs w:val="21"/>
                    </w:rPr>
                    <w:t>76.5</w:t>
                  </w:r>
                </w:p>
              </w:tc>
            </w:tr>
            <w:tr w14:paraId="0ADD6E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50" w:type="pct"/>
                  <w:vAlign w:val="center"/>
                </w:tcPr>
                <w:p w14:paraId="28CE4055">
                  <w:pPr>
                    <w:jc w:val="center"/>
                    <w:rPr>
                      <w:rFonts w:eastAsiaTheme="minorEastAsia"/>
                      <w:szCs w:val="21"/>
                    </w:rPr>
                  </w:pPr>
                  <w:r>
                    <w:rPr>
                      <w:rFonts w:hint="eastAsia" w:eastAsiaTheme="minorEastAsia"/>
                      <w:szCs w:val="21"/>
                    </w:rPr>
                    <w:t>5</w:t>
                  </w:r>
                </w:p>
              </w:tc>
              <w:tc>
                <w:tcPr>
                  <w:tcW w:w="1253" w:type="pct"/>
                  <w:vAlign w:val="center"/>
                </w:tcPr>
                <w:p w14:paraId="4646BFA2">
                  <w:pPr>
                    <w:jc w:val="center"/>
                    <w:rPr>
                      <w:rFonts w:eastAsiaTheme="minorEastAsia"/>
                      <w:szCs w:val="21"/>
                    </w:rPr>
                  </w:pPr>
                  <w:r>
                    <w:rPr>
                      <w:rFonts w:eastAsiaTheme="minorEastAsia"/>
                      <w:szCs w:val="21"/>
                    </w:rPr>
                    <w:t>大气压强</w:t>
                  </w:r>
                </w:p>
              </w:tc>
              <w:tc>
                <w:tcPr>
                  <w:tcW w:w="1249" w:type="pct"/>
                  <w:vAlign w:val="center"/>
                </w:tcPr>
                <w:p w14:paraId="5567FE5C">
                  <w:pPr>
                    <w:jc w:val="center"/>
                    <w:rPr>
                      <w:rFonts w:eastAsiaTheme="minorEastAsia"/>
                      <w:szCs w:val="21"/>
                    </w:rPr>
                  </w:pPr>
                  <w:r>
                    <w:rPr>
                      <w:rFonts w:hint="eastAsia" w:eastAsiaTheme="minorEastAsia"/>
                      <w:szCs w:val="21"/>
                    </w:rPr>
                    <w:t>atm</w:t>
                  </w:r>
                </w:p>
              </w:tc>
              <w:tc>
                <w:tcPr>
                  <w:tcW w:w="1248" w:type="pct"/>
                  <w:vAlign w:val="center"/>
                </w:tcPr>
                <w:p w14:paraId="4FB282D2">
                  <w:pPr>
                    <w:overflowPunct w:val="0"/>
                    <w:snapToGrid w:val="0"/>
                    <w:jc w:val="center"/>
                    <w:rPr>
                      <w:rFonts w:eastAsiaTheme="minorEastAsia"/>
                      <w:szCs w:val="21"/>
                    </w:rPr>
                  </w:pPr>
                  <w:r>
                    <w:rPr>
                      <w:rFonts w:hint="eastAsia" w:eastAsiaTheme="minorEastAsia"/>
                      <w:szCs w:val="21"/>
                    </w:rPr>
                    <w:t>1</w:t>
                  </w:r>
                </w:p>
              </w:tc>
            </w:tr>
          </w:tbl>
          <w:p w14:paraId="104D1909">
            <w:pPr>
              <w:spacing w:line="360" w:lineRule="auto"/>
              <w:ind w:firstLine="480" w:firstLineChars="200"/>
              <w:rPr>
                <w:rFonts w:hAnsi="宋体"/>
                <w:kern w:val="0"/>
                <w:sz w:val="24"/>
              </w:rPr>
            </w:pPr>
            <w:r>
              <w:rPr>
                <w:rFonts w:hint="eastAsia" w:hAnsi="宋体"/>
                <w:kern w:val="0"/>
                <w:sz w:val="24"/>
              </w:rPr>
              <w:t>声源和预测点间的地形、高差、障碍物、树林、灌木等的分布情况以及地面覆盖情况（如草地、水面、水泥地面、土质地面等）根据现场踏勘、项目总平图等，并结合卫星图片地理信息数据确定，数据精度为</w:t>
            </w:r>
            <w:r>
              <w:rPr>
                <w:rFonts w:hAnsi="宋体"/>
                <w:kern w:val="0"/>
                <w:sz w:val="24"/>
              </w:rPr>
              <w:t>10m</w:t>
            </w:r>
            <w:r>
              <w:rPr>
                <w:rFonts w:hint="eastAsia" w:hAnsi="宋体"/>
                <w:kern w:val="0"/>
                <w:sz w:val="24"/>
              </w:rPr>
              <w:t>。</w:t>
            </w:r>
          </w:p>
          <w:p w14:paraId="1A3EE582">
            <w:pPr>
              <w:spacing w:line="360" w:lineRule="auto"/>
              <w:ind w:firstLine="482" w:firstLineChars="200"/>
              <w:rPr>
                <w:rFonts w:hAnsi="宋体"/>
                <w:b/>
                <w:kern w:val="0"/>
                <w:sz w:val="24"/>
              </w:rPr>
            </w:pPr>
            <w:r>
              <w:rPr>
                <w:rFonts w:hint="eastAsia" w:hAnsi="宋体"/>
                <w:b/>
                <w:kern w:val="0"/>
                <w:sz w:val="24"/>
              </w:rPr>
              <w:t>3、预测结果</w:t>
            </w:r>
          </w:p>
          <w:p w14:paraId="5DA8E44B">
            <w:pPr>
              <w:spacing w:line="360" w:lineRule="auto"/>
              <w:ind w:firstLine="480" w:firstLineChars="200"/>
              <w:rPr>
                <w:rFonts w:hAnsi="宋体"/>
                <w:kern w:val="0"/>
                <w:sz w:val="24"/>
                <w:u w:val="wave"/>
              </w:rPr>
            </w:pPr>
            <w:r>
              <w:rPr>
                <w:rFonts w:hint="eastAsia" w:hAnsi="宋体"/>
                <w:kern w:val="0"/>
                <w:sz w:val="24"/>
              </w:rPr>
              <w:t>项目夜间不生产，根据噪声预测公式，预测点的昼间噪声的预测结果见表4-12。</w:t>
            </w:r>
          </w:p>
          <w:p w14:paraId="588C6D4E">
            <w:pPr>
              <w:pStyle w:val="17"/>
              <w:spacing w:before="120" w:beforeLines="50"/>
              <w:rPr>
                <w:rFonts w:ascii="Times New Roman" w:hAnsi="Times New Roman"/>
                <w:color w:val="auto"/>
                <w:sz w:val="21"/>
              </w:rPr>
            </w:pPr>
            <w:r>
              <w:rPr>
                <w:rFonts w:ascii="Times New Roman" w:hAnsi="Times New Roman"/>
                <w:color w:val="auto"/>
                <w:sz w:val="21"/>
              </w:rPr>
              <w:t>表</w:t>
            </w:r>
            <w:r>
              <w:rPr>
                <w:rFonts w:hint="eastAsia" w:ascii="Times New Roman" w:hAnsi="Times New Roman"/>
                <w:color w:val="auto"/>
                <w:sz w:val="21"/>
              </w:rPr>
              <w:t>4-12</w:t>
            </w:r>
            <w:r>
              <w:rPr>
                <w:rFonts w:ascii="Times New Roman" w:hAnsi="Times New Roman"/>
                <w:color w:val="auto"/>
                <w:sz w:val="21"/>
              </w:rPr>
              <w:t xml:space="preserve"> </w:t>
            </w:r>
            <w:r>
              <w:rPr>
                <w:rFonts w:hint="eastAsia" w:ascii="Times New Roman" w:hAnsi="Times New Roman"/>
                <w:color w:val="auto"/>
                <w:sz w:val="21"/>
              </w:rPr>
              <w:t xml:space="preserve"> </w:t>
            </w:r>
            <w:r>
              <w:rPr>
                <w:rFonts w:ascii="Times New Roman" w:hAnsi="Times New Roman"/>
                <w:color w:val="auto"/>
                <w:sz w:val="21"/>
              </w:rPr>
              <w:t>项目厂界噪声预测结果  单位：dB（</w:t>
            </w:r>
            <w:r>
              <w:rPr>
                <w:rFonts w:hint="eastAsia" w:ascii="Times New Roman" w:hAnsi="Times New Roman"/>
                <w:color w:val="auto"/>
                <w:sz w:val="21"/>
              </w:rPr>
              <w:t>A</w:t>
            </w:r>
            <w:r>
              <w:rPr>
                <w:rFonts w:ascii="Times New Roman" w:hAnsi="Times New Roman"/>
                <w:color w:val="auto"/>
                <w:sz w:val="21"/>
              </w:rPr>
              <w:t>）</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42"/>
              <w:gridCol w:w="942"/>
              <w:gridCol w:w="942"/>
              <w:gridCol w:w="950"/>
              <w:gridCol w:w="942"/>
              <w:gridCol w:w="942"/>
              <w:gridCol w:w="942"/>
              <w:gridCol w:w="942"/>
              <w:gridCol w:w="942"/>
              <w:gridCol w:w="935"/>
            </w:tblGrid>
            <w:tr w14:paraId="13ABB5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Merge w:val="restart"/>
                  <w:vAlign w:val="center"/>
                </w:tcPr>
                <w:p w14:paraId="22DCC7AB">
                  <w:pPr>
                    <w:overflowPunct w:val="0"/>
                    <w:snapToGrid w:val="0"/>
                    <w:jc w:val="center"/>
                    <w:rPr>
                      <w:rFonts w:eastAsiaTheme="minorEastAsia"/>
                      <w:b/>
                      <w:szCs w:val="21"/>
                    </w:rPr>
                  </w:pPr>
                  <w:r>
                    <w:rPr>
                      <w:rFonts w:eastAsiaTheme="minorEastAsia"/>
                      <w:b/>
                      <w:szCs w:val="21"/>
                    </w:rPr>
                    <w:t>预测方位</w:t>
                  </w:r>
                </w:p>
              </w:tc>
              <w:tc>
                <w:tcPr>
                  <w:tcW w:w="1504" w:type="pct"/>
                  <w:gridSpan w:val="3"/>
                  <w:vAlign w:val="center"/>
                </w:tcPr>
                <w:p w14:paraId="25C127E2">
                  <w:pPr>
                    <w:overflowPunct w:val="0"/>
                    <w:snapToGrid w:val="0"/>
                    <w:jc w:val="center"/>
                    <w:rPr>
                      <w:rFonts w:eastAsiaTheme="minorEastAsia"/>
                      <w:b/>
                      <w:szCs w:val="21"/>
                    </w:rPr>
                  </w:pPr>
                  <w:r>
                    <w:rPr>
                      <w:rFonts w:hAnsiTheme="minorEastAsia" w:eastAsiaTheme="minorEastAsia"/>
                      <w:b/>
                      <w:szCs w:val="21"/>
                    </w:rPr>
                    <w:t>空间相对位置</w:t>
                  </w:r>
                  <w:r>
                    <w:rPr>
                      <w:rFonts w:eastAsiaTheme="minorEastAsia"/>
                      <w:b/>
                      <w:szCs w:val="21"/>
                    </w:rPr>
                    <w:t>/m</w:t>
                  </w:r>
                </w:p>
              </w:tc>
              <w:tc>
                <w:tcPr>
                  <w:tcW w:w="500" w:type="pct"/>
                  <w:vMerge w:val="restart"/>
                  <w:vAlign w:val="center"/>
                </w:tcPr>
                <w:p w14:paraId="0F51377C">
                  <w:pPr>
                    <w:overflowPunct w:val="0"/>
                    <w:snapToGrid w:val="0"/>
                    <w:jc w:val="center"/>
                    <w:rPr>
                      <w:rFonts w:eastAsiaTheme="minorEastAsia"/>
                      <w:b/>
                      <w:szCs w:val="21"/>
                    </w:rPr>
                  </w:pPr>
                  <w:r>
                    <w:rPr>
                      <w:rFonts w:eastAsiaTheme="minorEastAsia"/>
                      <w:b/>
                      <w:szCs w:val="21"/>
                    </w:rPr>
                    <w:t>时段</w:t>
                  </w:r>
                </w:p>
              </w:tc>
              <w:tc>
                <w:tcPr>
                  <w:tcW w:w="500" w:type="pct"/>
                  <w:vMerge w:val="restart"/>
                  <w:vAlign w:val="center"/>
                </w:tcPr>
                <w:p w14:paraId="71153775">
                  <w:pPr>
                    <w:overflowPunct w:val="0"/>
                    <w:snapToGrid w:val="0"/>
                    <w:jc w:val="center"/>
                    <w:rPr>
                      <w:rFonts w:eastAsiaTheme="minorEastAsia"/>
                      <w:b/>
                      <w:szCs w:val="21"/>
                    </w:rPr>
                  </w:pPr>
                  <w:r>
                    <w:rPr>
                      <w:rFonts w:eastAsiaTheme="minorEastAsia"/>
                      <w:b/>
                      <w:szCs w:val="21"/>
                    </w:rPr>
                    <w:t>贡献值</w:t>
                  </w:r>
                </w:p>
              </w:tc>
              <w:tc>
                <w:tcPr>
                  <w:tcW w:w="500" w:type="pct"/>
                  <w:vMerge w:val="restart"/>
                  <w:vAlign w:val="center"/>
                </w:tcPr>
                <w:p w14:paraId="72380F6A">
                  <w:pPr>
                    <w:overflowPunct w:val="0"/>
                    <w:snapToGrid w:val="0"/>
                    <w:jc w:val="center"/>
                    <w:rPr>
                      <w:rFonts w:eastAsiaTheme="minorEastAsia"/>
                      <w:b/>
                      <w:szCs w:val="21"/>
                    </w:rPr>
                  </w:pPr>
                  <w:r>
                    <w:rPr>
                      <w:rFonts w:eastAsiaTheme="minorEastAsia"/>
                      <w:b/>
                      <w:szCs w:val="21"/>
                    </w:rPr>
                    <w:t>背景值</w:t>
                  </w:r>
                </w:p>
              </w:tc>
              <w:tc>
                <w:tcPr>
                  <w:tcW w:w="500" w:type="pct"/>
                  <w:vMerge w:val="restart"/>
                  <w:vAlign w:val="center"/>
                </w:tcPr>
                <w:p w14:paraId="283085E5">
                  <w:pPr>
                    <w:overflowPunct w:val="0"/>
                    <w:snapToGrid w:val="0"/>
                    <w:jc w:val="center"/>
                    <w:rPr>
                      <w:rFonts w:eastAsiaTheme="minorEastAsia"/>
                      <w:b/>
                      <w:szCs w:val="21"/>
                    </w:rPr>
                  </w:pPr>
                  <w:r>
                    <w:rPr>
                      <w:rFonts w:eastAsiaTheme="minorEastAsia"/>
                      <w:b/>
                      <w:szCs w:val="21"/>
                    </w:rPr>
                    <w:t>预测值</w:t>
                  </w:r>
                </w:p>
              </w:tc>
              <w:tc>
                <w:tcPr>
                  <w:tcW w:w="500" w:type="pct"/>
                  <w:vMerge w:val="restart"/>
                  <w:vAlign w:val="center"/>
                </w:tcPr>
                <w:p w14:paraId="548432C8">
                  <w:pPr>
                    <w:overflowPunct w:val="0"/>
                    <w:snapToGrid w:val="0"/>
                    <w:jc w:val="center"/>
                    <w:rPr>
                      <w:rFonts w:eastAsiaTheme="minorEastAsia"/>
                      <w:b/>
                      <w:szCs w:val="21"/>
                    </w:rPr>
                  </w:pPr>
                  <w:r>
                    <w:rPr>
                      <w:rFonts w:eastAsiaTheme="minorEastAsia"/>
                      <w:b/>
                      <w:szCs w:val="21"/>
                    </w:rPr>
                    <w:t>标准值</w:t>
                  </w:r>
                </w:p>
              </w:tc>
              <w:tc>
                <w:tcPr>
                  <w:tcW w:w="496" w:type="pct"/>
                  <w:vMerge w:val="restart"/>
                  <w:vAlign w:val="center"/>
                </w:tcPr>
                <w:p w14:paraId="517C8AF8">
                  <w:pPr>
                    <w:overflowPunct w:val="0"/>
                    <w:snapToGrid w:val="0"/>
                    <w:jc w:val="center"/>
                    <w:rPr>
                      <w:rFonts w:eastAsiaTheme="minorEastAsia"/>
                      <w:b/>
                      <w:szCs w:val="21"/>
                    </w:rPr>
                  </w:pPr>
                  <w:r>
                    <w:rPr>
                      <w:rFonts w:eastAsiaTheme="minorEastAsia"/>
                      <w:b/>
                      <w:szCs w:val="21"/>
                    </w:rPr>
                    <w:t>达标</w:t>
                  </w:r>
                </w:p>
                <w:p w14:paraId="1A91B3CF">
                  <w:pPr>
                    <w:overflowPunct w:val="0"/>
                    <w:snapToGrid w:val="0"/>
                    <w:jc w:val="center"/>
                    <w:rPr>
                      <w:rFonts w:eastAsiaTheme="minorEastAsia"/>
                      <w:b/>
                      <w:szCs w:val="21"/>
                    </w:rPr>
                  </w:pPr>
                  <w:r>
                    <w:rPr>
                      <w:rFonts w:eastAsiaTheme="minorEastAsia"/>
                      <w:b/>
                      <w:szCs w:val="21"/>
                    </w:rPr>
                    <w:t>情况</w:t>
                  </w:r>
                </w:p>
              </w:tc>
            </w:tr>
            <w:tr w14:paraId="49C92F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Merge w:val="continue"/>
                  <w:vAlign w:val="center"/>
                </w:tcPr>
                <w:p w14:paraId="4648A6C3">
                  <w:pPr>
                    <w:overflowPunct w:val="0"/>
                    <w:snapToGrid w:val="0"/>
                    <w:jc w:val="center"/>
                    <w:rPr>
                      <w:rFonts w:eastAsiaTheme="minorEastAsia"/>
                      <w:szCs w:val="21"/>
                    </w:rPr>
                  </w:pPr>
                </w:p>
              </w:tc>
              <w:tc>
                <w:tcPr>
                  <w:tcW w:w="500" w:type="pct"/>
                  <w:vAlign w:val="center"/>
                </w:tcPr>
                <w:p w14:paraId="7711D546">
                  <w:pPr>
                    <w:jc w:val="center"/>
                    <w:rPr>
                      <w:rFonts w:eastAsiaTheme="minorEastAsia"/>
                      <w:b/>
                      <w:szCs w:val="21"/>
                    </w:rPr>
                  </w:pPr>
                  <w:r>
                    <w:rPr>
                      <w:rFonts w:eastAsiaTheme="minorEastAsia"/>
                      <w:b/>
                      <w:szCs w:val="21"/>
                    </w:rPr>
                    <w:t>X</w:t>
                  </w:r>
                </w:p>
              </w:tc>
              <w:tc>
                <w:tcPr>
                  <w:tcW w:w="500" w:type="pct"/>
                  <w:vAlign w:val="center"/>
                </w:tcPr>
                <w:p w14:paraId="071A3B64">
                  <w:pPr>
                    <w:jc w:val="center"/>
                    <w:rPr>
                      <w:rFonts w:eastAsiaTheme="minorEastAsia"/>
                      <w:b/>
                      <w:szCs w:val="21"/>
                    </w:rPr>
                  </w:pPr>
                  <w:r>
                    <w:rPr>
                      <w:rFonts w:eastAsiaTheme="minorEastAsia"/>
                      <w:b/>
                      <w:szCs w:val="21"/>
                    </w:rPr>
                    <w:t>Y</w:t>
                  </w:r>
                </w:p>
              </w:tc>
              <w:tc>
                <w:tcPr>
                  <w:tcW w:w="504" w:type="pct"/>
                  <w:vAlign w:val="center"/>
                </w:tcPr>
                <w:p w14:paraId="3F6ECBCD">
                  <w:pPr>
                    <w:jc w:val="center"/>
                    <w:rPr>
                      <w:rFonts w:eastAsiaTheme="minorEastAsia"/>
                      <w:b/>
                      <w:szCs w:val="21"/>
                    </w:rPr>
                  </w:pPr>
                  <w:r>
                    <w:rPr>
                      <w:rFonts w:eastAsiaTheme="minorEastAsia"/>
                      <w:b/>
                      <w:szCs w:val="21"/>
                    </w:rPr>
                    <w:t>Z</w:t>
                  </w:r>
                </w:p>
              </w:tc>
              <w:tc>
                <w:tcPr>
                  <w:tcW w:w="500" w:type="pct"/>
                  <w:vMerge w:val="continue"/>
                  <w:vAlign w:val="center"/>
                </w:tcPr>
                <w:p w14:paraId="6BD13798">
                  <w:pPr>
                    <w:overflowPunct w:val="0"/>
                    <w:snapToGrid w:val="0"/>
                    <w:jc w:val="center"/>
                    <w:rPr>
                      <w:rFonts w:eastAsiaTheme="minorEastAsia"/>
                      <w:szCs w:val="21"/>
                    </w:rPr>
                  </w:pPr>
                </w:p>
              </w:tc>
              <w:tc>
                <w:tcPr>
                  <w:tcW w:w="500" w:type="pct"/>
                  <w:vMerge w:val="continue"/>
                  <w:vAlign w:val="center"/>
                </w:tcPr>
                <w:p w14:paraId="7D9983ED">
                  <w:pPr>
                    <w:overflowPunct w:val="0"/>
                    <w:snapToGrid w:val="0"/>
                    <w:jc w:val="center"/>
                    <w:rPr>
                      <w:rFonts w:eastAsiaTheme="minorEastAsia"/>
                      <w:szCs w:val="21"/>
                    </w:rPr>
                  </w:pPr>
                </w:p>
              </w:tc>
              <w:tc>
                <w:tcPr>
                  <w:tcW w:w="500" w:type="pct"/>
                  <w:vMerge w:val="continue"/>
                  <w:vAlign w:val="center"/>
                </w:tcPr>
                <w:p w14:paraId="65016537">
                  <w:pPr>
                    <w:overflowPunct w:val="0"/>
                    <w:snapToGrid w:val="0"/>
                    <w:jc w:val="center"/>
                    <w:rPr>
                      <w:rFonts w:eastAsiaTheme="minorEastAsia"/>
                      <w:szCs w:val="21"/>
                    </w:rPr>
                  </w:pPr>
                </w:p>
              </w:tc>
              <w:tc>
                <w:tcPr>
                  <w:tcW w:w="500" w:type="pct"/>
                  <w:vMerge w:val="continue"/>
                  <w:vAlign w:val="center"/>
                </w:tcPr>
                <w:p w14:paraId="63F047E9">
                  <w:pPr>
                    <w:overflowPunct w:val="0"/>
                    <w:snapToGrid w:val="0"/>
                    <w:jc w:val="center"/>
                    <w:rPr>
                      <w:rFonts w:eastAsiaTheme="minorEastAsia"/>
                      <w:szCs w:val="21"/>
                    </w:rPr>
                  </w:pPr>
                </w:p>
              </w:tc>
              <w:tc>
                <w:tcPr>
                  <w:tcW w:w="500" w:type="pct"/>
                  <w:vMerge w:val="continue"/>
                  <w:vAlign w:val="center"/>
                </w:tcPr>
                <w:p w14:paraId="676B61D4">
                  <w:pPr>
                    <w:overflowPunct w:val="0"/>
                    <w:snapToGrid w:val="0"/>
                    <w:jc w:val="center"/>
                    <w:rPr>
                      <w:rFonts w:eastAsiaTheme="minorEastAsia"/>
                      <w:szCs w:val="21"/>
                    </w:rPr>
                  </w:pPr>
                </w:p>
              </w:tc>
              <w:tc>
                <w:tcPr>
                  <w:tcW w:w="496" w:type="pct"/>
                  <w:vMerge w:val="continue"/>
                  <w:vAlign w:val="center"/>
                </w:tcPr>
                <w:p w14:paraId="78189854">
                  <w:pPr>
                    <w:overflowPunct w:val="0"/>
                    <w:snapToGrid w:val="0"/>
                    <w:jc w:val="center"/>
                    <w:rPr>
                      <w:rFonts w:eastAsiaTheme="minorEastAsia"/>
                      <w:szCs w:val="21"/>
                    </w:rPr>
                  </w:pPr>
                </w:p>
              </w:tc>
            </w:tr>
            <w:tr w14:paraId="7BBD7B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Align w:val="center"/>
                </w:tcPr>
                <w:p w14:paraId="594EDE8A">
                  <w:pPr>
                    <w:overflowPunct w:val="0"/>
                    <w:snapToGrid w:val="0"/>
                    <w:jc w:val="center"/>
                    <w:rPr>
                      <w:rFonts w:eastAsiaTheme="minorEastAsia"/>
                      <w:szCs w:val="21"/>
                    </w:rPr>
                  </w:pPr>
                  <w:r>
                    <w:rPr>
                      <w:rFonts w:eastAsiaTheme="minorEastAsia"/>
                      <w:szCs w:val="21"/>
                    </w:rPr>
                    <w:t>东厂界</w:t>
                  </w:r>
                </w:p>
              </w:tc>
              <w:tc>
                <w:tcPr>
                  <w:tcW w:w="500" w:type="pct"/>
                  <w:vAlign w:val="center"/>
                </w:tcPr>
                <w:p w14:paraId="64C55118">
                  <w:pPr>
                    <w:jc w:val="center"/>
                    <w:rPr>
                      <w:rFonts w:eastAsiaTheme="minorEastAsia"/>
                      <w:szCs w:val="21"/>
                    </w:rPr>
                  </w:pPr>
                  <w:r>
                    <w:rPr>
                      <w:rFonts w:hint="eastAsia" w:eastAsiaTheme="minorEastAsia"/>
                      <w:szCs w:val="21"/>
                    </w:rPr>
                    <w:t>37.94</w:t>
                  </w:r>
                </w:p>
              </w:tc>
              <w:tc>
                <w:tcPr>
                  <w:tcW w:w="500" w:type="pct"/>
                  <w:vAlign w:val="center"/>
                </w:tcPr>
                <w:p w14:paraId="4FDA5E6D">
                  <w:pPr>
                    <w:jc w:val="center"/>
                    <w:rPr>
                      <w:rFonts w:eastAsiaTheme="minorEastAsia"/>
                      <w:szCs w:val="21"/>
                    </w:rPr>
                  </w:pPr>
                  <w:r>
                    <w:rPr>
                      <w:rFonts w:hint="eastAsia" w:eastAsiaTheme="minorEastAsia"/>
                      <w:szCs w:val="21"/>
                    </w:rPr>
                    <w:t>110.05</w:t>
                  </w:r>
                </w:p>
              </w:tc>
              <w:tc>
                <w:tcPr>
                  <w:tcW w:w="504" w:type="pct"/>
                  <w:vAlign w:val="center"/>
                </w:tcPr>
                <w:p w14:paraId="49D63FDE">
                  <w:pPr>
                    <w:jc w:val="center"/>
                    <w:rPr>
                      <w:rFonts w:eastAsiaTheme="minorEastAsia"/>
                      <w:szCs w:val="21"/>
                    </w:rPr>
                  </w:pPr>
                  <w:r>
                    <w:rPr>
                      <w:rFonts w:hint="eastAsia" w:eastAsiaTheme="minorEastAsia"/>
                      <w:szCs w:val="21"/>
                    </w:rPr>
                    <w:t>1.2</w:t>
                  </w:r>
                </w:p>
              </w:tc>
              <w:tc>
                <w:tcPr>
                  <w:tcW w:w="500" w:type="pct"/>
                  <w:vAlign w:val="center"/>
                </w:tcPr>
                <w:p w14:paraId="3304A994">
                  <w:pPr>
                    <w:overflowPunct w:val="0"/>
                    <w:snapToGrid w:val="0"/>
                    <w:jc w:val="center"/>
                    <w:rPr>
                      <w:rFonts w:eastAsiaTheme="minorEastAsia"/>
                      <w:szCs w:val="21"/>
                    </w:rPr>
                  </w:pPr>
                  <w:r>
                    <w:rPr>
                      <w:rFonts w:eastAsiaTheme="minorEastAsia"/>
                      <w:szCs w:val="21"/>
                    </w:rPr>
                    <w:t>昼间</w:t>
                  </w:r>
                </w:p>
              </w:tc>
              <w:tc>
                <w:tcPr>
                  <w:tcW w:w="500" w:type="pct"/>
                  <w:vAlign w:val="center"/>
                </w:tcPr>
                <w:p w14:paraId="6F353C98">
                  <w:pPr>
                    <w:jc w:val="center"/>
                    <w:rPr>
                      <w:rFonts w:eastAsiaTheme="minorEastAsia"/>
                      <w:szCs w:val="21"/>
                    </w:rPr>
                  </w:pPr>
                  <w:r>
                    <w:rPr>
                      <w:rFonts w:hint="eastAsia" w:eastAsiaTheme="minorEastAsia"/>
                      <w:szCs w:val="21"/>
                    </w:rPr>
                    <w:t>63.91</w:t>
                  </w:r>
                </w:p>
              </w:tc>
              <w:tc>
                <w:tcPr>
                  <w:tcW w:w="500" w:type="pct"/>
                  <w:vAlign w:val="center"/>
                </w:tcPr>
                <w:p w14:paraId="4B522C4B">
                  <w:pPr>
                    <w:jc w:val="center"/>
                    <w:rPr>
                      <w:rFonts w:eastAsiaTheme="minorEastAsia"/>
                      <w:szCs w:val="21"/>
                    </w:rPr>
                  </w:pPr>
                  <w:r>
                    <w:rPr>
                      <w:rFonts w:hint="eastAsia" w:eastAsiaTheme="minorEastAsia"/>
                      <w:szCs w:val="21"/>
                    </w:rPr>
                    <w:t>/</w:t>
                  </w:r>
                </w:p>
              </w:tc>
              <w:tc>
                <w:tcPr>
                  <w:tcW w:w="500" w:type="pct"/>
                  <w:vAlign w:val="center"/>
                </w:tcPr>
                <w:p w14:paraId="2FAD2D86">
                  <w:pPr>
                    <w:jc w:val="center"/>
                    <w:rPr>
                      <w:rFonts w:eastAsiaTheme="minorEastAsia"/>
                      <w:szCs w:val="21"/>
                    </w:rPr>
                  </w:pPr>
                  <w:r>
                    <w:rPr>
                      <w:rFonts w:hint="eastAsia" w:eastAsiaTheme="minorEastAsia"/>
                      <w:szCs w:val="21"/>
                    </w:rPr>
                    <w:t>/</w:t>
                  </w:r>
                </w:p>
              </w:tc>
              <w:tc>
                <w:tcPr>
                  <w:tcW w:w="500" w:type="pct"/>
                  <w:vAlign w:val="center"/>
                </w:tcPr>
                <w:p w14:paraId="080236F4">
                  <w:pPr>
                    <w:jc w:val="center"/>
                    <w:rPr>
                      <w:rFonts w:eastAsiaTheme="minorEastAsia"/>
                      <w:szCs w:val="21"/>
                    </w:rPr>
                  </w:pPr>
                  <w:r>
                    <w:rPr>
                      <w:rFonts w:hint="eastAsia" w:eastAsiaTheme="minorEastAsia"/>
                      <w:szCs w:val="21"/>
                    </w:rPr>
                    <w:t>65</w:t>
                  </w:r>
                </w:p>
              </w:tc>
              <w:tc>
                <w:tcPr>
                  <w:tcW w:w="496" w:type="pct"/>
                  <w:vAlign w:val="center"/>
                </w:tcPr>
                <w:p w14:paraId="62EC5EF9">
                  <w:pPr>
                    <w:jc w:val="center"/>
                    <w:rPr>
                      <w:rFonts w:eastAsiaTheme="minorEastAsia"/>
                      <w:szCs w:val="21"/>
                    </w:rPr>
                  </w:pPr>
                  <w:r>
                    <w:rPr>
                      <w:rFonts w:eastAsiaTheme="minorEastAsia"/>
                      <w:szCs w:val="21"/>
                    </w:rPr>
                    <w:t>达标</w:t>
                  </w:r>
                </w:p>
              </w:tc>
            </w:tr>
            <w:tr w14:paraId="4DAA89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Align w:val="center"/>
                </w:tcPr>
                <w:p w14:paraId="7C4E2E0E">
                  <w:pPr>
                    <w:jc w:val="center"/>
                    <w:rPr>
                      <w:rFonts w:eastAsiaTheme="minorEastAsia"/>
                      <w:szCs w:val="21"/>
                    </w:rPr>
                  </w:pPr>
                  <w:r>
                    <w:rPr>
                      <w:rFonts w:eastAsiaTheme="minorEastAsia"/>
                      <w:szCs w:val="21"/>
                    </w:rPr>
                    <w:t>南厂界</w:t>
                  </w:r>
                </w:p>
              </w:tc>
              <w:tc>
                <w:tcPr>
                  <w:tcW w:w="500" w:type="pct"/>
                  <w:vAlign w:val="center"/>
                </w:tcPr>
                <w:p w14:paraId="1CDF317A">
                  <w:pPr>
                    <w:jc w:val="center"/>
                    <w:rPr>
                      <w:rFonts w:eastAsiaTheme="minorEastAsia"/>
                      <w:szCs w:val="21"/>
                    </w:rPr>
                  </w:pPr>
                  <w:r>
                    <w:rPr>
                      <w:rFonts w:hint="eastAsia" w:eastAsiaTheme="minorEastAsia"/>
                      <w:szCs w:val="21"/>
                    </w:rPr>
                    <w:t>54.35</w:t>
                  </w:r>
                </w:p>
              </w:tc>
              <w:tc>
                <w:tcPr>
                  <w:tcW w:w="500" w:type="pct"/>
                  <w:vAlign w:val="center"/>
                </w:tcPr>
                <w:p w14:paraId="3B52552F">
                  <w:pPr>
                    <w:jc w:val="center"/>
                    <w:rPr>
                      <w:rFonts w:eastAsiaTheme="minorEastAsia"/>
                      <w:szCs w:val="21"/>
                    </w:rPr>
                  </w:pPr>
                  <w:r>
                    <w:rPr>
                      <w:rFonts w:hint="eastAsia" w:eastAsiaTheme="minorEastAsia"/>
                      <w:szCs w:val="21"/>
                    </w:rPr>
                    <w:t>54.32</w:t>
                  </w:r>
                </w:p>
              </w:tc>
              <w:tc>
                <w:tcPr>
                  <w:tcW w:w="504" w:type="pct"/>
                  <w:vAlign w:val="center"/>
                </w:tcPr>
                <w:p w14:paraId="4CEBC52A">
                  <w:pPr>
                    <w:jc w:val="center"/>
                    <w:rPr>
                      <w:rFonts w:eastAsiaTheme="minorEastAsia"/>
                      <w:szCs w:val="21"/>
                    </w:rPr>
                  </w:pPr>
                  <w:r>
                    <w:rPr>
                      <w:rFonts w:hint="eastAsia" w:eastAsiaTheme="minorEastAsia"/>
                      <w:szCs w:val="21"/>
                    </w:rPr>
                    <w:t>1.2</w:t>
                  </w:r>
                </w:p>
              </w:tc>
              <w:tc>
                <w:tcPr>
                  <w:tcW w:w="500" w:type="pct"/>
                  <w:vAlign w:val="center"/>
                </w:tcPr>
                <w:p w14:paraId="4656F705">
                  <w:pPr>
                    <w:overflowPunct w:val="0"/>
                    <w:snapToGrid w:val="0"/>
                    <w:jc w:val="center"/>
                    <w:rPr>
                      <w:rFonts w:eastAsiaTheme="minorEastAsia"/>
                      <w:szCs w:val="21"/>
                    </w:rPr>
                  </w:pPr>
                  <w:r>
                    <w:rPr>
                      <w:rFonts w:eastAsiaTheme="minorEastAsia"/>
                      <w:szCs w:val="21"/>
                    </w:rPr>
                    <w:t>昼间</w:t>
                  </w:r>
                </w:p>
              </w:tc>
              <w:tc>
                <w:tcPr>
                  <w:tcW w:w="500" w:type="pct"/>
                  <w:vAlign w:val="center"/>
                </w:tcPr>
                <w:p w14:paraId="35F668F7">
                  <w:pPr>
                    <w:jc w:val="center"/>
                    <w:rPr>
                      <w:rFonts w:eastAsiaTheme="minorEastAsia"/>
                      <w:szCs w:val="21"/>
                    </w:rPr>
                  </w:pPr>
                  <w:r>
                    <w:rPr>
                      <w:rFonts w:hint="eastAsia" w:eastAsiaTheme="minorEastAsia"/>
                      <w:szCs w:val="21"/>
                    </w:rPr>
                    <w:t>63.24</w:t>
                  </w:r>
                </w:p>
              </w:tc>
              <w:tc>
                <w:tcPr>
                  <w:tcW w:w="500" w:type="pct"/>
                  <w:vAlign w:val="center"/>
                </w:tcPr>
                <w:p w14:paraId="1D847D0C">
                  <w:pPr>
                    <w:jc w:val="center"/>
                    <w:rPr>
                      <w:rFonts w:eastAsiaTheme="minorEastAsia"/>
                      <w:szCs w:val="21"/>
                    </w:rPr>
                  </w:pPr>
                  <w:r>
                    <w:rPr>
                      <w:rFonts w:hint="eastAsia" w:eastAsiaTheme="minorEastAsia"/>
                      <w:szCs w:val="21"/>
                    </w:rPr>
                    <w:t>/</w:t>
                  </w:r>
                </w:p>
              </w:tc>
              <w:tc>
                <w:tcPr>
                  <w:tcW w:w="500" w:type="pct"/>
                  <w:vAlign w:val="center"/>
                </w:tcPr>
                <w:p w14:paraId="0B7758D4">
                  <w:pPr>
                    <w:jc w:val="center"/>
                    <w:rPr>
                      <w:rFonts w:eastAsiaTheme="minorEastAsia"/>
                      <w:szCs w:val="21"/>
                    </w:rPr>
                  </w:pPr>
                  <w:r>
                    <w:rPr>
                      <w:rFonts w:hint="eastAsia" w:eastAsiaTheme="minorEastAsia"/>
                      <w:szCs w:val="21"/>
                    </w:rPr>
                    <w:t>/</w:t>
                  </w:r>
                </w:p>
              </w:tc>
              <w:tc>
                <w:tcPr>
                  <w:tcW w:w="500" w:type="pct"/>
                  <w:vAlign w:val="center"/>
                </w:tcPr>
                <w:p w14:paraId="6E31D046">
                  <w:pPr>
                    <w:jc w:val="center"/>
                    <w:rPr>
                      <w:rFonts w:eastAsiaTheme="minorEastAsia"/>
                      <w:szCs w:val="21"/>
                    </w:rPr>
                  </w:pPr>
                  <w:r>
                    <w:rPr>
                      <w:rFonts w:hint="eastAsia" w:eastAsiaTheme="minorEastAsia"/>
                      <w:szCs w:val="21"/>
                    </w:rPr>
                    <w:t>65</w:t>
                  </w:r>
                </w:p>
              </w:tc>
              <w:tc>
                <w:tcPr>
                  <w:tcW w:w="496" w:type="pct"/>
                  <w:vAlign w:val="center"/>
                </w:tcPr>
                <w:p w14:paraId="5F61AF2C">
                  <w:pPr>
                    <w:jc w:val="center"/>
                    <w:rPr>
                      <w:rFonts w:eastAsiaTheme="minorEastAsia"/>
                      <w:szCs w:val="21"/>
                    </w:rPr>
                  </w:pPr>
                  <w:r>
                    <w:rPr>
                      <w:rFonts w:eastAsiaTheme="minorEastAsia"/>
                      <w:szCs w:val="21"/>
                    </w:rPr>
                    <w:t>达标</w:t>
                  </w:r>
                </w:p>
              </w:tc>
            </w:tr>
            <w:tr w14:paraId="0CE697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Align w:val="center"/>
                </w:tcPr>
                <w:p w14:paraId="639197BE">
                  <w:pPr>
                    <w:jc w:val="center"/>
                    <w:rPr>
                      <w:rFonts w:eastAsiaTheme="minorEastAsia"/>
                      <w:szCs w:val="21"/>
                    </w:rPr>
                  </w:pPr>
                  <w:r>
                    <w:rPr>
                      <w:rFonts w:eastAsiaTheme="minorEastAsia"/>
                      <w:szCs w:val="21"/>
                    </w:rPr>
                    <w:t>西厂界</w:t>
                  </w:r>
                </w:p>
              </w:tc>
              <w:tc>
                <w:tcPr>
                  <w:tcW w:w="500" w:type="pct"/>
                  <w:vAlign w:val="center"/>
                </w:tcPr>
                <w:p w14:paraId="1BA104B5">
                  <w:pPr>
                    <w:jc w:val="center"/>
                    <w:rPr>
                      <w:rFonts w:eastAsiaTheme="minorEastAsia"/>
                      <w:szCs w:val="21"/>
                    </w:rPr>
                  </w:pPr>
                  <w:r>
                    <w:rPr>
                      <w:rFonts w:hint="eastAsia" w:eastAsiaTheme="minorEastAsia"/>
                      <w:szCs w:val="21"/>
                    </w:rPr>
                    <w:t>9.65</w:t>
                  </w:r>
                </w:p>
              </w:tc>
              <w:tc>
                <w:tcPr>
                  <w:tcW w:w="500" w:type="pct"/>
                  <w:vAlign w:val="center"/>
                </w:tcPr>
                <w:p w14:paraId="62C871CF">
                  <w:pPr>
                    <w:jc w:val="center"/>
                    <w:rPr>
                      <w:rFonts w:eastAsiaTheme="minorEastAsia"/>
                      <w:szCs w:val="21"/>
                    </w:rPr>
                  </w:pPr>
                  <w:r>
                    <w:rPr>
                      <w:rFonts w:hint="eastAsia" w:eastAsiaTheme="minorEastAsia"/>
                      <w:szCs w:val="21"/>
                    </w:rPr>
                    <w:t>100.43</w:t>
                  </w:r>
                </w:p>
              </w:tc>
              <w:tc>
                <w:tcPr>
                  <w:tcW w:w="504" w:type="pct"/>
                  <w:vAlign w:val="center"/>
                </w:tcPr>
                <w:p w14:paraId="7B91A44E">
                  <w:pPr>
                    <w:jc w:val="center"/>
                    <w:rPr>
                      <w:rFonts w:eastAsiaTheme="minorEastAsia"/>
                      <w:szCs w:val="21"/>
                    </w:rPr>
                  </w:pPr>
                  <w:r>
                    <w:rPr>
                      <w:rFonts w:hint="eastAsia" w:eastAsiaTheme="minorEastAsia"/>
                      <w:szCs w:val="21"/>
                    </w:rPr>
                    <w:t>1.2</w:t>
                  </w:r>
                </w:p>
              </w:tc>
              <w:tc>
                <w:tcPr>
                  <w:tcW w:w="500" w:type="pct"/>
                  <w:vAlign w:val="center"/>
                </w:tcPr>
                <w:p w14:paraId="1A47B38B">
                  <w:pPr>
                    <w:overflowPunct w:val="0"/>
                    <w:snapToGrid w:val="0"/>
                    <w:jc w:val="center"/>
                    <w:rPr>
                      <w:rFonts w:eastAsiaTheme="minorEastAsia"/>
                      <w:szCs w:val="21"/>
                    </w:rPr>
                  </w:pPr>
                  <w:r>
                    <w:rPr>
                      <w:rFonts w:eastAsiaTheme="minorEastAsia"/>
                      <w:szCs w:val="21"/>
                    </w:rPr>
                    <w:t>昼间</w:t>
                  </w:r>
                </w:p>
              </w:tc>
              <w:tc>
                <w:tcPr>
                  <w:tcW w:w="500" w:type="pct"/>
                  <w:vAlign w:val="center"/>
                </w:tcPr>
                <w:p w14:paraId="71F9B19B">
                  <w:pPr>
                    <w:jc w:val="center"/>
                    <w:rPr>
                      <w:rFonts w:eastAsiaTheme="minorEastAsia"/>
                      <w:szCs w:val="21"/>
                    </w:rPr>
                  </w:pPr>
                  <w:r>
                    <w:rPr>
                      <w:rFonts w:hint="eastAsia" w:eastAsiaTheme="minorEastAsia"/>
                      <w:szCs w:val="21"/>
                    </w:rPr>
                    <w:t>63.60</w:t>
                  </w:r>
                </w:p>
              </w:tc>
              <w:tc>
                <w:tcPr>
                  <w:tcW w:w="500" w:type="pct"/>
                  <w:vAlign w:val="center"/>
                </w:tcPr>
                <w:p w14:paraId="45BDF052">
                  <w:pPr>
                    <w:jc w:val="center"/>
                    <w:rPr>
                      <w:rFonts w:eastAsiaTheme="minorEastAsia"/>
                      <w:szCs w:val="21"/>
                    </w:rPr>
                  </w:pPr>
                  <w:r>
                    <w:rPr>
                      <w:rFonts w:hint="eastAsia" w:eastAsiaTheme="minorEastAsia"/>
                      <w:szCs w:val="21"/>
                    </w:rPr>
                    <w:t>/</w:t>
                  </w:r>
                </w:p>
              </w:tc>
              <w:tc>
                <w:tcPr>
                  <w:tcW w:w="500" w:type="pct"/>
                  <w:vAlign w:val="center"/>
                </w:tcPr>
                <w:p w14:paraId="3E5CCCE0">
                  <w:pPr>
                    <w:jc w:val="center"/>
                    <w:rPr>
                      <w:rFonts w:eastAsiaTheme="minorEastAsia"/>
                      <w:szCs w:val="21"/>
                    </w:rPr>
                  </w:pPr>
                  <w:r>
                    <w:rPr>
                      <w:rFonts w:hint="eastAsia" w:eastAsiaTheme="minorEastAsia"/>
                      <w:szCs w:val="21"/>
                    </w:rPr>
                    <w:t>/</w:t>
                  </w:r>
                </w:p>
              </w:tc>
              <w:tc>
                <w:tcPr>
                  <w:tcW w:w="500" w:type="pct"/>
                  <w:vAlign w:val="center"/>
                </w:tcPr>
                <w:p w14:paraId="5B193E9C">
                  <w:pPr>
                    <w:jc w:val="center"/>
                    <w:rPr>
                      <w:rFonts w:eastAsiaTheme="minorEastAsia"/>
                      <w:szCs w:val="21"/>
                    </w:rPr>
                  </w:pPr>
                  <w:r>
                    <w:rPr>
                      <w:rFonts w:hint="eastAsia" w:eastAsiaTheme="minorEastAsia"/>
                      <w:szCs w:val="21"/>
                    </w:rPr>
                    <w:t>65</w:t>
                  </w:r>
                </w:p>
              </w:tc>
              <w:tc>
                <w:tcPr>
                  <w:tcW w:w="496" w:type="pct"/>
                  <w:vAlign w:val="center"/>
                </w:tcPr>
                <w:p w14:paraId="63971147">
                  <w:pPr>
                    <w:jc w:val="center"/>
                    <w:rPr>
                      <w:rFonts w:eastAsiaTheme="minorEastAsia"/>
                      <w:szCs w:val="21"/>
                    </w:rPr>
                  </w:pPr>
                  <w:r>
                    <w:rPr>
                      <w:rFonts w:eastAsiaTheme="minorEastAsia"/>
                      <w:szCs w:val="21"/>
                    </w:rPr>
                    <w:t>达标</w:t>
                  </w:r>
                </w:p>
              </w:tc>
            </w:tr>
            <w:tr w14:paraId="0EE46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 w:type="pct"/>
                  <w:vAlign w:val="center"/>
                </w:tcPr>
                <w:p w14:paraId="7F11DEA7">
                  <w:pPr>
                    <w:overflowPunct w:val="0"/>
                    <w:snapToGrid w:val="0"/>
                    <w:jc w:val="center"/>
                    <w:rPr>
                      <w:rFonts w:eastAsiaTheme="minorEastAsia"/>
                      <w:szCs w:val="21"/>
                    </w:rPr>
                  </w:pPr>
                  <w:r>
                    <w:rPr>
                      <w:rFonts w:eastAsiaTheme="minorEastAsia"/>
                      <w:szCs w:val="21"/>
                    </w:rPr>
                    <w:t>北厂界</w:t>
                  </w:r>
                </w:p>
              </w:tc>
              <w:tc>
                <w:tcPr>
                  <w:tcW w:w="500" w:type="pct"/>
                  <w:vAlign w:val="center"/>
                </w:tcPr>
                <w:p w14:paraId="2D95F7D3">
                  <w:pPr>
                    <w:jc w:val="center"/>
                    <w:rPr>
                      <w:rFonts w:eastAsiaTheme="minorEastAsia"/>
                      <w:szCs w:val="21"/>
                    </w:rPr>
                  </w:pPr>
                  <w:r>
                    <w:rPr>
                      <w:rFonts w:hint="eastAsia" w:eastAsiaTheme="minorEastAsia"/>
                      <w:szCs w:val="21"/>
                    </w:rPr>
                    <w:t>1.17</w:t>
                  </w:r>
                </w:p>
              </w:tc>
              <w:tc>
                <w:tcPr>
                  <w:tcW w:w="500" w:type="pct"/>
                  <w:vAlign w:val="center"/>
                </w:tcPr>
                <w:p w14:paraId="0740B71F">
                  <w:pPr>
                    <w:jc w:val="center"/>
                    <w:rPr>
                      <w:rFonts w:eastAsiaTheme="minorEastAsia"/>
                      <w:szCs w:val="21"/>
                    </w:rPr>
                  </w:pPr>
                  <w:r>
                    <w:rPr>
                      <w:rFonts w:hint="eastAsia" w:eastAsiaTheme="minorEastAsia"/>
                      <w:szCs w:val="21"/>
                    </w:rPr>
                    <w:t>161.25</w:t>
                  </w:r>
                </w:p>
              </w:tc>
              <w:tc>
                <w:tcPr>
                  <w:tcW w:w="504" w:type="pct"/>
                  <w:vAlign w:val="center"/>
                </w:tcPr>
                <w:p w14:paraId="3CE1B106">
                  <w:pPr>
                    <w:jc w:val="center"/>
                    <w:rPr>
                      <w:rFonts w:eastAsiaTheme="minorEastAsia"/>
                      <w:szCs w:val="21"/>
                    </w:rPr>
                  </w:pPr>
                  <w:r>
                    <w:rPr>
                      <w:rFonts w:hint="eastAsia" w:eastAsiaTheme="minorEastAsia"/>
                      <w:szCs w:val="21"/>
                    </w:rPr>
                    <w:t>1.2</w:t>
                  </w:r>
                </w:p>
              </w:tc>
              <w:tc>
                <w:tcPr>
                  <w:tcW w:w="500" w:type="pct"/>
                  <w:vAlign w:val="center"/>
                </w:tcPr>
                <w:p w14:paraId="2B4D677D">
                  <w:pPr>
                    <w:overflowPunct w:val="0"/>
                    <w:snapToGrid w:val="0"/>
                    <w:jc w:val="center"/>
                    <w:rPr>
                      <w:rFonts w:eastAsiaTheme="minorEastAsia"/>
                      <w:szCs w:val="21"/>
                    </w:rPr>
                  </w:pPr>
                  <w:r>
                    <w:rPr>
                      <w:rFonts w:eastAsiaTheme="minorEastAsia"/>
                      <w:szCs w:val="21"/>
                    </w:rPr>
                    <w:t>昼间</w:t>
                  </w:r>
                </w:p>
              </w:tc>
              <w:tc>
                <w:tcPr>
                  <w:tcW w:w="500" w:type="pct"/>
                  <w:vAlign w:val="center"/>
                </w:tcPr>
                <w:p w14:paraId="62C5F41F">
                  <w:pPr>
                    <w:overflowPunct w:val="0"/>
                    <w:snapToGrid w:val="0"/>
                    <w:jc w:val="center"/>
                    <w:rPr>
                      <w:rFonts w:eastAsiaTheme="minorEastAsia"/>
                      <w:szCs w:val="21"/>
                    </w:rPr>
                  </w:pPr>
                  <w:r>
                    <w:rPr>
                      <w:rFonts w:hint="eastAsia" w:eastAsiaTheme="minorEastAsia"/>
                      <w:szCs w:val="21"/>
                    </w:rPr>
                    <w:t>62.18</w:t>
                  </w:r>
                </w:p>
              </w:tc>
              <w:tc>
                <w:tcPr>
                  <w:tcW w:w="500" w:type="pct"/>
                  <w:vAlign w:val="center"/>
                </w:tcPr>
                <w:p w14:paraId="42EE5D3E">
                  <w:pPr>
                    <w:jc w:val="center"/>
                    <w:rPr>
                      <w:rFonts w:eastAsiaTheme="minorEastAsia"/>
                      <w:szCs w:val="21"/>
                    </w:rPr>
                  </w:pPr>
                  <w:r>
                    <w:rPr>
                      <w:rFonts w:hint="eastAsia" w:eastAsiaTheme="minorEastAsia"/>
                      <w:szCs w:val="21"/>
                    </w:rPr>
                    <w:t>/</w:t>
                  </w:r>
                </w:p>
              </w:tc>
              <w:tc>
                <w:tcPr>
                  <w:tcW w:w="500" w:type="pct"/>
                  <w:vAlign w:val="center"/>
                </w:tcPr>
                <w:p w14:paraId="05AC64B8">
                  <w:pPr>
                    <w:jc w:val="center"/>
                    <w:rPr>
                      <w:rFonts w:eastAsiaTheme="minorEastAsia"/>
                      <w:szCs w:val="21"/>
                    </w:rPr>
                  </w:pPr>
                  <w:r>
                    <w:rPr>
                      <w:rFonts w:hint="eastAsia" w:eastAsiaTheme="minorEastAsia"/>
                      <w:szCs w:val="21"/>
                    </w:rPr>
                    <w:t>/</w:t>
                  </w:r>
                </w:p>
              </w:tc>
              <w:tc>
                <w:tcPr>
                  <w:tcW w:w="500" w:type="pct"/>
                  <w:vAlign w:val="center"/>
                </w:tcPr>
                <w:p w14:paraId="695A06AA">
                  <w:pPr>
                    <w:jc w:val="center"/>
                    <w:rPr>
                      <w:rFonts w:eastAsiaTheme="minorEastAsia"/>
                      <w:szCs w:val="21"/>
                    </w:rPr>
                  </w:pPr>
                  <w:r>
                    <w:rPr>
                      <w:rFonts w:hint="eastAsia" w:eastAsiaTheme="minorEastAsia"/>
                      <w:szCs w:val="21"/>
                    </w:rPr>
                    <w:t>65</w:t>
                  </w:r>
                </w:p>
              </w:tc>
              <w:tc>
                <w:tcPr>
                  <w:tcW w:w="496" w:type="pct"/>
                  <w:vAlign w:val="center"/>
                </w:tcPr>
                <w:p w14:paraId="0D4E3F2E">
                  <w:pPr>
                    <w:jc w:val="center"/>
                    <w:rPr>
                      <w:rFonts w:eastAsiaTheme="minorEastAsia"/>
                      <w:szCs w:val="21"/>
                    </w:rPr>
                  </w:pPr>
                  <w:r>
                    <w:rPr>
                      <w:rFonts w:eastAsiaTheme="minorEastAsia"/>
                      <w:szCs w:val="21"/>
                    </w:rPr>
                    <w:t>达标</w:t>
                  </w:r>
                </w:p>
              </w:tc>
            </w:tr>
          </w:tbl>
          <w:p w14:paraId="655ED482">
            <w:pPr>
              <w:adjustRightInd w:val="0"/>
              <w:snapToGrid w:val="0"/>
              <w:spacing w:line="360" w:lineRule="auto"/>
              <w:jc w:val="center"/>
              <w:rPr>
                <w:rFonts w:ascii="宋体" w:cs="宋体"/>
                <w:b/>
                <w:kern w:val="0"/>
                <w:sz w:val="28"/>
                <w:szCs w:val="28"/>
              </w:rPr>
            </w:pPr>
            <w:r>
              <w:rPr>
                <w:rFonts w:ascii="宋体" w:cs="宋体"/>
                <w:b/>
                <w:kern w:val="0"/>
                <w:sz w:val="28"/>
                <w:szCs w:val="28"/>
              </w:rPr>
              <w:drawing>
                <wp:inline distT="0" distB="0" distL="0" distR="0">
                  <wp:extent cx="5353050" cy="2954655"/>
                  <wp:effectExtent l="0" t="0" r="0" b="0"/>
                  <wp:docPr id="3" name="图片 3" descr="C:\Users\86166\Desktop\yue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86166\Desktop\yuef.b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360422" cy="2958871"/>
                          </a:xfrm>
                          <a:prstGeom prst="rect">
                            <a:avLst/>
                          </a:prstGeom>
                          <a:noFill/>
                          <a:ln>
                            <a:noFill/>
                          </a:ln>
                        </pic:spPr>
                      </pic:pic>
                    </a:graphicData>
                  </a:graphic>
                </wp:inline>
              </w:drawing>
            </w:r>
          </w:p>
          <w:p w14:paraId="0D75AB2D">
            <w:pPr>
              <w:jc w:val="center"/>
              <w:rPr>
                <w:rFonts w:hAnsiTheme="majorEastAsia" w:eastAsiaTheme="majorEastAsia"/>
                <w:b/>
                <w:kern w:val="0"/>
                <w:szCs w:val="21"/>
              </w:rPr>
            </w:pPr>
            <w:r>
              <w:rPr>
                <w:rFonts w:hAnsiTheme="majorEastAsia" w:eastAsiaTheme="majorEastAsia"/>
                <w:b/>
                <w:kern w:val="0"/>
                <w:szCs w:val="21"/>
              </w:rPr>
              <w:t>图</w:t>
            </w:r>
            <w:r>
              <w:rPr>
                <w:rFonts w:hint="eastAsia" w:eastAsiaTheme="majorEastAsia"/>
                <w:b/>
                <w:bCs/>
                <w:kern w:val="0"/>
                <w:szCs w:val="21"/>
              </w:rPr>
              <w:t>4-1</w:t>
            </w:r>
            <w:r>
              <w:rPr>
                <w:rFonts w:eastAsiaTheme="majorEastAsia"/>
                <w:b/>
                <w:bCs/>
                <w:kern w:val="0"/>
                <w:szCs w:val="21"/>
              </w:rPr>
              <w:t xml:space="preserve"> </w:t>
            </w:r>
            <w:r>
              <w:rPr>
                <w:rFonts w:hint="eastAsia" w:eastAsiaTheme="majorEastAsia"/>
                <w:b/>
                <w:bCs/>
                <w:kern w:val="0"/>
                <w:szCs w:val="21"/>
              </w:rPr>
              <w:t xml:space="preserve"> </w:t>
            </w:r>
            <w:r>
              <w:rPr>
                <w:rFonts w:hAnsiTheme="majorEastAsia" w:eastAsiaTheme="majorEastAsia"/>
                <w:b/>
                <w:kern w:val="0"/>
                <w:szCs w:val="21"/>
              </w:rPr>
              <w:t>厂界噪声预测等值线图</w:t>
            </w:r>
          </w:p>
          <w:p w14:paraId="63D17318">
            <w:pPr>
              <w:spacing w:line="360" w:lineRule="auto"/>
              <w:ind w:firstLine="482" w:firstLineChars="200"/>
              <w:rPr>
                <w:rFonts w:hAnsi="宋体"/>
                <w:b/>
                <w:kern w:val="0"/>
                <w:sz w:val="24"/>
              </w:rPr>
            </w:pPr>
            <w:r>
              <w:rPr>
                <w:rFonts w:hint="eastAsia" w:hAnsi="宋体"/>
                <w:b/>
                <w:kern w:val="0"/>
                <w:sz w:val="24"/>
              </w:rPr>
              <w:t>4、噪声环境影响预测评价</w:t>
            </w:r>
          </w:p>
          <w:p w14:paraId="4BFF0EA7">
            <w:pPr>
              <w:spacing w:line="360" w:lineRule="auto"/>
              <w:ind w:firstLine="480" w:firstLineChars="200"/>
              <w:rPr>
                <w:sz w:val="24"/>
              </w:rPr>
            </w:pPr>
            <w:r>
              <w:rPr>
                <w:rFonts w:hint="eastAsia"/>
                <w:sz w:val="24"/>
              </w:rPr>
              <w:t>由上分析可知，上述设备运行产生的噪声在经过墙体阻隔、减振降噪及距离衰减后，本项目噪声源对场界贡献值均不超标，项目场界噪声均满足《工业企业厂界环境噪声排放标准》（GB 12348-2008）3类功能区标准限值。</w:t>
            </w:r>
          </w:p>
          <w:p w14:paraId="77277EA2">
            <w:pPr>
              <w:spacing w:line="360" w:lineRule="auto"/>
              <w:ind w:firstLine="482" w:firstLineChars="200"/>
              <w:rPr>
                <w:rFonts w:hAnsi="宋体"/>
                <w:b/>
                <w:kern w:val="0"/>
                <w:sz w:val="24"/>
              </w:rPr>
            </w:pPr>
            <w:r>
              <w:rPr>
                <w:rFonts w:hint="eastAsia" w:hAnsi="宋体"/>
                <w:b/>
                <w:kern w:val="0"/>
                <w:sz w:val="24"/>
              </w:rPr>
              <w:t>5、噪声防治措施</w:t>
            </w:r>
          </w:p>
          <w:p w14:paraId="7D618BE2">
            <w:pPr>
              <w:spacing w:line="360" w:lineRule="auto"/>
              <w:ind w:firstLine="480" w:firstLineChars="200"/>
              <w:rPr>
                <w:sz w:val="24"/>
              </w:rPr>
            </w:pPr>
            <w:r>
              <w:rPr>
                <w:rFonts w:hint="eastAsia"/>
                <w:sz w:val="24"/>
              </w:rPr>
              <w:t>为减小设备噪声及其他设备噪声对周边环境的影响，建设单位应采取以下治理措施：</w:t>
            </w:r>
          </w:p>
          <w:p w14:paraId="25EE5825">
            <w:pPr>
              <w:spacing w:line="360" w:lineRule="auto"/>
              <w:ind w:firstLine="480" w:firstLineChars="200"/>
              <w:rPr>
                <w:sz w:val="24"/>
              </w:rPr>
            </w:pPr>
            <w:r>
              <w:rPr>
                <w:rFonts w:hint="eastAsia"/>
                <w:sz w:val="24"/>
              </w:rPr>
              <w:t>（1）在设备选型时应尽量选用低噪声的设备和材料，从声源上降低噪声；</w:t>
            </w:r>
          </w:p>
          <w:p w14:paraId="0FB6994E">
            <w:pPr>
              <w:spacing w:line="360" w:lineRule="auto"/>
              <w:ind w:firstLine="480" w:firstLineChars="200"/>
              <w:rPr>
                <w:rFonts w:hAnsi="宋体"/>
                <w:kern w:val="0"/>
                <w:sz w:val="24"/>
              </w:rPr>
            </w:pPr>
            <w:r>
              <w:rPr>
                <w:rFonts w:hint="eastAsia" w:hAnsi="宋体"/>
                <w:kern w:val="0"/>
                <w:sz w:val="24"/>
              </w:rPr>
              <w:t>（2）生产设备设置减振基座，合理布局。</w:t>
            </w:r>
          </w:p>
          <w:p w14:paraId="3AE3734E">
            <w:pPr>
              <w:spacing w:line="360" w:lineRule="auto"/>
              <w:ind w:firstLine="480" w:firstLineChars="200"/>
              <w:rPr>
                <w:rFonts w:hAnsi="宋体"/>
                <w:kern w:val="0"/>
                <w:sz w:val="24"/>
              </w:rPr>
            </w:pPr>
            <w:r>
              <w:rPr>
                <w:rFonts w:hint="eastAsia" w:hAnsi="宋体"/>
                <w:kern w:val="0"/>
                <w:sz w:val="24"/>
              </w:rPr>
              <w:t>（3）在生产过程中应加强设备维护，使之处于良好稳定的运行状态。运输车辆采取适当的方式装料和卸料，以降低噪声。</w:t>
            </w:r>
          </w:p>
          <w:p w14:paraId="5CD43A4D">
            <w:pPr>
              <w:spacing w:line="360" w:lineRule="auto"/>
              <w:ind w:firstLine="480" w:firstLineChars="200"/>
              <w:rPr>
                <w:rFonts w:hAnsi="宋体"/>
                <w:kern w:val="0"/>
                <w:sz w:val="24"/>
              </w:rPr>
            </w:pPr>
            <w:r>
              <w:rPr>
                <w:rFonts w:hint="eastAsia" w:hAnsi="宋体"/>
                <w:kern w:val="0"/>
                <w:sz w:val="24"/>
              </w:rPr>
              <w:t>（4）合理安排生产时间，运输作业，车辆的装载管理，夜间不得进行生产作业。</w:t>
            </w:r>
          </w:p>
          <w:p w14:paraId="4DDFD16F">
            <w:pPr>
              <w:spacing w:line="360" w:lineRule="auto"/>
              <w:ind w:firstLine="480" w:firstLineChars="200"/>
              <w:rPr>
                <w:rFonts w:hAnsi="宋体"/>
                <w:kern w:val="0"/>
                <w:sz w:val="24"/>
              </w:rPr>
            </w:pPr>
            <w:r>
              <w:rPr>
                <w:rFonts w:hint="eastAsia" w:hAnsi="宋体"/>
                <w:kern w:val="0"/>
                <w:sz w:val="24"/>
              </w:rPr>
              <w:t>（5）在采取对强噪声源的治理的同时对一线生产人员应配置防护耳罩、耳塞等个人防护用品，以最大程度上减轻噪声对一线生产人员的影响。</w:t>
            </w:r>
          </w:p>
          <w:p w14:paraId="6F0CF018">
            <w:pPr>
              <w:spacing w:line="360" w:lineRule="auto"/>
              <w:ind w:firstLine="482" w:firstLineChars="200"/>
              <w:rPr>
                <w:rFonts w:hAnsi="宋体"/>
                <w:b/>
                <w:kern w:val="0"/>
                <w:sz w:val="24"/>
              </w:rPr>
            </w:pPr>
            <w:r>
              <w:rPr>
                <w:rFonts w:hint="eastAsia" w:hAnsi="宋体"/>
                <w:b/>
                <w:kern w:val="0"/>
                <w:sz w:val="24"/>
              </w:rPr>
              <w:t>6、噪声监测计划</w:t>
            </w:r>
          </w:p>
          <w:p w14:paraId="016E50D8">
            <w:pPr>
              <w:spacing w:line="360" w:lineRule="auto"/>
              <w:ind w:firstLine="480" w:firstLineChars="200"/>
              <w:rPr>
                <w:rFonts w:hAnsi="宋体"/>
                <w:kern w:val="0"/>
                <w:sz w:val="24"/>
              </w:rPr>
            </w:pPr>
            <w:r>
              <w:rPr>
                <w:rFonts w:hAnsi="宋体"/>
                <w:kern w:val="0"/>
                <w:sz w:val="24"/>
              </w:rPr>
              <w:t>根据</w:t>
            </w:r>
            <w:r>
              <w:rPr>
                <w:rFonts w:hint="eastAsia"/>
                <w:sz w:val="24"/>
              </w:rPr>
              <w:t>《排污单位自行监测技术指南 总则》（HJ819-2017）、《排污许可证申请与核发技术规范 石墨及其他非金属矿物制品制造》（HJ1119-2020）</w:t>
            </w:r>
            <w:r>
              <w:rPr>
                <w:rFonts w:hAnsi="宋体"/>
                <w:kern w:val="0"/>
                <w:sz w:val="24"/>
              </w:rPr>
              <w:t>，项目运营期噪声环境监测计划如下表所示：</w:t>
            </w:r>
          </w:p>
          <w:p w14:paraId="21E3BC6B">
            <w:pPr>
              <w:spacing w:before="120" w:beforeLines="50"/>
              <w:jc w:val="center"/>
              <w:rPr>
                <w:b/>
                <w:szCs w:val="21"/>
              </w:rPr>
            </w:pPr>
            <w:r>
              <w:rPr>
                <w:b/>
                <w:szCs w:val="21"/>
              </w:rPr>
              <w:t>表</w:t>
            </w:r>
            <w:r>
              <w:rPr>
                <w:rFonts w:hint="eastAsia"/>
                <w:b/>
                <w:szCs w:val="21"/>
              </w:rPr>
              <w:t>4-13  运营期噪声监测计划表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4"/>
              <w:gridCol w:w="1995"/>
              <w:gridCol w:w="1496"/>
              <w:gridCol w:w="1330"/>
              <w:gridCol w:w="3746"/>
            </w:tblGrid>
            <w:tr w14:paraId="6BE9C0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3" w:type="pct"/>
                  <w:shd w:val="clear" w:color="auto" w:fill="auto"/>
                  <w:vAlign w:val="center"/>
                </w:tcPr>
                <w:p w14:paraId="234A206A">
                  <w:pPr>
                    <w:jc w:val="center"/>
                    <w:rPr>
                      <w:b/>
                      <w:szCs w:val="21"/>
                    </w:rPr>
                  </w:pPr>
                  <w:r>
                    <w:rPr>
                      <w:rFonts w:hint="eastAsia"/>
                      <w:b/>
                      <w:szCs w:val="21"/>
                    </w:rPr>
                    <w:t>编号</w:t>
                  </w:r>
                </w:p>
              </w:tc>
              <w:tc>
                <w:tcPr>
                  <w:tcW w:w="1059" w:type="pct"/>
                  <w:shd w:val="clear" w:color="auto" w:fill="auto"/>
                  <w:vAlign w:val="center"/>
                </w:tcPr>
                <w:p w14:paraId="102A4BA0">
                  <w:pPr>
                    <w:jc w:val="center"/>
                    <w:rPr>
                      <w:b/>
                      <w:szCs w:val="21"/>
                    </w:rPr>
                  </w:pPr>
                  <w:r>
                    <w:rPr>
                      <w:rFonts w:hint="eastAsia"/>
                      <w:b/>
                      <w:szCs w:val="21"/>
                    </w:rPr>
                    <w:t>监测点位</w:t>
                  </w:r>
                </w:p>
              </w:tc>
              <w:tc>
                <w:tcPr>
                  <w:tcW w:w="794" w:type="pct"/>
                  <w:shd w:val="clear" w:color="auto" w:fill="auto"/>
                  <w:vAlign w:val="center"/>
                </w:tcPr>
                <w:p w14:paraId="08FE4D58">
                  <w:pPr>
                    <w:jc w:val="center"/>
                    <w:rPr>
                      <w:b/>
                      <w:szCs w:val="21"/>
                    </w:rPr>
                  </w:pPr>
                  <w:r>
                    <w:rPr>
                      <w:rFonts w:hint="eastAsia"/>
                      <w:b/>
                      <w:szCs w:val="21"/>
                    </w:rPr>
                    <w:t>监测指标</w:t>
                  </w:r>
                </w:p>
              </w:tc>
              <w:tc>
                <w:tcPr>
                  <w:tcW w:w="706" w:type="pct"/>
                  <w:shd w:val="clear" w:color="auto" w:fill="auto"/>
                  <w:vAlign w:val="center"/>
                </w:tcPr>
                <w:p w14:paraId="0C57B97F">
                  <w:pPr>
                    <w:jc w:val="center"/>
                    <w:rPr>
                      <w:b/>
                      <w:szCs w:val="21"/>
                    </w:rPr>
                  </w:pPr>
                  <w:r>
                    <w:rPr>
                      <w:rFonts w:hint="eastAsia"/>
                      <w:b/>
                      <w:szCs w:val="21"/>
                    </w:rPr>
                    <w:t>监测频次</w:t>
                  </w:r>
                </w:p>
              </w:tc>
              <w:tc>
                <w:tcPr>
                  <w:tcW w:w="1988" w:type="pct"/>
                  <w:shd w:val="clear" w:color="auto" w:fill="auto"/>
                  <w:vAlign w:val="center"/>
                </w:tcPr>
                <w:p w14:paraId="2F67796D">
                  <w:pPr>
                    <w:pStyle w:val="4"/>
                    <w:spacing w:after="0"/>
                    <w:ind w:left="0" w:leftChars="0" w:firstLine="422"/>
                    <w:jc w:val="center"/>
                  </w:pPr>
                  <w:r>
                    <w:rPr>
                      <w:rFonts w:hint="eastAsia"/>
                      <w:b/>
                      <w:szCs w:val="21"/>
                    </w:rPr>
                    <w:t>执行标准</w:t>
                  </w:r>
                </w:p>
              </w:tc>
            </w:tr>
            <w:tr w14:paraId="15CA27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453" w:type="pct"/>
                  <w:shd w:val="clear" w:color="auto" w:fill="auto"/>
                  <w:vAlign w:val="center"/>
                </w:tcPr>
                <w:p w14:paraId="1FEBCC78">
                  <w:pPr>
                    <w:jc w:val="center"/>
                    <w:rPr>
                      <w:bCs/>
                      <w:szCs w:val="21"/>
                    </w:rPr>
                  </w:pPr>
                  <w:r>
                    <w:rPr>
                      <w:rFonts w:hint="eastAsia"/>
                      <w:bCs/>
                      <w:szCs w:val="21"/>
                    </w:rPr>
                    <w:t>1</w:t>
                  </w:r>
                </w:p>
              </w:tc>
              <w:tc>
                <w:tcPr>
                  <w:tcW w:w="1059" w:type="pct"/>
                  <w:shd w:val="clear" w:color="auto" w:fill="auto"/>
                  <w:vAlign w:val="center"/>
                </w:tcPr>
                <w:p w14:paraId="7087F50E">
                  <w:pPr>
                    <w:jc w:val="center"/>
                    <w:rPr>
                      <w:bCs/>
                      <w:szCs w:val="21"/>
                    </w:rPr>
                  </w:pPr>
                  <w:r>
                    <w:rPr>
                      <w:rFonts w:hint="eastAsia"/>
                      <w:bCs/>
                      <w:szCs w:val="21"/>
                    </w:rPr>
                    <w:t>东、南、西北厂界外1m</w:t>
                  </w:r>
                </w:p>
              </w:tc>
              <w:tc>
                <w:tcPr>
                  <w:tcW w:w="794" w:type="pct"/>
                  <w:shd w:val="clear" w:color="auto" w:fill="auto"/>
                  <w:vAlign w:val="center"/>
                </w:tcPr>
                <w:p w14:paraId="390195B8">
                  <w:pPr>
                    <w:jc w:val="center"/>
                    <w:rPr>
                      <w:bCs/>
                      <w:szCs w:val="21"/>
                    </w:rPr>
                  </w:pPr>
                  <w:r>
                    <w:rPr>
                      <w:bCs/>
                      <w:szCs w:val="21"/>
                    </w:rPr>
                    <w:t>连续等效A声级</w:t>
                  </w:r>
                </w:p>
              </w:tc>
              <w:tc>
                <w:tcPr>
                  <w:tcW w:w="706" w:type="pct"/>
                  <w:shd w:val="clear" w:color="auto" w:fill="auto"/>
                  <w:vAlign w:val="center"/>
                </w:tcPr>
                <w:p w14:paraId="2FF920E0">
                  <w:pPr>
                    <w:jc w:val="center"/>
                    <w:rPr>
                      <w:bCs/>
                      <w:szCs w:val="21"/>
                    </w:rPr>
                  </w:pPr>
                  <w:r>
                    <w:rPr>
                      <w:rFonts w:hint="eastAsia"/>
                      <w:bCs/>
                      <w:szCs w:val="21"/>
                    </w:rPr>
                    <w:t>1次/季度</w:t>
                  </w:r>
                </w:p>
              </w:tc>
              <w:tc>
                <w:tcPr>
                  <w:tcW w:w="1988" w:type="pct"/>
                  <w:shd w:val="clear" w:color="auto" w:fill="auto"/>
                  <w:vAlign w:val="center"/>
                </w:tcPr>
                <w:p w14:paraId="02666BDC">
                  <w:pPr>
                    <w:pStyle w:val="4"/>
                    <w:spacing w:after="0"/>
                    <w:ind w:left="0" w:leftChars="0"/>
                    <w:jc w:val="center"/>
                  </w:pPr>
                  <w:r>
                    <w:rPr>
                      <w:rFonts w:hint="eastAsia"/>
                      <w:bCs/>
                      <w:szCs w:val="21"/>
                    </w:rPr>
                    <w:t>《工业企业厂界环境噪声排放标准》（GB12348-2008）</w:t>
                  </w:r>
                </w:p>
              </w:tc>
            </w:tr>
          </w:tbl>
          <w:p w14:paraId="7172FFAA">
            <w:pPr>
              <w:spacing w:line="360" w:lineRule="auto"/>
              <w:ind w:firstLine="482" w:firstLineChars="200"/>
              <w:rPr>
                <w:rFonts w:hAnsi="宋体"/>
                <w:b/>
                <w:kern w:val="0"/>
                <w:sz w:val="24"/>
              </w:rPr>
            </w:pPr>
            <w:r>
              <w:rPr>
                <w:rFonts w:hint="eastAsia" w:hAnsi="宋体"/>
                <w:b/>
                <w:kern w:val="0"/>
                <w:sz w:val="24"/>
              </w:rPr>
              <w:t>四、固体废物</w:t>
            </w:r>
          </w:p>
          <w:p w14:paraId="50DB9D84">
            <w:pPr>
              <w:spacing w:line="360" w:lineRule="auto"/>
              <w:ind w:firstLine="480" w:firstLineChars="200"/>
              <w:rPr>
                <w:rFonts w:hAnsi="宋体"/>
                <w:kern w:val="0"/>
                <w:sz w:val="24"/>
              </w:rPr>
            </w:pPr>
            <w:r>
              <w:rPr>
                <w:rFonts w:hint="eastAsia"/>
                <w:sz w:val="24"/>
              </w:rPr>
              <w:t>项目产生的固体废物主要包括除尘器收集尘、废包装袋、</w:t>
            </w:r>
            <w:r>
              <w:rPr>
                <w:rFonts w:hint="eastAsia"/>
                <w:sz w:val="24"/>
                <w:lang w:val="zh-CN"/>
              </w:rPr>
              <w:t>废布袋、</w:t>
            </w:r>
            <w:r>
              <w:rPr>
                <w:rFonts w:hint="eastAsia"/>
                <w:sz w:val="24"/>
              </w:rPr>
              <w:t>废润滑油、废含油抹布及手套以及员工生活垃圾等</w:t>
            </w:r>
            <w:r>
              <w:rPr>
                <w:rFonts w:hAnsi="宋体"/>
                <w:kern w:val="0"/>
                <w:sz w:val="24"/>
              </w:rPr>
              <w:t>。</w:t>
            </w:r>
          </w:p>
          <w:p w14:paraId="09F11C95">
            <w:pPr>
              <w:autoSpaceDE w:val="0"/>
              <w:autoSpaceDN w:val="0"/>
              <w:adjustRightInd w:val="0"/>
              <w:spacing w:line="360" w:lineRule="auto"/>
              <w:ind w:firstLine="482" w:firstLineChars="200"/>
              <w:rPr>
                <w:b/>
                <w:sz w:val="24"/>
              </w:rPr>
            </w:pPr>
            <w:r>
              <w:rPr>
                <w:rFonts w:hint="eastAsia"/>
                <w:b/>
                <w:sz w:val="24"/>
              </w:rPr>
              <w:t>（1）除尘器收集尘</w:t>
            </w:r>
          </w:p>
          <w:p w14:paraId="09B90579">
            <w:pPr>
              <w:autoSpaceDE w:val="0"/>
              <w:autoSpaceDN w:val="0"/>
              <w:adjustRightInd w:val="0"/>
              <w:spacing w:line="360" w:lineRule="auto"/>
              <w:ind w:firstLine="480" w:firstLineChars="200"/>
              <w:rPr>
                <w:sz w:val="24"/>
              </w:rPr>
            </w:pPr>
            <w:r>
              <w:rPr>
                <w:rFonts w:hint="eastAsia"/>
                <w:sz w:val="24"/>
              </w:rPr>
              <w:t>根据工程分析，项目生产过程中布袋除尘器收集的粉尘量约为58.68t/a，经收集后作为产品外售。</w:t>
            </w:r>
          </w:p>
          <w:p w14:paraId="0D44B507">
            <w:pPr>
              <w:autoSpaceDE w:val="0"/>
              <w:autoSpaceDN w:val="0"/>
              <w:adjustRightInd w:val="0"/>
              <w:spacing w:line="360" w:lineRule="auto"/>
              <w:ind w:firstLine="482" w:firstLineChars="200"/>
              <w:rPr>
                <w:b/>
                <w:sz w:val="24"/>
              </w:rPr>
            </w:pPr>
            <w:r>
              <w:rPr>
                <w:rFonts w:hint="eastAsia"/>
                <w:b/>
                <w:sz w:val="24"/>
              </w:rPr>
              <w:t>（2）废包装袋</w:t>
            </w:r>
          </w:p>
          <w:p w14:paraId="131532F3">
            <w:pPr>
              <w:autoSpaceDE w:val="0"/>
              <w:autoSpaceDN w:val="0"/>
              <w:adjustRightInd w:val="0"/>
              <w:spacing w:line="360" w:lineRule="auto"/>
              <w:ind w:firstLine="480" w:firstLineChars="200"/>
              <w:rPr>
                <w:sz w:val="24"/>
              </w:rPr>
            </w:pPr>
            <w:r>
              <w:rPr>
                <w:rFonts w:hint="eastAsia"/>
                <w:sz w:val="24"/>
              </w:rPr>
              <w:t>本项目的产品采用袋装外售，袋装过程中，包装袋会有损耗，废包装袋产生量大约占用量的1%，因此废包装袋产生量约为0.3t/a，统一收集后外售废品回收站。</w:t>
            </w:r>
          </w:p>
          <w:p w14:paraId="2BDC767A">
            <w:pPr>
              <w:autoSpaceDE w:val="0"/>
              <w:autoSpaceDN w:val="0"/>
              <w:adjustRightInd w:val="0"/>
              <w:spacing w:line="360" w:lineRule="auto"/>
              <w:ind w:firstLine="482" w:firstLineChars="200"/>
              <w:rPr>
                <w:b/>
                <w:sz w:val="24"/>
              </w:rPr>
            </w:pPr>
            <w:r>
              <w:rPr>
                <w:rFonts w:hint="eastAsia"/>
                <w:b/>
                <w:sz w:val="24"/>
              </w:rPr>
              <w:t>（3）废布袋</w:t>
            </w:r>
          </w:p>
          <w:p w14:paraId="089E195D">
            <w:pPr>
              <w:autoSpaceDE w:val="0"/>
              <w:autoSpaceDN w:val="0"/>
              <w:adjustRightInd w:val="0"/>
              <w:spacing w:line="360" w:lineRule="auto"/>
              <w:ind w:firstLine="480" w:firstLineChars="200"/>
              <w:rPr>
                <w:sz w:val="24"/>
              </w:rPr>
            </w:pPr>
            <w:r>
              <w:rPr>
                <w:rFonts w:hint="eastAsia"/>
                <w:sz w:val="24"/>
              </w:rPr>
              <w:t>本项目使用的布袋除尘器的布袋需要定期更换，更换周期一般为4年/次，更换的布袋由厂家回收合理处置。</w:t>
            </w:r>
          </w:p>
          <w:p w14:paraId="4C9C4B91">
            <w:pPr>
              <w:autoSpaceDE w:val="0"/>
              <w:autoSpaceDN w:val="0"/>
              <w:adjustRightInd w:val="0"/>
              <w:spacing w:line="360" w:lineRule="auto"/>
              <w:ind w:firstLine="482" w:firstLineChars="200"/>
              <w:rPr>
                <w:b/>
                <w:sz w:val="24"/>
              </w:rPr>
            </w:pPr>
            <w:r>
              <w:rPr>
                <w:rFonts w:hint="eastAsia"/>
                <w:b/>
                <w:sz w:val="24"/>
              </w:rPr>
              <w:t>（4）废润滑油</w:t>
            </w:r>
          </w:p>
          <w:p w14:paraId="24A851F3">
            <w:pPr>
              <w:autoSpaceDE w:val="0"/>
              <w:autoSpaceDN w:val="0"/>
              <w:adjustRightInd w:val="0"/>
              <w:spacing w:line="360" w:lineRule="auto"/>
              <w:ind w:firstLine="480" w:firstLineChars="200"/>
              <w:rPr>
                <w:bCs/>
                <w:sz w:val="24"/>
              </w:rPr>
            </w:pPr>
            <w:r>
              <w:rPr>
                <w:rFonts w:hint="eastAsia"/>
                <w:bCs/>
                <w:sz w:val="24"/>
              </w:rPr>
              <w:t>项目设备维修养护时会产生一定量的废</w:t>
            </w:r>
            <w:r>
              <w:rPr>
                <w:rFonts w:hint="eastAsia" w:ascii="宋体" w:hAnsi="宋体" w:cs="宋体"/>
                <w:sz w:val="24"/>
              </w:rPr>
              <w:t>润滑</w:t>
            </w:r>
            <w:r>
              <w:rPr>
                <w:rFonts w:hint="eastAsia"/>
                <w:bCs/>
                <w:sz w:val="24"/>
              </w:rPr>
              <w:t>油，产生量约为0.1t/a</w:t>
            </w:r>
            <w:r>
              <w:rPr>
                <w:rFonts w:hint="eastAsia"/>
                <w:sz w:val="24"/>
              </w:rPr>
              <w:t>，根据</w:t>
            </w:r>
            <w:bookmarkStart w:id="63" w:name="OLE_LINK57"/>
            <w:bookmarkStart w:id="64" w:name="OLE_LINK55"/>
            <w:bookmarkStart w:id="65" w:name="OLE_LINK56"/>
            <w:r>
              <w:rPr>
                <w:rFonts w:hint="eastAsia"/>
                <w:sz w:val="24"/>
              </w:rPr>
              <w:t>《</w:t>
            </w:r>
            <w:bookmarkStart w:id="66" w:name="OLE_LINK53"/>
            <w:bookmarkStart w:id="67" w:name="OLE_LINK54"/>
            <w:r>
              <w:rPr>
                <w:rFonts w:hint="eastAsia"/>
                <w:sz w:val="24"/>
              </w:rPr>
              <w:t>国家危险废物名录》（2025年</w:t>
            </w:r>
            <w:bookmarkEnd w:id="66"/>
            <w:bookmarkEnd w:id="67"/>
            <w:r>
              <w:rPr>
                <w:rFonts w:hint="eastAsia"/>
                <w:sz w:val="24"/>
              </w:rPr>
              <w:t>）</w:t>
            </w:r>
            <w:bookmarkEnd w:id="63"/>
            <w:bookmarkEnd w:id="64"/>
            <w:bookmarkEnd w:id="65"/>
            <w:r>
              <w:rPr>
                <w:rFonts w:hint="eastAsia"/>
                <w:sz w:val="24"/>
              </w:rPr>
              <w:t>，废</w:t>
            </w:r>
            <w:r>
              <w:rPr>
                <w:rFonts w:hint="eastAsia" w:ascii="宋体" w:hAnsi="宋体" w:cs="宋体"/>
                <w:sz w:val="24"/>
              </w:rPr>
              <w:t>润滑</w:t>
            </w:r>
            <w:r>
              <w:rPr>
                <w:rFonts w:hint="eastAsia"/>
                <w:sz w:val="24"/>
              </w:rPr>
              <w:t>油属于危险废物HW08，废物代码：</w:t>
            </w:r>
            <w:r>
              <w:rPr>
                <w:rFonts w:hint="eastAsia"/>
                <w:bCs/>
                <w:sz w:val="24"/>
              </w:rPr>
              <w:t>900-214-08。</w:t>
            </w:r>
          </w:p>
          <w:p w14:paraId="35B2573D">
            <w:pPr>
              <w:autoSpaceDE w:val="0"/>
              <w:autoSpaceDN w:val="0"/>
              <w:adjustRightInd w:val="0"/>
              <w:spacing w:line="360" w:lineRule="auto"/>
              <w:ind w:firstLine="480" w:firstLineChars="200"/>
              <w:rPr>
                <w:bCs/>
                <w:sz w:val="24"/>
              </w:rPr>
            </w:pPr>
            <w:r>
              <w:rPr>
                <w:rFonts w:hint="eastAsia"/>
                <w:sz w:val="24"/>
              </w:rPr>
              <w:t>废润滑油经收集后暂存于厂区危废暂存间内，定期委托有相应类别危险废物处置资质的单位代为处置，同时暂存过程按危险废物的有关规定和要求进行环境监管。</w:t>
            </w:r>
          </w:p>
          <w:p w14:paraId="4AC4855D">
            <w:pPr>
              <w:autoSpaceDE w:val="0"/>
              <w:autoSpaceDN w:val="0"/>
              <w:adjustRightInd w:val="0"/>
              <w:spacing w:line="360" w:lineRule="auto"/>
              <w:ind w:firstLine="482" w:firstLineChars="200"/>
              <w:rPr>
                <w:b/>
                <w:sz w:val="24"/>
              </w:rPr>
            </w:pPr>
            <w:r>
              <w:rPr>
                <w:rFonts w:hint="eastAsia"/>
                <w:b/>
                <w:sz w:val="24"/>
              </w:rPr>
              <w:t>（5）废含油抹布及手套</w:t>
            </w:r>
          </w:p>
          <w:p w14:paraId="087172EB">
            <w:pPr>
              <w:spacing w:line="360" w:lineRule="auto"/>
              <w:ind w:firstLine="480" w:firstLineChars="200"/>
              <w:rPr>
                <w:rFonts w:hAnsi="宋体"/>
                <w:b/>
                <w:kern w:val="0"/>
                <w:sz w:val="24"/>
              </w:rPr>
            </w:pPr>
            <w:r>
              <w:rPr>
                <w:rFonts w:hint="eastAsia"/>
                <w:bCs/>
                <w:sz w:val="24"/>
              </w:rPr>
              <w:t>项目设备维修养护时会产生一定量的废含油抹布及手套，产生量约为0.1t/a</w:t>
            </w:r>
            <w:r>
              <w:rPr>
                <w:rFonts w:hint="eastAsia"/>
                <w:sz w:val="24"/>
              </w:rPr>
              <w:t>，根据《国家危险废物名录》（2025年），废含油抹布及手套属于危险废物HW08，废物代码：900-249-08，经收集后暂存与厂区危废暂存间内，定期委托有相应类别危险废物处置资质的单位代为处置，同时暂存过程按危险废物的有关规定和要求进行环境监管。</w:t>
            </w:r>
          </w:p>
          <w:p w14:paraId="0FA8A3D5">
            <w:pPr>
              <w:spacing w:line="360" w:lineRule="auto"/>
              <w:ind w:firstLine="482" w:firstLineChars="200"/>
              <w:rPr>
                <w:rFonts w:hAnsi="宋体"/>
                <w:b/>
                <w:kern w:val="0"/>
                <w:sz w:val="24"/>
              </w:rPr>
            </w:pPr>
            <w:r>
              <w:rPr>
                <w:rFonts w:hint="eastAsia"/>
                <w:b/>
                <w:sz w:val="24"/>
              </w:rPr>
              <w:t>（5）</w:t>
            </w:r>
            <w:r>
              <w:rPr>
                <w:rFonts w:hint="eastAsia" w:hAnsi="宋体"/>
                <w:b/>
                <w:kern w:val="0"/>
                <w:sz w:val="24"/>
              </w:rPr>
              <w:t>员工生活垃圾</w:t>
            </w:r>
          </w:p>
          <w:p w14:paraId="329D6102">
            <w:pPr>
              <w:spacing w:line="360" w:lineRule="auto"/>
              <w:ind w:firstLine="480" w:firstLineChars="200"/>
              <w:rPr>
                <w:rFonts w:hAnsi="宋体"/>
                <w:b/>
                <w:kern w:val="0"/>
                <w:sz w:val="24"/>
              </w:rPr>
            </w:pPr>
            <w:r>
              <w:rPr>
                <w:rFonts w:hint="eastAsia"/>
                <w:sz w:val="24"/>
              </w:rPr>
              <w:t>项目劳动定员10人</w:t>
            </w:r>
            <w:r>
              <w:rPr>
                <w:rFonts w:eastAsiaTheme="majorEastAsia"/>
                <w:kern w:val="0"/>
                <w:sz w:val="24"/>
              </w:rPr>
              <w:t>，</w:t>
            </w:r>
            <w:r>
              <w:rPr>
                <w:rFonts w:hint="eastAsia"/>
                <w:sz w:val="24"/>
              </w:rPr>
              <w:t>按人均产生垃圾0.5kg/d计，生活垃圾产生总量为0.005t/d（1.5t/a），项目生活垃圾委托当地环卫部门清运处理。</w:t>
            </w:r>
          </w:p>
          <w:p w14:paraId="6EAFBEF1">
            <w:pPr>
              <w:autoSpaceDE w:val="0"/>
              <w:autoSpaceDN w:val="0"/>
              <w:adjustRightInd w:val="0"/>
              <w:spacing w:line="360" w:lineRule="auto"/>
              <w:ind w:firstLine="440" w:firstLineChars="200"/>
              <w:rPr>
                <w:bCs/>
                <w:spacing w:val="-10"/>
                <w:sz w:val="24"/>
              </w:rPr>
            </w:pPr>
            <w:r>
              <w:rPr>
                <w:bCs/>
                <w:spacing w:val="-10"/>
                <w:sz w:val="24"/>
              </w:rPr>
              <w:t>项目固体废物产排情况一览表见表</w:t>
            </w:r>
            <w:r>
              <w:rPr>
                <w:rFonts w:hint="eastAsia"/>
                <w:bCs/>
                <w:spacing w:val="-10"/>
                <w:sz w:val="24"/>
              </w:rPr>
              <w:t>4-14</w:t>
            </w:r>
            <w:r>
              <w:rPr>
                <w:bCs/>
                <w:spacing w:val="-10"/>
                <w:sz w:val="24"/>
              </w:rPr>
              <w:t>。</w:t>
            </w:r>
          </w:p>
          <w:p w14:paraId="3D0A2F1B">
            <w:pPr>
              <w:spacing w:before="120" w:beforeLines="50"/>
              <w:jc w:val="center"/>
              <w:rPr>
                <w:b/>
                <w:szCs w:val="21"/>
              </w:rPr>
            </w:pPr>
            <w:r>
              <w:rPr>
                <w:b/>
                <w:szCs w:val="21"/>
              </w:rPr>
              <w:t>表4-</w:t>
            </w:r>
            <w:r>
              <w:rPr>
                <w:rFonts w:hint="eastAsia"/>
                <w:b/>
                <w:szCs w:val="21"/>
              </w:rPr>
              <w:t>14</w:t>
            </w:r>
            <w:r>
              <w:rPr>
                <w:b/>
                <w:szCs w:val="21"/>
              </w:rPr>
              <w:t xml:space="preserve">  项目固体废物产生排放情况</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34"/>
              <w:gridCol w:w="861"/>
              <w:gridCol w:w="1419"/>
              <w:gridCol w:w="771"/>
              <w:gridCol w:w="1016"/>
              <w:gridCol w:w="827"/>
              <w:gridCol w:w="788"/>
              <w:gridCol w:w="1487"/>
              <w:gridCol w:w="818"/>
            </w:tblGrid>
            <w:tr w14:paraId="008EA9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29F8EC46">
                  <w:pPr>
                    <w:jc w:val="center"/>
                    <w:rPr>
                      <w:b/>
                      <w:szCs w:val="21"/>
                    </w:rPr>
                  </w:pPr>
                  <w:r>
                    <w:rPr>
                      <w:b/>
                      <w:szCs w:val="21"/>
                    </w:rPr>
                    <w:t>固体废物名称</w:t>
                  </w:r>
                </w:p>
              </w:tc>
              <w:tc>
                <w:tcPr>
                  <w:tcW w:w="457" w:type="pct"/>
                  <w:shd w:val="clear" w:color="auto" w:fill="auto"/>
                  <w:vAlign w:val="center"/>
                </w:tcPr>
                <w:p w14:paraId="516FAD14">
                  <w:pPr>
                    <w:jc w:val="center"/>
                    <w:rPr>
                      <w:b/>
                      <w:szCs w:val="21"/>
                    </w:rPr>
                  </w:pPr>
                  <w:r>
                    <w:rPr>
                      <w:b/>
                      <w:szCs w:val="21"/>
                    </w:rPr>
                    <w:t>属性</w:t>
                  </w:r>
                </w:p>
              </w:tc>
              <w:tc>
                <w:tcPr>
                  <w:tcW w:w="753" w:type="pct"/>
                  <w:shd w:val="clear" w:color="auto" w:fill="auto"/>
                  <w:vAlign w:val="center"/>
                </w:tcPr>
                <w:p w14:paraId="43BF5502">
                  <w:pPr>
                    <w:jc w:val="center"/>
                    <w:rPr>
                      <w:b/>
                      <w:szCs w:val="21"/>
                    </w:rPr>
                  </w:pPr>
                  <w:r>
                    <w:rPr>
                      <w:b/>
                      <w:szCs w:val="21"/>
                    </w:rPr>
                    <w:t>编码</w:t>
                  </w:r>
                </w:p>
              </w:tc>
              <w:tc>
                <w:tcPr>
                  <w:tcW w:w="409" w:type="pct"/>
                  <w:shd w:val="clear" w:color="auto" w:fill="auto"/>
                  <w:vAlign w:val="center"/>
                </w:tcPr>
                <w:p w14:paraId="05199931">
                  <w:pPr>
                    <w:jc w:val="center"/>
                    <w:rPr>
                      <w:b/>
                      <w:szCs w:val="21"/>
                    </w:rPr>
                  </w:pPr>
                  <w:r>
                    <w:rPr>
                      <w:b/>
                      <w:szCs w:val="21"/>
                    </w:rPr>
                    <w:t>物理性质</w:t>
                  </w:r>
                </w:p>
              </w:tc>
              <w:tc>
                <w:tcPr>
                  <w:tcW w:w="539" w:type="pct"/>
                  <w:shd w:val="clear" w:color="auto" w:fill="auto"/>
                  <w:vAlign w:val="center"/>
                </w:tcPr>
                <w:p w14:paraId="13A46402">
                  <w:pPr>
                    <w:jc w:val="center"/>
                    <w:rPr>
                      <w:b/>
                      <w:szCs w:val="21"/>
                    </w:rPr>
                  </w:pPr>
                  <w:r>
                    <w:rPr>
                      <w:b/>
                      <w:szCs w:val="21"/>
                    </w:rPr>
                    <w:t>环境危险特性</w:t>
                  </w:r>
                </w:p>
              </w:tc>
              <w:tc>
                <w:tcPr>
                  <w:tcW w:w="439" w:type="pct"/>
                  <w:shd w:val="clear" w:color="auto" w:fill="auto"/>
                  <w:vAlign w:val="center"/>
                </w:tcPr>
                <w:p w14:paraId="10ACD5A6">
                  <w:pPr>
                    <w:jc w:val="center"/>
                    <w:rPr>
                      <w:b/>
                      <w:szCs w:val="21"/>
                    </w:rPr>
                  </w:pPr>
                  <w:r>
                    <w:rPr>
                      <w:b/>
                      <w:szCs w:val="21"/>
                    </w:rPr>
                    <w:t>年产生量</w:t>
                  </w:r>
                  <w:r>
                    <w:rPr>
                      <w:rFonts w:hint="eastAsia"/>
                      <w:b/>
                      <w:szCs w:val="21"/>
                    </w:rPr>
                    <w:t>t/a</w:t>
                  </w:r>
                </w:p>
              </w:tc>
              <w:tc>
                <w:tcPr>
                  <w:tcW w:w="418" w:type="pct"/>
                  <w:shd w:val="clear" w:color="auto" w:fill="auto"/>
                  <w:vAlign w:val="center"/>
                </w:tcPr>
                <w:p w14:paraId="039BFC29">
                  <w:pPr>
                    <w:jc w:val="center"/>
                    <w:rPr>
                      <w:b/>
                      <w:szCs w:val="21"/>
                    </w:rPr>
                  </w:pPr>
                  <w:r>
                    <w:rPr>
                      <w:b/>
                      <w:szCs w:val="21"/>
                    </w:rPr>
                    <w:t>贮存方式</w:t>
                  </w:r>
                </w:p>
              </w:tc>
              <w:tc>
                <w:tcPr>
                  <w:tcW w:w="789" w:type="pct"/>
                  <w:shd w:val="clear" w:color="auto" w:fill="auto"/>
                  <w:vAlign w:val="center"/>
                </w:tcPr>
                <w:p w14:paraId="5AF4710C">
                  <w:pPr>
                    <w:jc w:val="center"/>
                    <w:rPr>
                      <w:b/>
                      <w:szCs w:val="21"/>
                    </w:rPr>
                  </w:pPr>
                  <w:r>
                    <w:rPr>
                      <w:b/>
                      <w:szCs w:val="21"/>
                    </w:rPr>
                    <w:t>利用处置方式和去向</w:t>
                  </w:r>
                </w:p>
              </w:tc>
              <w:tc>
                <w:tcPr>
                  <w:tcW w:w="434" w:type="pct"/>
                  <w:shd w:val="clear" w:color="auto" w:fill="auto"/>
                  <w:vAlign w:val="center"/>
                </w:tcPr>
                <w:p w14:paraId="443A52AA">
                  <w:pPr>
                    <w:jc w:val="center"/>
                    <w:rPr>
                      <w:b/>
                      <w:szCs w:val="21"/>
                    </w:rPr>
                  </w:pPr>
                  <w:r>
                    <w:rPr>
                      <w:b/>
                      <w:szCs w:val="21"/>
                    </w:rPr>
                    <w:t>利用处理量</w:t>
                  </w:r>
                  <w:r>
                    <w:rPr>
                      <w:rFonts w:hint="eastAsia"/>
                      <w:b/>
                      <w:szCs w:val="21"/>
                    </w:rPr>
                    <w:t>t/a</w:t>
                  </w:r>
                </w:p>
              </w:tc>
            </w:tr>
            <w:tr w14:paraId="07F0A2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07FB3A69">
                  <w:pPr>
                    <w:jc w:val="center"/>
                    <w:rPr>
                      <w:szCs w:val="21"/>
                    </w:rPr>
                  </w:pPr>
                  <w:r>
                    <w:rPr>
                      <w:rFonts w:hint="eastAsia"/>
                      <w:szCs w:val="21"/>
                    </w:rPr>
                    <w:t>除尘器收集尘</w:t>
                  </w:r>
                </w:p>
              </w:tc>
              <w:tc>
                <w:tcPr>
                  <w:tcW w:w="457" w:type="pct"/>
                  <w:vMerge w:val="restart"/>
                  <w:shd w:val="clear" w:color="auto" w:fill="auto"/>
                  <w:vAlign w:val="center"/>
                </w:tcPr>
                <w:p w14:paraId="0B04B9B4">
                  <w:pPr>
                    <w:jc w:val="center"/>
                    <w:rPr>
                      <w:szCs w:val="21"/>
                    </w:rPr>
                  </w:pPr>
                  <w:r>
                    <w:rPr>
                      <w:szCs w:val="21"/>
                    </w:rPr>
                    <w:t>一般固废</w:t>
                  </w:r>
                </w:p>
              </w:tc>
              <w:tc>
                <w:tcPr>
                  <w:tcW w:w="753" w:type="pct"/>
                  <w:shd w:val="clear" w:color="auto" w:fill="auto"/>
                  <w:vAlign w:val="center"/>
                </w:tcPr>
                <w:p w14:paraId="48639E7A">
                  <w:pPr>
                    <w:jc w:val="center"/>
                    <w:rPr>
                      <w:szCs w:val="21"/>
                    </w:rPr>
                  </w:pPr>
                  <w:r>
                    <w:rPr>
                      <w:rFonts w:hint="eastAsia"/>
                      <w:szCs w:val="21"/>
                    </w:rPr>
                    <w:t>900-999-99</w:t>
                  </w:r>
                </w:p>
              </w:tc>
              <w:tc>
                <w:tcPr>
                  <w:tcW w:w="409" w:type="pct"/>
                  <w:shd w:val="clear" w:color="auto" w:fill="auto"/>
                  <w:vAlign w:val="center"/>
                </w:tcPr>
                <w:p w14:paraId="3EF903A9">
                  <w:pPr>
                    <w:jc w:val="center"/>
                    <w:rPr>
                      <w:szCs w:val="21"/>
                    </w:rPr>
                  </w:pPr>
                  <w:r>
                    <w:rPr>
                      <w:szCs w:val="21"/>
                    </w:rPr>
                    <w:t>固态</w:t>
                  </w:r>
                </w:p>
              </w:tc>
              <w:tc>
                <w:tcPr>
                  <w:tcW w:w="539" w:type="pct"/>
                  <w:shd w:val="clear" w:color="auto" w:fill="auto"/>
                  <w:vAlign w:val="center"/>
                </w:tcPr>
                <w:p w14:paraId="3F9EE6EF">
                  <w:pPr>
                    <w:jc w:val="center"/>
                    <w:rPr>
                      <w:szCs w:val="21"/>
                    </w:rPr>
                  </w:pPr>
                  <w:r>
                    <w:rPr>
                      <w:rFonts w:hint="eastAsia"/>
                      <w:szCs w:val="21"/>
                    </w:rPr>
                    <w:t>/</w:t>
                  </w:r>
                </w:p>
              </w:tc>
              <w:tc>
                <w:tcPr>
                  <w:tcW w:w="439" w:type="pct"/>
                  <w:shd w:val="clear" w:color="auto" w:fill="auto"/>
                  <w:vAlign w:val="center"/>
                </w:tcPr>
                <w:p w14:paraId="05E60A47">
                  <w:pPr>
                    <w:jc w:val="center"/>
                    <w:rPr>
                      <w:szCs w:val="21"/>
                    </w:rPr>
                  </w:pPr>
                  <w:r>
                    <w:rPr>
                      <w:rFonts w:hint="eastAsia"/>
                      <w:szCs w:val="21"/>
                    </w:rPr>
                    <w:t>56.10</w:t>
                  </w:r>
                </w:p>
              </w:tc>
              <w:tc>
                <w:tcPr>
                  <w:tcW w:w="418" w:type="pct"/>
                  <w:vMerge w:val="restart"/>
                  <w:shd w:val="clear" w:color="auto" w:fill="auto"/>
                  <w:vAlign w:val="center"/>
                </w:tcPr>
                <w:p w14:paraId="16B5DA16">
                  <w:pPr>
                    <w:jc w:val="center"/>
                    <w:rPr>
                      <w:szCs w:val="21"/>
                    </w:rPr>
                  </w:pPr>
                  <w:r>
                    <w:rPr>
                      <w:szCs w:val="21"/>
                    </w:rPr>
                    <w:t>一般固废暂存间</w:t>
                  </w:r>
                </w:p>
              </w:tc>
              <w:tc>
                <w:tcPr>
                  <w:tcW w:w="789" w:type="pct"/>
                  <w:shd w:val="clear" w:color="auto" w:fill="auto"/>
                  <w:vAlign w:val="center"/>
                </w:tcPr>
                <w:p w14:paraId="096CA1FA">
                  <w:pPr>
                    <w:jc w:val="center"/>
                    <w:rPr>
                      <w:szCs w:val="21"/>
                    </w:rPr>
                  </w:pPr>
                  <w:r>
                    <w:rPr>
                      <w:rFonts w:hint="eastAsia"/>
                      <w:szCs w:val="21"/>
                    </w:rPr>
                    <w:t>经收集后作为产品外售</w:t>
                  </w:r>
                </w:p>
              </w:tc>
              <w:tc>
                <w:tcPr>
                  <w:tcW w:w="434" w:type="pct"/>
                  <w:shd w:val="clear" w:color="auto" w:fill="auto"/>
                  <w:vAlign w:val="center"/>
                </w:tcPr>
                <w:p w14:paraId="14F2527D">
                  <w:pPr>
                    <w:jc w:val="center"/>
                    <w:rPr>
                      <w:szCs w:val="21"/>
                    </w:rPr>
                  </w:pPr>
                  <w:r>
                    <w:rPr>
                      <w:rFonts w:hint="eastAsia"/>
                      <w:szCs w:val="21"/>
                    </w:rPr>
                    <w:t>58.68</w:t>
                  </w:r>
                </w:p>
              </w:tc>
            </w:tr>
            <w:tr w14:paraId="6812B7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5EFAD4DA">
                  <w:pPr>
                    <w:jc w:val="center"/>
                    <w:rPr>
                      <w:szCs w:val="21"/>
                    </w:rPr>
                  </w:pPr>
                  <w:r>
                    <w:rPr>
                      <w:szCs w:val="21"/>
                    </w:rPr>
                    <w:t>废包装袋</w:t>
                  </w:r>
                </w:p>
              </w:tc>
              <w:tc>
                <w:tcPr>
                  <w:tcW w:w="457" w:type="pct"/>
                  <w:vMerge w:val="continue"/>
                  <w:shd w:val="clear" w:color="auto" w:fill="auto"/>
                  <w:vAlign w:val="center"/>
                </w:tcPr>
                <w:p w14:paraId="6B6F8EB8">
                  <w:pPr>
                    <w:jc w:val="center"/>
                    <w:rPr>
                      <w:szCs w:val="21"/>
                    </w:rPr>
                  </w:pPr>
                </w:p>
              </w:tc>
              <w:tc>
                <w:tcPr>
                  <w:tcW w:w="753" w:type="pct"/>
                  <w:shd w:val="clear" w:color="auto" w:fill="auto"/>
                  <w:vAlign w:val="center"/>
                </w:tcPr>
                <w:p w14:paraId="34425FE7">
                  <w:pPr>
                    <w:jc w:val="center"/>
                    <w:rPr>
                      <w:szCs w:val="21"/>
                    </w:rPr>
                  </w:pPr>
                  <w:r>
                    <w:rPr>
                      <w:rFonts w:hint="eastAsia"/>
                      <w:szCs w:val="21"/>
                    </w:rPr>
                    <w:t>900-999-99</w:t>
                  </w:r>
                </w:p>
              </w:tc>
              <w:tc>
                <w:tcPr>
                  <w:tcW w:w="409" w:type="pct"/>
                  <w:shd w:val="clear" w:color="auto" w:fill="auto"/>
                  <w:vAlign w:val="center"/>
                </w:tcPr>
                <w:p w14:paraId="3A088F16">
                  <w:pPr>
                    <w:jc w:val="center"/>
                    <w:rPr>
                      <w:szCs w:val="21"/>
                    </w:rPr>
                  </w:pPr>
                  <w:r>
                    <w:rPr>
                      <w:szCs w:val="21"/>
                    </w:rPr>
                    <w:t>固态</w:t>
                  </w:r>
                </w:p>
              </w:tc>
              <w:tc>
                <w:tcPr>
                  <w:tcW w:w="539" w:type="pct"/>
                  <w:shd w:val="clear" w:color="auto" w:fill="auto"/>
                  <w:vAlign w:val="center"/>
                </w:tcPr>
                <w:p w14:paraId="6DF21A43">
                  <w:pPr>
                    <w:jc w:val="center"/>
                    <w:rPr>
                      <w:szCs w:val="21"/>
                    </w:rPr>
                  </w:pPr>
                  <w:r>
                    <w:rPr>
                      <w:rFonts w:hint="eastAsia"/>
                      <w:szCs w:val="21"/>
                    </w:rPr>
                    <w:t>/</w:t>
                  </w:r>
                </w:p>
              </w:tc>
              <w:tc>
                <w:tcPr>
                  <w:tcW w:w="439" w:type="pct"/>
                  <w:shd w:val="clear" w:color="auto" w:fill="auto"/>
                  <w:vAlign w:val="center"/>
                </w:tcPr>
                <w:p w14:paraId="49ED67A0">
                  <w:pPr>
                    <w:jc w:val="center"/>
                    <w:rPr>
                      <w:szCs w:val="21"/>
                    </w:rPr>
                  </w:pPr>
                  <w:r>
                    <w:rPr>
                      <w:rFonts w:hint="eastAsia"/>
                      <w:szCs w:val="21"/>
                    </w:rPr>
                    <w:t>0.3</w:t>
                  </w:r>
                </w:p>
              </w:tc>
              <w:tc>
                <w:tcPr>
                  <w:tcW w:w="418" w:type="pct"/>
                  <w:vMerge w:val="continue"/>
                  <w:shd w:val="clear" w:color="auto" w:fill="auto"/>
                  <w:vAlign w:val="center"/>
                </w:tcPr>
                <w:p w14:paraId="79436991">
                  <w:pPr>
                    <w:jc w:val="center"/>
                    <w:rPr>
                      <w:szCs w:val="21"/>
                    </w:rPr>
                  </w:pPr>
                </w:p>
              </w:tc>
              <w:tc>
                <w:tcPr>
                  <w:tcW w:w="789" w:type="pct"/>
                  <w:shd w:val="clear" w:color="auto" w:fill="auto"/>
                  <w:vAlign w:val="center"/>
                </w:tcPr>
                <w:p w14:paraId="5D055DFB">
                  <w:pPr>
                    <w:jc w:val="center"/>
                    <w:rPr>
                      <w:szCs w:val="21"/>
                    </w:rPr>
                  </w:pPr>
                  <w:r>
                    <w:rPr>
                      <w:rFonts w:hint="eastAsia"/>
                      <w:szCs w:val="21"/>
                    </w:rPr>
                    <w:t>统一收集后外售废品回收站</w:t>
                  </w:r>
                </w:p>
              </w:tc>
              <w:tc>
                <w:tcPr>
                  <w:tcW w:w="434" w:type="pct"/>
                  <w:shd w:val="clear" w:color="auto" w:fill="auto"/>
                  <w:vAlign w:val="center"/>
                </w:tcPr>
                <w:p w14:paraId="0349E7BF">
                  <w:pPr>
                    <w:jc w:val="center"/>
                    <w:rPr>
                      <w:szCs w:val="21"/>
                    </w:rPr>
                  </w:pPr>
                  <w:r>
                    <w:rPr>
                      <w:rFonts w:hint="eastAsia"/>
                      <w:szCs w:val="21"/>
                    </w:rPr>
                    <w:t>0.3</w:t>
                  </w:r>
                </w:p>
              </w:tc>
            </w:tr>
            <w:tr w14:paraId="69260B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3D342786">
                  <w:pPr>
                    <w:jc w:val="center"/>
                    <w:rPr>
                      <w:szCs w:val="21"/>
                    </w:rPr>
                  </w:pPr>
                  <w:r>
                    <w:rPr>
                      <w:szCs w:val="21"/>
                    </w:rPr>
                    <w:t>废布袋</w:t>
                  </w:r>
                </w:p>
              </w:tc>
              <w:tc>
                <w:tcPr>
                  <w:tcW w:w="457" w:type="pct"/>
                  <w:vMerge w:val="continue"/>
                  <w:shd w:val="clear" w:color="auto" w:fill="auto"/>
                  <w:vAlign w:val="center"/>
                </w:tcPr>
                <w:p w14:paraId="25B16C25">
                  <w:pPr>
                    <w:jc w:val="center"/>
                    <w:rPr>
                      <w:szCs w:val="21"/>
                    </w:rPr>
                  </w:pPr>
                </w:p>
              </w:tc>
              <w:tc>
                <w:tcPr>
                  <w:tcW w:w="753" w:type="pct"/>
                  <w:shd w:val="clear" w:color="auto" w:fill="auto"/>
                  <w:vAlign w:val="center"/>
                </w:tcPr>
                <w:p w14:paraId="6733139F">
                  <w:pPr>
                    <w:jc w:val="center"/>
                    <w:rPr>
                      <w:szCs w:val="21"/>
                    </w:rPr>
                  </w:pPr>
                  <w:r>
                    <w:rPr>
                      <w:rFonts w:hint="eastAsia"/>
                      <w:szCs w:val="21"/>
                    </w:rPr>
                    <w:t>900-999-99</w:t>
                  </w:r>
                </w:p>
              </w:tc>
              <w:tc>
                <w:tcPr>
                  <w:tcW w:w="409" w:type="pct"/>
                  <w:shd w:val="clear" w:color="auto" w:fill="auto"/>
                  <w:vAlign w:val="center"/>
                </w:tcPr>
                <w:p w14:paraId="71E67B76">
                  <w:pPr>
                    <w:jc w:val="center"/>
                    <w:rPr>
                      <w:szCs w:val="21"/>
                    </w:rPr>
                  </w:pPr>
                  <w:r>
                    <w:rPr>
                      <w:szCs w:val="21"/>
                    </w:rPr>
                    <w:t>固态</w:t>
                  </w:r>
                </w:p>
              </w:tc>
              <w:tc>
                <w:tcPr>
                  <w:tcW w:w="539" w:type="pct"/>
                  <w:shd w:val="clear" w:color="auto" w:fill="auto"/>
                  <w:vAlign w:val="center"/>
                </w:tcPr>
                <w:p w14:paraId="204ADE14">
                  <w:pPr>
                    <w:jc w:val="center"/>
                    <w:rPr>
                      <w:szCs w:val="21"/>
                    </w:rPr>
                  </w:pPr>
                  <w:r>
                    <w:rPr>
                      <w:rFonts w:hint="eastAsia"/>
                      <w:szCs w:val="21"/>
                    </w:rPr>
                    <w:t>/</w:t>
                  </w:r>
                </w:p>
              </w:tc>
              <w:tc>
                <w:tcPr>
                  <w:tcW w:w="439" w:type="pct"/>
                  <w:shd w:val="clear" w:color="auto" w:fill="auto"/>
                  <w:vAlign w:val="center"/>
                </w:tcPr>
                <w:p w14:paraId="6FE83D4C">
                  <w:pPr>
                    <w:jc w:val="center"/>
                    <w:rPr>
                      <w:szCs w:val="21"/>
                    </w:rPr>
                  </w:pPr>
                  <w:r>
                    <w:rPr>
                      <w:rFonts w:hint="eastAsia"/>
                      <w:szCs w:val="21"/>
                    </w:rPr>
                    <w:t>/</w:t>
                  </w:r>
                </w:p>
              </w:tc>
              <w:tc>
                <w:tcPr>
                  <w:tcW w:w="418" w:type="pct"/>
                  <w:vMerge w:val="continue"/>
                  <w:shd w:val="clear" w:color="auto" w:fill="auto"/>
                  <w:vAlign w:val="center"/>
                </w:tcPr>
                <w:p w14:paraId="05121202">
                  <w:pPr>
                    <w:jc w:val="center"/>
                    <w:rPr>
                      <w:szCs w:val="21"/>
                    </w:rPr>
                  </w:pPr>
                </w:p>
              </w:tc>
              <w:tc>
                <w:tcPr>
                  <w:tcW w:w="789" w:type="pct"/>
                  <w:shd w:val="clear" w:color="auto" w:fill="auto"/>
                  <w:vAlign w:val="center"/>
                </w:tcPr>
                <w:p w14:paraId="5A4ACCC2">
                  <w:pPr>
                    <w:jc w:val="center"/>
                    <w:rPr>
                      <w:szCs w:val="21"/>
                    </w:rPr>
                  </w:pPr>
                  <w:r>
                    <w:rPr>
                      <w:rFonts w:hint="eastAsia"/>
                      <w:szCs w:val="21"/>
                    </w:rPr>
                    <w:t>由厂家回收合理处置</w:t>
                  </w:r>
                </w:p>
              </w:tc>
              <w:tc>
                <w:tcPr>
                  <w:tcW w:w="434" w:type="pct"/>
                  <w:shd w:val="clear" w:color="auto" w:fill="auto"/>
                  <w:vAlign w:val="center"/>
                </w:tcPr>
                <w:p w14:paraId="4786E4A5">
                  <w:pPr>
                    <w:jc w:val="center"/>
                    <w:rPr>
                      <w:szCs w:val="21"/>
                    </w:rPr>
                  </w:pPr>
                  <w:r>
                    <w:rPr>
                      <w:rFonts w:hint="eastAsia"/>
                      <w:szCs w:val="21"/>
                    </w:rPr>
                    <w:t>/</w:t>
                  </w:r>
                </w:p>
              </w:tc>
            </w:tr>
            <w:tr w14:paraId="722B61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4C3D13E2">
                  <w:pPr>
                    <w:jc w:val="center"/>
                    <w:rPr>
                      <w:kern w:val="0"/>
                      <w:szCs w:val="21"/>
                    </w:rPr>
                  </w:pPr>
                  <w:r>
                    <w:rPr>
                      <w:rFonts w:hint="eastAsia"/>
                      <w:kern w:val="0"/>
                      <w:szCs w:val="21"/>
                    </w:rPr>
                    <w:t>废润滑油</w:t>
                  </w:r>
                </w:p>
              </w:tc>
              <w:tc>
                <w:tcPr>
                  <w:tcW w:w="457" w:type="pct"/>
                  <w:vMerge w:val="restart"/>
                  <w:shd w:val="clear" w:color="auto" w:fill="auto"/>
                  <w:vAlign w:val="center"/>
                </w:tcPr>
                <w:p w14:paraId="3DF9BF7D">
                  <w:pPr>
                    <w:jc w:val="center"/>
                    <w:rPr>
                      <w:szCs w:val="21"/>
                    </w:rPr>
                  </w:pPr>
                  <w:r>
                    <w:rPr>
                      <w:szCs w:val="21"/>
                    </w:rPr>
                    <w:t>危险废物</w:t>
                  </w:r>
                </w:p>
              </w:tc>
              <w:tc>
                <w:tcPr>
                  <w:tcW w:w="753" w:type="pct"/>
                  <w:shd w:val="clear" w:color="auto" w:fill="auto"/>
                  <w:vAlign w:val="center"/>
                </w:tcPr>
                <w:p w14:paraId="196B2179">
                  <w:pPr>
                    <w:jc w:val="center"/>
                    <w:rPr>
                      <w:bCs/>
                      <w:szCs w:val="21"/>
                    </w:rPr>
                  </w:pPr>
                  <w:r>
                    <w:rPr>
                      <w:rFonts w:hint="eastAsia"/>
                      <w:bCs/>
                      <w:szCs w:val="21"/>
                    </w:rPr>
                    <w:t>HW08</w:t>
                  </w:r>
                </w:p>
                <w:p w14:paraId="5B5F5F25">
                  <w:pPr>
                    <w:jc w:val="center"/>
                    <w:rPr>
                      <w:szCs w:val="21"/>
                    </w:rPr>
                  </w:pPr>
                  <w:r>
                    <w:rPr>
                      <w:rFonts w:hint="eastAsia"/>
                      <w:bCs/>
                      <w:szCs w:val="21"/>
                    </w:rPr>
                    <w:t>900-214-08</w:t>
                  </w:r>
                </w:p>
              </w:tc>
              <w:tc>
                <w:tcPr>
                  <w:tcW w:w="409" w:type="pct"/>
                  <w:shd w:val="clear" w:color="auto" w:fill="auto"/>
                  <w:vAlign w:val="center"/>
                </w:tcPr>
                <w:p w14:paraId="515D01AB">
                  <w:pPr>
                    <w:jc w:val="center"/>
                    <w:rPr>
                      <w:szCs w:val="21"/>
                    </w:rPr>
                  </w:pPr>
                  <w:r>
                    <w:rPr>
                      <w:szCs w:val="21"/>
                    </w:rPr>
                    <w:t>固态</w:t>
                  </w:r>
                </w:p>
              </w:tc>
              <w:tc>
                <w:tcPr>
                  <w:tcW w:w="539" w:type="pct"/>
                  <w:shd w:val="clear" w:color="auto" w:fill="auto"/>
                  <w:vAlign w:val="center"/>
                </w:tcPr>
                <w:p w14:paraId="4BD5320C">
                  <w:pPr>
                    <w:jc w:val="center"/>
                    <w:rPr>
                      <w:szCs w:val="21"/>
                    </w:rPr>
                  </w:pPr>
                  <w:r>
                    <w:rPr>
                      <w:rFonts w:hint="eastAsia"/>
                      <w:szCs w:val="21"/>
                    </w:rPr>
                    <w:t>T/I</w:t>
                  </w:r>
                </w:p>
              </w:tc>
              <w:tc>
                <w:tcPr>
                  <w:tcW w:w="439" w:type="pct"/>
                  <w:shd w:val="clear" w:color="auto" w:fill="auto"/>
                  <w:vAlign w:val="center"/>
                </w:tcPr>
                <w:p w14:paraId="79E2BFCF">
                  <w:pPr>
                    <w:jc w:val="center"/>
                    <w:rPr>
                      <w:szCs w:val="21"/>
                    </w:rPr>
                  </w:pPr>
                  <w:r>
                    <w:rPr>
                      <w:rFonts w:hint="eastAsia"/>
                      <w:szCs w:val="21"/>
                    </w:rPr>
                    <w:t>0.1</w:t>
                  </w:r>
                </w:p>
              </w:tc>
              <w:tc>
                <w:tcPr>
                  <w:tcW w:w="418" w:type="pct"/>
                  <w:vMerge w:val="restart"/>
                  <w:shd w:val="clear" w:color="auto" w:fill="auto"/>
                  <w:vAlign w:val="center"/>
                </w:tcPr>
                <w:p w14:paraId="56F4E030">
                  <w:pPr>
                    <w:jc w:val="center"/>
                    <w:rPr>
                      <w:szCs w:val="21"/>
                    </w:rPr>
                  </w:pPr>
                  <w:r>
                    <w:rPr>
                      <w:szCs w:val="21"/>
                    </w:rPr>
                    <w:t>危废暂存间</w:t>
                  </w:r>
                </w:p>
              </w:tc>
              <w:tc>
                <w:tcPr>
                  <w:tcW w:w="789" w:type="pct"/>
                  <w:vMerge w:val="restart"/>
                  <w:shd w:val="clear" w:color="auto" w:fill="auto"/>
                  <w:vAlign w:val="center"/>
                </w:tcPr>
                <w:p w14:paraId="5D1AF498">
                  <w:pPr>
                    <w:jc w:val="center"/>
                    <w:rPr>
                      <w:szCs w:val="21"/>
                    </w:rPr>
                  </w:pPr>
                  <w:r>
                    <w:rPr>
                      <w:rFonts w:hint="eastAsia"/>
                      <w:szCs w:val="21"/>
                    </w:rPr>
                    <w:t>委托资质单位处置</w:t>
                  </w:r>
                </w:p>
              </w:tc>
              <w:tc>
                <w:tcPr>
                  <w:tcW w:w="434" w:type="pct"/>
                  <w:shd w:val="clear" w:color="auto" w:fill="auto"/>
                  <w:vAlign w:val="center"/>
                </w:tcPr>
                <w:p w14:paraId="008AF45D">
                  <w:pPr>
                    <w:jc w:val="center"/>
                    <w:rPr>
                      <w:szCs w:val="21"/>
                    </w:rPr>
                  </w:pPr>
                  <w:r>
                    <w:rPr>
                      <w:rFonts w:hint="eastAsia"/>
                      <w:szCs w:val="21"/>
                    </w:rPr>
                    <w:t>0.1</w:t>
                  </w:r>
                </w:p>
              </w:tc>
            </w:tr>
            <w:tr w14:paraId="6F5CC6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13C513EA">
                  <w:pPr>
                    <w:jc w:val="center"/>
                    <w:rPr>
                      <w:kern w:val="0"/>
                      <w:szCs w:val="21"/>
                    </w:rPr>
                  </w:pPr>
                  <w:r>
                    <w:rPr>
                      <w:rFonts w:hint="eastAsia"/>
                      <w:kern w:val="0"/>
                      <w:szCs w:val="21"/>
                    </w:rPr>
                    <w:t>废含油抹布及手套</w:t>
                  </w:r>
                </w:p>
              </w:tc>
              <w:tc>
                <w:tcPr>
                  <w:tcW w:w="457" w:type="pct"/>
                  <w:vMerge w:val="continue"/>
                  <w:shd w:val="clear" w:color="auto" w:fill="auto"/>
                  <w:vAlign w:val="center"/>
                </w:tcPr>
                <w:p w14:paraId="1D57A650">
                  <w:pPr>
                    <w:jc w:val="center"/>
                    <w:rPr>
                      <w:szCs w:val="21"/>
                    </w:rPr>
                  </w:pPr>
                </w:p>
              </w:tc>
              <w:tc>
                <w:tcPr>
                  <w:tcW w:w="753" w:type="pct"/>
                  <w:shd w:val="clear" w:color="auto" w:fill="auto"/>
                  <w:vAlign w:val="center"/>
                </w:tcPr>
                <w:p w14:paraId="6FFA846A">
                  <w:pPr>
                    <w:jc w:val="center"/>
                    <w:rPr>
                      <w:bCs/>
                      <w:szCs w:val="21"/>
                    </w:rPr>
                  </w:pPr>
                  <w:r>
                    <w:rPr>
                      <w:rFonts w:hint="eastAsia"/>
                      <w:bCs/>
                      <w:szCs w:val="21"/>
                    </w:rPr>
                    <w:t>HW08</w:t>
                  </w:r>
                </w:p>
                <w:p w14:paraId="5296EC84">
                  <w:pPr>
                    <w:jc w:val="center"/>
                    <w:rPr>
                      <w:szCs w:val="21"/>
                    </w:rPr>
                  </w:pPr>
                  <w:r>
                    <w:rPr>
                      <w:rFonts w:hint="eastAsia"/>
                      <w:bCs/>
                      <w:szCs w:val="21"/>
                    </w:rPr>
                    <w:t>900-249-08</w:t>
                  </w:r>
                </w:p>
              </w:tc>
              <w:tc>
                <w:tcPr>
                  <w:tcW w:w="409" w:type="pct"/>
                  <w:shd w:val="clear" w:color="auto" w:fill="auto"/>
                  <w:vAlign w:val="center"/>
                </w:tcPr>
                <w:p w14:paraId="6A620470">
                  <w:pPr>
                    <w:jc w:val="center"/>
                    <w:rPr>
                      <w:szCs w:val="21"/>
                    </w:rPr>
                  </w:pPr>
                  <w:r>
                    <w:rPr>
                      <w:rFonts w:hint="eastAsia"/>
                      <w:szCs w:val="21"/>
                    </w:rPr>
                    <w:t>固态</w:t>
                  </w:r>
                </w:p>
              </w:tc>
              <w:tc>
                <w:tcPr>
                  <w:tcW w:w="539" w:type="pct"/>
                  <w:shd w:val="clear" w:color="auto" w:fill="auto"/>
                  <w:vAlign w:val="center"/>
                </w:tcPr>
                <w:p w14:paraId="4D118644">
                  <w:pPr>
                    <w:jc w:val="center"/>
                    <w:rPr>
                      <w:szCs w:val="21"/>
                    </w:rPr>
                  </w:pPr>
                  <w:r>
                    <w:rPr>
                      <w:rFonts w:hint="eastAsia"/>
                      <w:szCs w:val="21"/>
                    </w:rPr>
                    <w:t>T/I</w:t>
                  </w:r>
                </w:p>
              </w:tc>
              <w:tc>
                <w:tcPr>
                  <w:tcW w:w="439" w:type="pct"/>
                  <w:shd w:val="clear" w:color="auto" w:fill="auto"/>
                  <w:vAlign w:val="center"/>
                </w:tcPr>
                <w:p w14:paraId="6B191C7A">
                  <w:pPr>
                    <w:jc w:val="center"/>
                    <w:rPr>
                      <w:szCs w:val="21"/>
                    </w:rPr>
                  </w:pPr>
                  <w:r>
                    <w:rPr>
                      <w:rFonts w:hint="eastAsia"/>
                      <w:szCs w:val="21"/>
                    </w:rPr>
                    <w:t>0.1</w:t>
                  </w:r>
                </w:p>
              </w:tc>
              <w:tc>
                <w:tcPr>
                  <w:tcW w:w="418" w:type="pct"/>
                  <w:vMerge w:val="continue"/>
                  <w:shd w:val="clear" w:color="auto" w:fill="auto"/>
                  <w:vAlign w:val="center"/>
                </w:tcPr>
                <w:p w14:paraId="655E9B33">
                  <w:pPr>
                    <w:jc w:val="center"/>
                    <w:rPr>
                      <w:szCs w:val="21"/>
                    </w:rPr>
                  </w:pPr>
                </w:p>
              </w:tc>
              <w:tc>
                <w:tcPr>
                  <w:tcW w:w="789" w:type="pct"/>
                  <w:vMerge w:val="continue"/>
                  <w:shd w:val="clear" w:color="auto" w:fill="auto"/>
                  <w:vAlign w:val="center"/>
                </w:tcPr>
                <w:p w14:paraId="650EC550">
                  <w:pPr>
                    <w:jc w:val="center"/>
                    <w:rPr>
                      <w:szCs w:val="21"/>
                    </w:rPr>
                  </w:pPr>
                </w:p>
              </w:tc>
              <w:tc>
                <w:tcPr>
                  <w:tcW w:w="434" w:type="pct"/>
                  <w:shd w:val="clear" w:color="auto" w:fill="auto"/>
                  <w:vAlign w:val="center"/>
                </w:tcPr>
                <w:p w14:paraId="5F9A402C">
                  <w:pPr>
                    <w:jc w:val="center"/>
                    <w:rPr>
                      <w:szCs w:val="21"/>
                    </w:rPr>
                  </w:pPr>
                  <w:r>
                    <w:rPr>
                      <w:rFonts w:hint="eastAsia"/>
                      <w:szCs w:val="21"/>
                    </w:rPr>
                    <w:t>0.1</w:t>
                  </w:r>
                </w:p>
              </w:tc>
            </w:tr>
            <w:tr w14:paraId="3E84EF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61" w:type="pct"/>
                  <w:shd w:val="clear" w:color="auto" w:fill="auto"/>
                  <w:vAlign w:val="center"/>
                </w:tcPr>
                <w:p w14:paraId="3CB19886">
                  <w:pPr>
                    <w:jc w:val="center"/>
                    <w:rPr>
                      <w:kern w:val="0"/>
                      <w:szCs w:val="21"/>
                    </w:rPr>
                  </w:pPr>
                  <w:r>
                    <w:rPr>
                      <w:rFonts w:hint="eastAsia"/>
                      <w:kern w:val="0"/>
                      <w:szCs w:val="21"/>
                    </w:rPr>
                    <w:t>生活垃圾</w:t>
                  </w:r>
                </w:p>
              </w:tc>
              <w:tc>
                <w:tcPr>
                  <w:tcW w:w="457" w:type="pct"/>
                  <w:shd w:val="clear" w:color="auto" w:fill="auto"/>
                  <w:vAlign w:val="center"/>
                </w:tcPr>
                <w:p w14:paraId="2ED55E7A">
                  <w:pPr>
                    <w:jc w:val="center"/>
                    <w:rPr>
                      <w:szCs w:val="21"/>
                    </w:rPr>
                  </w:pPr>
                  <w:r>
                    <w:rPr>
                      <w:szCs w:val="21"/>
                    </w:rPr>
                    <w:t>生活垃圾</w:t>
                  </w:r>
                </w:p>
              </w:tc>
              <w:tc>
                <w:tcPr>
                  <w:tcW w:w="753" w:type="pct"/>
                  <w:shd w:val="clear" w:color="auto" w:fill="auto"/>
                  <w:vAlign w:val="center"/>
                </w:tcPr>
                <w:p w14:paraId="5C48A149">
                  <w:pPr>
                    <w:jc w:val="center"/>
                    <w:rPr>
                      <w:szCs w:val="21"/>
                    </w:rPr>
                  </w:pPr>
                  <w:r>
                    <w:rPr>
                      <w:rFonts w:hint="eastAsia"/>
                      <w:szCs w:val="21"/>
                    </w:rPr>
                    <w:t>/</w:t>
                  </w:r>
                </w:p>
              </w:tc>
              <w:tc>
                <w:tcPr>
                  <w:tcW w:w="409" w:type="pct"/>
                  <w:shd w:val="clear" w:color="auto" w:fill="auto"/>
                  <w:vAlign w:val="center"/>
                </w:tcPr>
                <w:p w14:paraId="4DB07219">
                  <w:pPr>
                    <w:jc w:val="center"/>
                    <w:rPr>
                      <w:szCs w:val="21"/>
                    </w:rPr>
                  </w:pPr>
                  <w:r>
                    <w:rPr>
                      <w:rFonts w:hint="eastAsia"/>
                      <w:szCs w:val="21"/>
                    </w:rPr>
                    <w:t>固态</w:t>
                  </w:r>
                </w:p>
              </w:tc>
              <w:tc>
                <w:tcPr>
                  <w:tcW w:w="539" w:type="pct"/>
                  <w:shd w:val="clear" w:color="auto" w:fill="auto"/>
                  <w:vAlign w:val="center"/>
                </w:tcPr>
                <w:p w14:paraId="57C3DF5A">
                  <w:pPr>
                    <w:jc w:val="center"/>
                    <w:rPr>
                      <w:szCs w:val="21"/>
                    </w:rPr>
                  </w:pPr>
                  <w:r>
                    <w:rPr>
                      <w:rFonts w:hint="eastAsia"/>
                      <w:szCs w:val="21"/>
                    </w:rPr>
                    <w:t>/</w:t>
                  </w:r>
                </w:p>
              </w:tc>
              <w:tc>
                <w:tcPr>
                  <w:tcW w:w="439" w:type="pct"/>
                  <w:shd w:val="clear" w:color="auto" w:fill="auto"/>
                  <w:vAlign w:val="center"/>
                </w:tcPr>
                <w:p w14:paraId="432B8597">
                  <w:pPr>
                    <w:jc w:val="center"/>
                    <w:rPr>
                      <w:szCs w:val="21"/>
                    </w:rPr>
                  </w:pPr>
                  <w:r>
                    <w:rPr>
                      <w:rFonts w:hint="eastAsia"/>
                      <w:szCs w:val="21"/>
                    </w:rPr>
                    <w:t>1.5</w:t>
                  </w:r>
                </w:p>
              </w:tc>
              <w:tc>
                <w:tcPr>
                  <w:tcW w:w="418" w:type="pct"/>
                  <w:shd w:val="clear" w:color="auto" w:fill="auto"/>
                  <w:vAlign w:val="center"/>
                </w:tcPr>
                <w:p w14:paraId="4048EB2F">
                  <w:pPr>
                    <w:jc w:val="center"/>
                    <w:rPr>
                      <w:szCs w:val="21"/>
                    </w:rPr>
                  </w:pPr>
                  <w:r>
                    <w:rPr>
                      <w:szCs w:val="21"/>
                    </w:rPr>
                    <w:t>垃圾桶等</w:t>
                  </w:r>
                </w:p>
              </w:tc>
              <w:tc>
                <w:tcPr>
                  <w:tcW w:w="789" w:type="pct"/>
                  <w:shd w:val="clear" w:color="auto" w:fill="auto"/>
                  <w:vAlign w:val="center"/>
                </w:tcPr>
                <w:p w14:paraId="4DFB78FF">
                  <w:pPr>
                    <w:jc w:val="center"/>
                    <w:rPr>
                      <w:szCs w:val="21"/>
                    </w:rPr>
                  </w:pPr>
                  <w:r>
                    <w:rPr>
                      <w:szCs w:val="21"/>
                    </w:rPr>
                    <w:t>交环卫部门清运处理</w:t>
                  </w:r>
                </w:p>
              </w:tc>
              <w:tc>
                <w:tcPr>
                  <w:tcW w:w="434" w:type="pct"/>
                  <w:shd w:val="clear" w:color="auto" w:fill="auto"/>
                  <w:vAlign w:val="center"/>
                </w:tcPr>
                <w:p w14:paraId="451DA7B4">
                  <w:pPr>
                    <w:jc w:val="center"/>
                    <w:rPr>
                      <w:szCs w:val="21"/>
                    </w:rPr>
                  </w:pPr>
                  <w:r>
                    <w:rPr>
                      <w:rFonts w:hint="eastAsia"/>
                      <w:szCs w:val="21"/>
                    </w:rPr>
                    <w:t>1.5</w:t>
                  </w:r>
                </w:p>
              </w:tc>
            </w:tr>
          </w:tbl>
          <w:p w14:paraId="3BC62E3B">
            <w:pPr>
              <w:autoSpaceDE w:val="0"/>
              <w:autoSpaceDN w:val="0"/>
              <w:adjustRightInd w:val="0"/>
              <w:spacing w:line="360" w:lineRule="auto"/>
              <w:ind w:firstLine="442" w:firstLineChars="200"/>
              <w:rPr>
                <w:rFonts w:hAnsi="宋体"/>
                <w:b/>
                <w:bCs/>
                <w:spacing w:val="-10"/>
                <w:sz w:val="24"/>
              </w:rPr>
            </w:pPr>
            <w:r>
              <w:rPr>
                <w:rFonts w:hint="eastAsia"/>
                <w:b/>
                <w:bCs/>
                <w:spacing w:val="-10"/>
                <w:sz w:val="24"/>
              </w:rPr>
              <w:t>5</w:t>
            </w:r>
            <w:r>
              <w:rPr>
                <w:rFonts w:hAnsi="宋体"/>
                <w:b/>
                <w:bCs/>
                <w:spacing w:val="-10"/>
                <w:sz w:val="24"/>
              </w:rPr>
              <w:t>、环境</w:t>
            </w:r>
            <w:r>
              <w:rPr>
                <w:rFonts w:hint="eastAsia" w:hAnsi="宋体"/>
                <w:b/>
                <w:bCs/>
                <w:spacing w:val="-10"/>
                <w:sz w:val="24"/>
              </w:rPr>
              <w:t>管理</w:t>
            </w:r>
            <w:r>
              <w:rPr>
                <w:rFonts w:hAnsi="宋体"/>
                <w:b/>
                <w:bCs/>
                <w:spacing w:val="-10"/>
                <w:sz w:val="24"/>
              </w:rPr>
              <w:t>要求</w:t>
            </w:r>
          </w:p>
          <w:p w14:paraId="09D7B4AE">
            <w:pPr>
              <w:spacing w:line="360" w:lineRule="auto"/>
              <w:ind w:firstLine="482"/>
              <w:jc w:val="left"/>
              <w:rPr>
                <w:b/>
                <w:bCs/>
                <w:sz w:val="24"/>
              </w:rPr>
            </w:pPr>
            <w:r>
              <w:rPr>
                <w:rFonts w:hint="eastAsia"/>
                <w:b/>
                <w:bCs/>
                <w:sz w:val="24"/>
              </w:rPr>
              <w:t>（1）一般固废管理要求</w:t>
            </w:r>
          </w:p>
          <w:p w14:paraId="3D19CDAF">
            <w:pPr>
              <w:spacing w:line="360" w:lineRule="auto"/>
              <w:ind w:firstLine="480" w:firstLineChars="200"/>
              <w:jc w:val="left"/>
              <w:rPr>
                <w:sz w:val="24"/>
              </w:rPr>
            </w:pPr>
            <w:r>
              <w:rPr>
                <w:color w:val="000000"/>
                <w:sz w:val="24"/>
              </w:rPr>
              <w:t>根据《一般工业固体废物管理台账制定指南（试行）》台账管理要求，要求一般工业固体废物管理台账实施分级管理，主要用于记录固体废物的基础信息及流向信息，所有产废单位均应当填写，根据实际生产运营情况记录固体废物产生信息，生产工艺发生重大变动等原因导致固体废物产生种类等发生变化的，应当及时另行填写台账，记录固体废物的 产生、贮存、利用、处置数量和利用、处置方式等信息，每一批次固体废物的出厂以及转移信息均应当如实记录</w:t>
            </w:r>
            <w:r>
              <w:rPr>
                <w:sz w:val="24"/>
              </w:rPr>
              <w:t>。</w:t>
            </w:r>
          </w:p>
          <w:p w14:paraId="56DD237F">
            <w:pPr>
              <w:spacing w:line="360" w:lineRule="auto"/>
              <w:ind w:firstLine="482"/>
              <w:jc w:val="left"/>
              <w:rPr>
                <w:b/>
                <w:bCs/>
                <w:sz w:val="24"/>
              </w:rPr>
            </w:pPr>
            <w:r>
              <w:rPr>
                <w:rFonts w:hint="eastAsia"/>
                <w:b/>
                <w:bCs/>
                <w:sz w:val="24"/>
              </w:rPr>
              <w:t>（2）危险废物管理措施</w:t>
            </w:r>
          </w:p>
          <w:p w14:paraId="5F49F87C">
            <w:pPr>
              <w:widowControl/>
              <w:spacing w:line="360" w:lineRule="auto"/>
              <w:ind w:firstLine="480" w:firstLineChars="200"/>
              <w:jc w:val="left"/>
              <w:rPr>
                <w:color w:val="000000"/>
              </w:rPr>
            </w:pPr>
            <w:r>
              <w:rPr>
                <w:rFonts w:hint="eastAsia" w:hAnsiTheme="majorEastAsia" w:eastAsiaTheme="majorEastAsia"/>
                <w:kern w:val="0"/>
                <w:sz w:val="24"/>
              </w:rPr>
              <w:t>环评要求企业规范建设</w:t>
            </w:r>
            <w:r>
              <w:rPr>
                <w:rFonts w:hint="eastAsia"/>
                <w:sz w:val="24"/>
              </w:rPr>
              <w:t>危废暂存间一间，占地面积约5m</w:t>
            </w:r>
            <w:r>
              <w:rPr>
                <w:rFonts w:hint="eastAsia"/>
                <w:sz w:val="24"/>
                <w:vertAlign w:val="superscript"/>
              </w:rPr>
              <w:t>2</w:t>
            </w:r>
            <w:r>
              <w:rPr>
                <w:rFonts w:hint="eastAsia" w:hAnsiTheme="majorEastAsia" w:eastAsiaTheme="majorEastAsia"/>
                <w:kern w:val="0"/>
                <w:sz w:val="24"/>
              </w:rPr>
              <w:t>。</w:t>
            </w:r>
            <w:r>
              <w:rPr>
                <w:color w:val="000000"/>
                <w:kern w:val="0"/>
                <w:sz w:val="24"/>
                <w:lang w:bidi="ar"/>
              </w:rPr>
              <w:t>为了保证本项目产生的危险废物不对周围环境产生二次污染，根据《建设项目危险废物环境影响评价指南》的规定，危险废物的储存运输按《危险废物贮存污染控制标准》（GB18597-</w:t>
            </w:r>
            <w:r>
              <w:rPr>
                <w:rFonts w:hint="eastAsia"/>
                <w:color w:val="000000"/>
                <w:kern w:val="0"/>
                <w:sz w:val="24"/>
                <w:lang w:bidi="ar"/>
              </w:rPr>
              <w:t>2023</w:t>
            </w:r>
            <w:r>
              <w:rPr>
                <w:color w:val="000000"/>
                <w:kern w:val="0"/>
                <w:sz w:val="24"/>
                <w:lang w:bidi="ar"/>
              </w:rPr>
              <w:t xml:space="preserve">）和《危险废物污染防治技术政策》的要求进行。 </w:t>
            </w:r>
          </w:p>
          <w:p w14:paraId="0B338103">
            <w:pPr>
              <w:spacing w:line="360" w:lineRule="auto"/>
              <w:ind w:firstLine="482" w:firstLineChars="200"/>
              <w:rPr>
                <w:rFonts w:hAnsiTheme="majorEastAsia" w:eastAsiaTheme="majorEastAsia"/>
                <w:kern w:val="0"/>
                <w:sz w:val="24"/>
              </w:rPr>
            </w:pPr>
            <w:r>
              <w:rPr>
                <w:rFonts w:hint="eastAsia" w:hAnsiTheme="majorEastAsia" w:eastAsiaTheme="majorEastAsia"/>
                <w:b/>
                <w:kern w:val="0"/>
                <w:sz w:val="24"/>
              </w:rPr>
              <w:t>危废贮存点建设要求：</w:t>
            </w:r>
            <w:r>
              <w:rPr>
                <w:rFonts w:hint="eastAsia" w:hAnsiTheme="majorEastAsia" w:eastAsiaTheme="majorEastAsia"/>
                <w:kern w:val="0"/>
                <w:sz w:val="24"/>
              </w:rPr>
              <w:t>危废贮存点的设置必须严格按照《危险废物贮存污染控制标准》（GB18597-2023）中的“防风、防雨、防渗、防晒”四防要求进行建设：①对危废贮存点，地面与裙脚要用坚固、防渗的材料建造；②危废贮存点必须有耐腐蚀的硬化地面，且表面无裂隙；③危废贮存点应设计堵截泄露的裙脚，地面与裙脚所围建的容积不低于堵截最大储量的1/5；④危废暂存点应设计建造径流疏导系统（地沟或围堰），防止外界雨水径流影响。在危废贮存点墙面张贴警示标识、标牌，列明危险废物种类，并建立台账与转运联单，记录危险废物产生、贮存、处置环节详细情况。贮存设施产生的废气(含无组织废气)的排放应符合GB16297和GB37822规定的要求。</w:t>
            </w:r>
          </w:p>
          <w:p w14:paraId="4454A45F">
            <w:pPr>
              <w:spacing w:line="360" w:lineRule="auto"/>
              <w:ind w:firstLine="482" w:firstLineChars="200"/>
              <w:rPr>
                <w:rFonts w:hAnsiTheme="majorEastAsia" w:eastAsiaTheme="majorEastAsia"/>
                <w:kern w:val="0"/>
                <w:sz w:val="24"/>
              </w:rPr>
            </w:pPr>
            <w:r>
              <w:rPr>
                <w:rFonts w:hint="eastAsia" w:hAnsiTheme="majorEastAsia" w:eastAsiaTheme="majorEastAsia"/>
                <w:b/>
                <w:kern w:val="0"/>
                <w:sz w:val="24"/>
              </w:rPr>
              <w:t>危废贮存点管理要求：</w:t>
            </w:r>
            <w:r>
              <w:rPr>
                <w:rFonts w:hint="eastAsia" w:hAnsiTheme="majorEastAsia" w:eastAsiaTheme="majorEastAsia"/>
                <w:kern w:val="0"/>
                <w:sz w:val="24"/>
              </w:rPr>
              <w:t>危废贮存点应设置明显的警示标识，暂存的危险废物定期交由有资质的单位进行清运，不做大量堆积，由专人对危废进行管理危废物品要单独设置台账，按每工作日记录危废的产生、堆积、清运量，做到产消有记录，按责任制管，同时危险废物的移交严格执行危废联单制度，存储期间严格按照《危险废物贮存污染控制标准》（GB18597-2023）执行。</w:t>
            </w:r>
          </w:p>
          <w:p w14:paraId="02276CE8">
            <w:pPr>
              <w:spacing w:line="360" w:lineRule="auto"/>
              <w:ind w:firstLine="482" w:firstLineChars="200"/>
              <w:rPr>
                <w:rFonts w:hAnsiTheme="majorEastAsia" w:eastAsiaTheme="majorEastAsia"/>
                <w:kern w:val="0"/>
                <w:sz w:val="24"/>
              </w:rPr>
            </w:pPr>
            <w:r>
              <w:rPr>
                <w:rFonts w:hint="eastAsia" w:hAnsiTheme="majorEastAsia" w:eastAsiaTheme="majorEastAsia"/>
                <w:b/>
                <w:kern w:val="0"/>
                <w:sz w:val="24"/>
              </w:rPr>
              <w:t>危废物运输要求：</w:t>
            </w:r>
            <w:r>
              <w:rPr>
                <w:rFonts w:hint="eastAsia" w:hAnsiTheme="majorEastAsia" w:eastAsiaTheme="majorEastAsia"/>
                <w:kern w:val="0"/>
                <w:sz w:val="24"/>
              </w:rPr>
              <w:t>危险废物运输时外委的单位必须是具有危险废物运输资质的单位，采用专用车辆运进、运出，运输路线避免经过居民集中区和饮用水源地。转运过程中必须安全转移，防止撒漏，并严格执行危险废物转运联单制度，防止二次污染的产生。危险废物运输按规定路线行驶，驾驶员持证上岗。</w:t>
            </w:r>
          </w:p>
          <w:p w14:paraId="75A13D80">
            <w:pPr>
              <w:spacing w:line="360" w:lineRule="auto"/>
              <w:ind w:firstLine="482" w:firstLineChars="200"/>
              <w:rPr>
                <w:b/>
                <w:sz w:val="24"/>
              </w:rPr>
            </w:pPr>
            <w:r>
              <w:rPr>
                <w:rFonts w:hint="eastAsia"/>
                <w:b/>
                <w:sz w:val="24"/>
              </w:rPr>
              <w:t>（3）生活垃圾管理要求</w:t>
            </w:r>
          </w:p>
          <w:p w14:paraId="4A6A142E">
            <w:pPr>
              <w:spacing w:line="360" w:lineRule="auto"/>
              <w:ind w:firstLine="480" w:firstLineChars="200"/>
              <w:rPr>
                <w:sz w:val="24"/>
              </w:rPr>
            </w:pPr>
            <w:r>
              <w:rPr>
                <w:rFonts w:hint="eastAsia"/>
                <w:sz w:val="24"/>
              </w:rPr>
              <w:t>生活垃圾日产日清，及时委托环卫部门清运处理</w:t>
            </w:r>
            <w:r>
              <w:rPr>
                <w:sz w:val="24"/>
              </w:rPr>
              <w:t>。</w:t>
            </w:r>
          </w:p>
          <w:p w14:paraId="2C6B2563">
            <w:pPr>
              <w:spacing w:line="360" w:lineRule="auto"/>
              <w:ind w:firstLine="482" w:firstLineChars="200"/>
              <w:rPr>
                <w:b/>
                <w:sz w:val="24"/>
              </w:rPr>
            </w:pPr>
            <w:r>
              <w:rPr>
                <w:rFonts w:hint="eastAsia"/>
                <w:b/>
                <w:sz w:val="24"/>
              </w:rPr>
              <w:t>（4）日常管理要求</w:t>
            </w:r>
          </w:p>
          <w:p w14:paraId="2CE41640">
            <w:pPr>
              <w:spacing w:line="360" w:lineRule="auto"/>
              <w:ind w:firstLine="440" w:firstLineChars="200"/>
              <w:rPr>
                <w:bCs/>
                <w:spacing w:val="-10"/>
                <w:sz w:val="24"/>
              </w:rPr>
            </w:pPr>
            <w:r>
              <w:rPr>
                <w:rFonts w:hint="eastAsia"/>
                <w:bCs/>
                <w:spacing w:val="-10"/>
                <w:sz w:val="24"/>
              </w:rPr>
              <w:t>建设单位需建立并做好固体废物日常管理工作，履行申报登记制度、建立台账管理制度等，保存时间不低于5年，对于危险废物还应向生态环境主管部门进行申报，并执行转移联单制度，规范并如实记录危险废物管理台账。</w:t>
            </w:r>
          </w:p>
          <w:p w14:paraId="066F96AB">
            <w:pPr>
              <w:spacing w:line="360" w:lineRule="auto"/>
              <w:ind w:firstLine="440" w:firstLineChars="200"/>
              <w:rPr>
                <w:rFonts w:hAnsi="宋体"/>
                <w:b/>
                <w:kern w:val="0"/>
                <w:sz w:val="24"/>
              </w:rPr>
            </w:pPr>
            <w:r>
              <w:rPr>
                <w:rFonts w:hint="eastAsia"/>
                <w:bCs/>
                <w:spacing w:val="-10"/>
                <w:sz w:val="24"/>
              </w:rPr>
              <w:t>综上，项目运营期固体废物通过以上措施处理后，可以得到及时、妥善的处理和处置，不会造成二次污染，对周围环境影响很小，环保措施可行</w:t>
            </w:r>
            <w:r>
              <w:rPr>
                <w:rFonts w:hint="eastAsia"/>
                <w:bCs/>
                <w:sz w:val="24"/>
              </w:rPr>
              <w:t>。</w:t>
            </w:r>
          </w:p>
          <w:p w14:paraId="7445AEAD">
            <w:pPr>
              <w:spacing w:line="360" w:lineRule="auto"/>
              <w:ind w:firstLine="442" w:firstLineChars="200"/>
              <w:rPr>
                <w:b/>
                <w:bCs/>
                <w:spacing w:val="-10"/>
                <w:sz w:val="24"/>
              </w:rPr>
            </w:pPr>
            <w:r>
              <w:rPr>
                <w:rFonts w:hint="eastAsia"/>
                <w:b/>
                <w:bCs/>
                <w:spacing w:val="-10"/>
                <w:sz w:val="24"/>
              </w:rPr>
              <w:t>五</w:t>
            </w:r>
            <w:r>
              <w:rPr>
                <w:b/>
                <w:bCs/>
                <w:spacing w:val="-10"/>
                <w:sz w:val="24"/>
              </w:rPr>
              <w:t>、地下水和土壤</w:t>
            </w:r>
          </w:p>
          <w:p w14:paraId="291FE7E7">
            <w:pPr>
              <w:spacing w:line="360" w:lineRule="auto"/>
              <w:ind w:firstLine="440" w:firstLineChars="200"/>
              <w:rPr>
                <w:bCs/>
                <w:spacing w:val="-10"/>
                <w:sz w:val="24"/>
              </w:rPr>
            </w:pPr>
            <w:r>
              <w:rPr>
                <w:rFonts w:hint="eastAsia"/>
                <w:bCs/>
                <w:spacing w:val="-10"/>
                <w:sz w:val="24"/>
              </w:rPr>
              <w:t xml:space="preserve">根据《环境影响评价技术导则 地下水环境》（HJ610-2016）中“附录A地下水环境影响评价行业分类表”可知，本项目属于IV类项目，IV类项目不开展地下水环境影响评价。 </w:t>
            </w:r>
          </w:p>
          <w:p w14:paraId="4619E5A8">
            <w:pPr>
              <w:spacing w:line="360" w:lineRule="auto"/>
              <w:ind w:firstLine="440" w:firstLineChars="200"/>
              <w:rPr>
                <w:bCs/>
                <w:spacing w:val="-10"/>
                <w:sz w:val="24"/>
              </w:rPr>
            </w:pPr>
            <w:r>
              <w:rPr>
                <w:rFonts w:hint="eastAsia"/>
                <w:bCs/>
                <w:spacing w:val="-10"/>
                <w:sz w:val="24"/>
              </w:rPr>
              <w:t>根据《环境影响评价技术导则 土壤环境（试行）》（HJ964—2018），本项目属于附录A中的其他行业，项目类别为IV类项目，IV类项目不开展土壤环境影响评价。</w:t>
            </w:r>
          </w:p>
          <w:p w14:paraId="2FD00EAC">
            <w:pPr>
              <w:spacing w:line="360" w:lineRule="auto"/>
              <w:ind w:firstLine="442" w:firstLineChars="200"/>
              <w:rPr>
                <w:b/>
                <w:bCs/>
                <w:spacing w:val="-10"/>
                <w:sz w:val="24"/>
              </w:rPr>
            </w:pPr>
            <w:r>
              <w:rPr>
                <w:b/>
                <w:bCs/>
                <w:spacing w:val="-10"/>
                <w:sz w:val="24"/>
              </w:rPr>
              <w:t>六、生态环境</w:t>
            </w:r>
          </w:p>
          <w:p w14:paraId="1F477DD1">
            <w:pPr>
              <w:spacing w:line="360" w:lineRule="auto"/>
              <w:ind w:firstLine="440" w:firstLineChars="200"/>
              <w:rPr>
                <w:bCs/>
                <w:spacing w:val="-10"/>
                <w:sz w:val="24"/>
              </w:rPr>
            </w:pPr>
            <w:r>
              <w:rPr>
                <w:rFonts w:hint="eastAsia"/>
                <w:bCs/>
                <w:spacing w:val="-10"/>
                <w:sz w:val="24"/>
              </w:rPr>
              <w:t>本项目在原有</w:t>
            </w:r>
            <w:r>
              <w:rPr>
                <w:rFonts w:hint="eastAsia"/>
                <w:kern w:val="0"/>
                <w:sz w:val="24"/>
                <w:szCs w:val="20"/>
              </w:rPr>
              <w:t>湖南衡利丰陶瓷有限公司占地范围内建设，</w:t>
            </w:r>
            <w:r>
              <w:rPr>
                <w:rFonts w:hint="eastAsia"/>
                <w:bCs/>
                <w:spacing w:val="-10"/>
                <w:sz w:val="24"/>
              </w:rPr>
              <w:t>不新增用地，用地范围内无生态环境保护目标，因此本项目不会对周边生态环境产生影响。</w:t>
            </w:r>
          </w:p>
          <w:p w14:paraId="66ECA01A">
            <w:pPr>
              <w:pStyle w:val="2"/>
              <w:adjustRightInd/>
              <w:spacing w:line="360" w:lineRule="auto"/>
              <w:ind w:firstLine="482" w:firstLineChars="200"/>
              <w:jc w:val="both"/>
              <w:rPr>
                <w:rFonts w:ascii="Times New Roman" w:cs="Times New Roman"/>
                <w:color w:val="auto"/>
              </w:rPr>
            </w:pPr>
            <w:r>
              <w:rPr>
                <w:rFonts w:ascii="Times New Roman" w:cs="Times New Roman"/>
                <w:b/>
                <w:color w:val="auto"/>
              </w:rPr>
              <w:t>七、环境风险</w:t>
            </w:r>
          </w:p>
          <w:p w14:paraId="13CD025D">
            <w:pPr>
              <w:spacing w:line="360" w:lineRule="auto"/>
              <w:ind w:firstLine="480" w:firstLineChars="200"/>
              <w:rPr>
                <w:sz w:val="24"/>
              </w:rPr>
            </w:pPr>
            <w:r>
              <w:rPr>
                <w:rFonts w:hint="eastAsia"/>
                <w:sz w:val="24"/>
              </w:rPr>
              <w:t>根据《建设项目环境风险评价技术导则》（HJ 169-2018），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50212A5F">
            <w:pPr>
              <w:spacing w:line="360" w:lineRule="auto"/>
              <w:ind w:firstLine="482" w:firstLineChars="200"/>
              <w:rPr>
                <w:b/>
                <w:sz w:val="24"/>
              </w:rPr>
            </w:pPr>
            <w:r>
              <w:rPr>
                <w:rFonts w:hint="eastAsia"/>
                <w:b/>
                <w:sz w:val="24"/>
              </w:rPr>
              <w:t>1、评价依据</w:t>
            </w:r>
          </w:p>
          <w:p w14:paraId="7FEB846D">
            <w:pPr>
              <w:spacing w:line="360" w:lineRule="auto"/>
              <w:ind w:firstLine="480" w:firstLineChars="200"/>
              <w:rPr>
                <w:sz w:val="24"/>
              </w:rPr>
            </w:pPr>
            <w:r>
              <w:rPr>
                <w:rFonts w:hint="eastAsia"/>
                <w:sz w:val="24"/>
              </w:rPr>
              <w:t>（1）风险调查</w:t>
            </w:r>
          </w:p>
          <w:p w14:paraId="2B490B40">
            <w:pPr>
              <w:spacing w:line="360" w:lineRule="auto"/>
              <w:ind w:firstLine="480" w:firstLineChars="200"/>
              <w:rPr>
                <w:sz w:val="24"/>
              </w:rPr>
            </w:pPr>
            <w:r>
              <w:rPr>
                <w:rFonts w:hint="eastAsia"/>
                <w:sz w:val="24"/>
              </w:rPr>
              <w:t>风险识别范围：环境风险识别范围包括生产设施风险识别、生产过程所涉及的物质风险识别。</w:t>
            </w:r>
          </w:p>
          <w:p w14:paraId="49863B17">
            <w:pPr>
              <w:spacing w:line="360" w:lineRule="auto"/>
              <w:ind w:firstLine="480" w:firstLineChars="200"/>
              <w:rPr>
                <w:sz w:val="24"/>
              </w:rPr>
            </w:pPr>
            <w:r>
              <w:rPr>
                <w:rFonts w:hint="eastAsia"/>
                <w:sz w:val="24"/>
              </w:rPr>
              <w:t>①厂区生产设施风险识别包括主要生产装置、储运系统、公用工程、环保工程及辅助生产设施等，主要有生产装置区、物料储罐、物料仓库、物料输送管线及设备、“三废”处理设施等。</w:t>
            </w:r>
          </w:p>
          <w:p w14:paraId="3A966688">
            <w:pPr>
              <w:spacing w:line="360" w:lineRule="auto"/>
              <w:ind w:firstLine="480" w:firstLineChars="200"/>
              <w:rPr>
                <w:sz w:val="24"/>
              </w:rPr>
            </w:pPr>
            <w:r>
              <w:rPr>
                <w:rFonts w:hint="eastAsia"/>
                <w:sz w:val="24"/>
              </w:rPr>
              <w:t>②物质风险识别范围包括：生产使用的原辅材料、产品、中间产品、燃料及生产过程排放的“三废”污染物等。</w:t>
            </w:r>
          </w:p>
          <w:p w14:paraId="20B197A5">
            <w:pPr>
              <w:spacing w:line="360" w:lineRule="auto"/>
              <w:ind w:firstLine="480" w:firstLineChars="200"/>
              <w:rPr>
                <w:sz w:val="24"/>
              </w:rPr>
            </w:pPr>
            <w:r>
              <w:rPr>
                <w:rFonts w:hint="eastAsia"/>
                <w:sz w:val="24"/>
              </w:rPr>
              <w:t>风险类型：通过对主要生产装置、生产过程的分析，结合原辅材料、产品的物性及特点，厂区常见的风险类型主要包括泄漏、火灾、爆炸三种风险类型。</w:t>
            </w:r>
          </w:p>
          <w:p w14:paraId="3378ACD6">
            <w:pPr>
              <w:spacing w:line="360" w:lineRule="auto"/>
              <w:ind w:firstLine="480" w:firstLineChars="200"/>
              <w:rPr>
                <w:sz w:val="24"/>
              </w:rPr>
            </w:pPr>
            <w:r>
              <w:rPr>
                <w:rFonts w:hint="eastAsia"/>
                <w:sz w:val="24"/>
              </w:rPr>
              <w:t>项目营运期使用的环境风险物质主要为危险废物（废润滑油）。</w:t>
            </w:r>
          </w:p>
          <w:p w14:paraId="27C977F2">
            <w:pPr>
              <w:spacing w:line="360" w:lineRule="auto"/>
              <w:ind w:firstLine="480" w:firstLineChars="200"/>
              <w:rPr>
                <w:sz w:val="24"/>
              </w:rPr>
            </w:pPr>
            <w:r>
              <w:rPr>
                <w:rFonts w:hint="eastAsia"/>
                <w:sz w:val="24"/>
              </w:rPr>
              <w:t>（2）风险潜势初判</w:t>
            </w:r>
          </w:p>
          <w:p w14:paraId="74257A05">
            <w:pPr>
              <w:spacing w:line="360" w:lineRule="auto"/>
              <w:ind w:firstLine="480" w:firstLineChars="200"/>
              <w:rPr>
                <w:sz w:val="24"/>
              </w:rPr>
            </w:pPr>
            <w:r>
              <w:rPr>
                <w:rFonts w:hint="eastAsia"/>
                <w:sz w:val="24"/>
              </w:rPr>
              <w:t>根据《建设项目环境风险评价技术导则》（HJ 169－2018）附录C，计算所涉及的每种危险物质在厂界内的最大存在总量与其在附录B 中对应临界量的比值Q。</w:t>
            </w:r>
          </w:p>
          <w:p w14:paraId="0788969A">
            <w:pPr>
              <w:autoSpaceDE w:val="0"/>
              <w:autoSpaceDN w:val="0"/>
              <w:adjustRightInd w:val="0"/>
              <w:spacing w:line="360" w:lineRule="auto"/>
              <w:ind w:firstLine="480" w:firstLineChars="200"/>
              <w:rPr>
                <w:rFonts w:eastAsiaTheme="majorEastAsia"/>
                <w:sz w:val="24"/>
              </w:rPr>
            </w:pPr>
            <w:r>
              <w:rPr>
                <w:rFonts w:hint="eastAsia" w:eastAsiaTheme="majorEastAsia"/>
                <w:sz w:val="24"/>
              </w:rPr>
              <w:t>当只涉及一种危险物质时，计算该物质的总量与其临界量比值，即为Q；</w:t>
            </w:r>
          </w:p>
          <w:p w14:paraId="375A866C">
            <w:pPr>
              <w:autoSpaceDE w:val="0"/>
              <w:autoSpaceDN w:val="0"/>
              <w:adjustRightInd w:val="0"/>
              <w:spacing w:line="360" w:lineRule="auto"/>
              <w:ind w:firstLine="480" w:firstLineChars="200"/>
              <w:rPr>
                <w:rFonts w:eastAsiaTheme="majorEastAsia"/>
                <w:sz w:val="24"/>
              </w:rPr>
            </w:pPr>
            <w:r>
              <w:rPr>
                <w:rFonts w:hint="eastAsia" w:eastAsiaTheme="majorEastAsia"/>
                <w:sz w:val="24"/>
              </w:rPr>
              <w:t>当存在多种危险物质时，则按式（1）计算物质总量与其临界量比值（Q）：</w:t>
            </w:r>
          </w:p>
          <w:p w14:paraId="432BCDB4">
            <w:pPr>
              <w:autoSpaceDE w:val="0"/>
              <w:autoSpaceDN w:val="0"/>
              <w:adjustRightInd w:val="0"/>
              <w:spacing w:line="360" w:lineRule="auto"/>
              <w:ind w:firstLine="480" w:firstLineChars="200"/>
              <w:jc w:val="center"/>
              <w:rPr>
                <w:rFonts w:eastAsiaTheme="majorEastAsia"/>
                <w:sz w:val="24"/>
              </w:rPr>
            </w:pPr>
            <w:r>
              <w:rPr>
                <w:rFonts w:eastAsiaTheme="majorEastAsia"/>
                <w:sz w:val="24"/>
              </w:rPr>
              <w:drawing>
                <wp:inline distT="0" distB="0" distL="0" distR="0">
                  <wp:extent cx="1733550" cy="485775"/>
                  <wp:effectExtent l="19050" t="0" r="0" b="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noChangeArrowheads="1"/>
                          </pic:cNvPicPr>
                        </pic:nvPicPr>
                        <pic:blipFill>
                          <a:blip r:embed="rId20" cstate="print"/>
                          <a:srcRect/>
                          <a:stretch>
                            <a:fillRect/>
                          </a:stretch>
                        </pic:blipFill>
                        <pic:spPr>
                          <a:xfrm>
                            <a:off x="0" y="0"/>
                            <a:ext cx="1733550" cy="485775"/>
                          </a:xfrm>
                          <a:prstGeom prst="rect">
                            <a:avLst/>
                          </a:prstGeom>
                          <a:noFill/>
                          <a:ln w="9525">
                            <a:noFill/>
                            <a:miter lim="800000"/>
                            <a:headEnd/>
                            <a:tailEnd/>
                          </a:ln>
                        </pic:spPr>
                      </pic:pic>
                    </a:graphicData>
                  </a:graphic>
                </wp:inline>
              </w:drawing>
            </w:r>
          </w:p>
          <w:p w14:paraId="0114DF92">
            <w:pPr>
              <w:autoSpaceDE w:val="0"/>
              <w:autoSpaceDN w:val="0"/>
              <w:adjustRightInd w:val="0"/>
              <w:spacing w:line="360" w:lineRule="auto"/>
              <w:ind w:firstLine="480" w:firstLineChars="200"/>
              <w:rPr>
                <w:rFonts w:eastAsiaTheme="majorEastAsia"/>
                <w:sz w:val="24"/>
              </w:rPr>
            </w:pPr>
            <w:r>
              <w:rPr>
                <w:rFonts w:hint="eastAsia" w:eastAsiaTheme="majorEastAsia"/>
                <w:sz w:val="24"/>
              </w:rPr>
              <w:t>式中：q</w:t>
            </w:r>
            <w:r>
              <w:rPr>
                <w:rFonts w:hint="eastAsia" w:eastAsiaTheme="majorEastAsia"/>
                <w:sz w:val="24"/>
                <w:vertAlign w:val="subscript"/>
              </w:rPr>
              <w:t>1</w:t>
            </w:r>
            <w:r>
              <w:rPr>
                <w:rFonts w:hint="eastAsia" w:eastAsiaTheme="majorEastAsia"/>
                <w:sz w:val="24"/>
              </w:rPr>
              <w:t>，q</w:t>
            </w:r>
            <w:r>
              <w:rPr>
                <w:rFonts w:hint="eastAsia" w:eastAsiaTheme="majorEastAsia"/>
                <w:sz w:val="24"/>
                <w:vertAlign w:val="subscript"/>
              </w:rPr>
              <w:t>2</w:t>
            </w:r>
            <w:r>
              <w:rPr>
                <w:rFonts w:hint="eastAsia" w:eastAsiaTheme="majorEastAsia"/>
                <w:sz w:val="24"/>
              </w:rPr>
              <w:t>，q</w:t>
            </w:r>
            <w:r>
              <w:rPr>
                <w:rFonts w:hint="eastAsia" w:eastAsiaTheme="majorEastAsia"/>
                <w:sz w:val="24"/>
                <w:vertAlign w:val="subscript"/>
              </w:rPr>
              <w:t>3</w:t>
            </w:r>
            <w:r>
              <w:rPr>
                <w:rFonts w:hint="eastAsia" w:eastAsiaTheme="majorEastAsia"/>
                <w:sz w:val="24"/>
              </w:rPr>
              <w:t>……q</w:t>
            </w:r>
            <w:r>
              <w:rPr>
                <w:rFonts w:hint="eastAsia" w:eastAsiaTheme="majorEastAsia"/>
                <w:sz w:val="24"/>
                <w:vertAlign w:val="subscript"/>
              </w:rPr>
              <w:t>n</w:t>
            </w:r>
            <w:r>
              <w:rPr>
                <w:rFonts w:hint="eastAsia" w:eastAsiaTheme="majorEastAsia"/>
                <w:sz w:val="24"/>
              </w:rPr>
              <w:t>——每种危险物质的最大存在量，t；</w:t>
            </w:r>
          </w:p>
          <w:p w14:paraId="6A413945">
            <w:pPr>
              <w:autoSpaceDE w:val="0"/>
              <w:autoSpaceDN w:val="0"/>
              <w:adjustRightInd w:val="0"/>
              <w:spacing w:line="360" w:lineRule="auto"/>
              <w:ind w:firstLine="1200" w:firstLineChars="500"/>
              <w:rPr>
                <w:rFonts w:eastAsiaTheme="majorEastAsia"/>
                <w:sz w:val="24"/>
              </w:rPr>
            </w:pPr>
            <w:r>
              <w:rPr>
                <w:rFonts w:hint="eastAsia" w:eastAsiaTheme="majorEastAsia"/>
                <w:sz w:val="24"/>
              </w:rPr>
              <w:t>Q</w:t>
            </w:r>
            <w:r>
              <w:rPr>
                <w:rFonts w:hint="eastAsia" w:eastAsiaTheme="majorEastAsia"/>
                <w:sz w:val="24"/>
                <w:vertAlign w:val="subscript"/>
              </w:rPr>
              <w:t>1</w:t>
            </w:r>
            <w:r>
              <w:rPr>
                <w:rFonts w:hint="eastAsia" w:eastAsiaTheme="majorEastAsia"/>
                <w:sz w:val="24"/>
              </w:rPr>
              <w:t>，Q</w:t>
            </w:r>
            <w:r>
              <w:rPr>
                <w:rFonts w:hint="eastAsia" w:eastAsiaTheme="majorEastAsia"/>
                <w:sz w:val="24"/>
                <w:vertAlign w:val="subscript"/>
              </w:rPr>
              <w:t>2</w:t>
            </w:r>
            <w:r>
              <w:rPr>
                <w:rFonts w:hint="eastAsia" w:eastAsiaTheme="majorEastAsia"/>
                <w:sz w:val="24"/>
              </w:rPr>
              <w:t>，Q</w:t>
            </w:r>
            <w:r>
              <w:rPr>
                <w:rFonts w:hint="eastAsia" w:eastAsiaTheme="majorEastAsia"/>
                <w:sz w:val="24"/>
                <w:vertAlign w:val="subscript"/>
              </w:rPr>
              <w:t>3</w:t>
            </w:r>
            <w:r>
              <w:rPr>
                <w:rFonts w:hint="eastAsia" w:eastAsiaTheme="majorEastAsia"/>
                <w:sz w:val="24"/>
              </w:rPr>
              <w:t>……Q</w:t>
            </w:r>
            <w:r>
              <w:rPr>
                <w:rFonts w:hint="eastAsia" w:eastAsiaTheme="majorEastAsia"/>
                <w:sz w:val="24"/>
                <w:vertAlign w:val="subscript"/>
              </w:rPr>
              <w:t>n</w:t>
            </w:r>
            <w:r>
              <w:rPr>
                <w:rFonts w:hint="eastAsia" w:eastAsiaTheme="majorEastAsia"/>
                <w:sz w:val="24"/>
              </w:rPr>
              <w:t>——每种危险物质的临界量，t；</w:t>
            </w:r>
          </w:p>
          <w:p w14:paraId="40A96E0D">
            <w:pPr>
              <w:autoSpaceDE w:val="0"/>
              <w:autoSpaceDN w:val="0"/>
              <w:adjustRightInd w:val="0"/>
              <w:spacing w:line="360" w:lineRule="auto"/>
              <w:ind w:firstLine="1200" w:firstLineChars="500"/>
              <w:rPr>
                <w:rFonts w:eastAsiaTheme="majorEastAsia"/>
                <w:sz w:val="24"/>
              </w:rPr>
            </w:pPr>
            <w:r>
              <w:rPr>
                <w:rFonts w:hint="eastAsia" w:eastAsiaTheme="majorEastAsia"/>
                <w:sz w:val="24"/>
              </w:rPr>
              <w:t>当Q＜1时，该项目环境风险潜势为</w:t>
            </w:r>
            <w:r>
              <w:rPr>
                <w:rFonts w:hint="eastAsia" w:asciiTheme="majorEastAsia" w:hAnsiTheme="majorEastAsia" w:eastAsiaTheme="majorEastAsia"/>
                <w:sz w:val="24"/>
              </w:rPr>
              <w:t>Ⅰ</w:t>
            </w:r>
            <w:r>
              <w:rPr>
                <w:rFonts w:hint="eastAsia" w:eastAsiaTheme="majorEastAsia"/>
                <w:sz w:val="24"/>
              </w:rPr>
              <w:t>。</w:t>
            </w:r>
          </w:p>
          <w:p w14:paraId="100CD9EE">
            <w:pPr>
              <w:autoSpaceDE w:val="0"/>
              <w:autoSpaceDN w:val="0"/>
              <w:adjustRightInd w:val="0"/>
              <w:spacing w:line="360" w:lineRule="auto"/>
              <w:ind w:firstLine="1200" w:firstLineChars="500"/>
              <w:rPr>
                <w:rFonts w:eastAsiaTheme="majorEastAsia"/>
                <w:sz w:val="24"/>
              </w:rPr>
            </w:pPr>
            <w:r>
              <w:rPr>
                <w:rFonts w:hint="eastAsia" w:eastAsiaTheme="majorEastAsia"/>
                <w:sz w:val="24"/>
              </w:rPr>
              <w:t>当Q≥1时，将Q值划分为：（1）1≤Q＜10；（2）10≤Q＜100；（3）Q≥100。</w:t>
            </w:r>
          </w:p>
          <w:p w14:paraId="4C383F34">
            <w:pPr>
              <w:autoSpaceDE w:val="0"/>
              <w:autoSpaceDN w:val="0"/>
              <w:adjustRightInd w:val="0"/>
              <w:spacing w:line="360" w:lineRule="auto"/>
              <w:ind w:firstLine="480" w:firstLineChars="200"/>
              <w:rPr>
                <w:sz w:val="24"/>
                <w:szCs w:val="20"/>
              </w:rPr>
            </w:pPr>
            <w:r>
              <w:rPr>
                <w:sz w:val="24"/>
              </w:rPr>
              <w:t>参照《建设项目环境风险评价技术导则》（HJ 169-2018）附录B，本工程危险物质数量与临界量比值（Q）见下表</w:t>
            </w:r>
            <w:r>
              <w:rPr>
                <w:rFonts w:hint="eastAsia"/>
                <w:sz w:val="24"/>
                <w:szCs w:val="20"/>
              </w:rPr>
              <w:t>。</w:t>
            </w:r>
          </w:p>
          <w:p w14:paraId="49381E2A">
            <w:pPr>
              <w:spacing w:before="120" w:beforeLines="50"/>
              <w:jc w:val="center"/>
              <w:rPr>
                <w:b/>
                <w:szCs w:val="21"/>
              </w:rPr>
            </w:pPr>
            <w:r>
              <w:rPr>
                <w:b/>
                <w:szCs w:val="21"/>
              </w:rPr>
              <w:t>表</w:t>
            </w:r>
            <w:r>
              <w:rPr>
                <w:rFonts w:hint="eastAsia"/>
                <w:b/>
                <w:szCs w:val="21"/>
              </w:rPr>
              <w:t>4-15</w:t>
            </w:r>
            <w:r>
              <w:rPr>
                <w:b/>
                <w:szCs w:val="21"/>
              </w:rPr>
              <w:t xml:space="preserve"> </w:t>
            </w:r>
            <w:r>
              <w:rPr>
                <w:rFonts w:hint="eastAsia"/>
                <w:b/>
                <w:szCs w:val="21"/>
              </w:rPr>
              <w:t xml:space="preserve"> </w:t>
            </w:r>
            <w:r>
              <w:rPr>
                <w:b/>
                <w:szCs w:val="21"/>
              </w:rPr>
              <w:t>本项目Q值计算表</w:t>
            </w:r>
          </w:p>
          <w:tbl>
            <w:tblPr>
              <w:tblStyle w:val="34"/>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740"/>
              <w:gridCol w:w="3618"/>
              <w:gridCol w:w="1345"/>
              <w:gridCol w:w="1860"/>
              <w:gridCol w:w="1858"/>
            </w:tblGrid>
            <w:tr w14:paraId="14609B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393" w:type="pct"/>
                  <w:vAlign w:val="center"/>
                </w:tcPr>
                <w:p w14:paraId="2CF35B01">
                  <w:pPr>
                    <w:tabs>
                      <w:tab w:val="left" w:pos="3480"/>
                    </w:tabs>
                    <w:adjustRightInd w:val="0"/>
                    <w:snapToGrid w:val="0"/>
                    <w:jc w:val="center"/>
                    <w:rPr>
                      <w:b/>
                    </w:rPr>
                  </w:pPr>
                  <w:r>
                    <w:rPr>
                      <w:b/>
                    </w:rPr>
                    <w:t>序号</w:t>
                  </w:r>
                </w:p>
              </w:tc>
              <w:tc>
                <w:tcPr>
                  <w:tcW w:w="1920" w:type="pct"/>
                  <w:vAlign w:val="center"/>
                </w:tcPr>
                <w:p w14:paraId="7AAF0602">
                  <w:pPr>
                    <w:tabs>
                      <w:tab w:val="left" w:pos="3480"/>
                    </w:tabs>
                    <w:adjustRightInd w:val="0"/>
                    <w:snapToGrid w:val="0"/>
                    <w:jc w:val="center"/>
                    <w:rPr>
                      <w:b/>
                    </w:rPr>
                  </w:pPr>
                  <w:r>
                    <w:rPr>
                      <w:b/>
                    </w:rPr>
                    <w:t>名称</w:t>
                  </w:r>
                </w:p>
              </w:tc>
              <w:tc>
                <w:tcPr>
                  <w:tcW w:w="714" w:type="pct"/>
                  <w:vAlign w:val="center"/>
                </w:tcPr>
                <w:p w14:paraId="793138F1">
                  <w:pPr>
                    <w:tabs>
                      <w:tab w:val="left" w:pos="3480"/>
                    </w:tabs>
                    <w:adjustRightInd w:val="0"/>
                    <w:snapToGrid w:val="0"/>
                    <w:jc w:val="center"/>
                    <w:rPr>
                      <w:b/>
                    </w:rPr>
                  </w:pPr>
                  <w:r>
                    <w:rPr>
                      <w:b/>
                    </w:rPr>
                    <w:t>最大</w:t>
                  </w:r>
                  <w:r>
                    <w:rPr>
                      <w:rFonts w:hint="eastAsia"/>
                      <w:b/>
                    </w:rPr>
                    <w:t>存在</w:t>
                  </w:r>
                  <w:r>
                    <w:rPr>
                      <w:b/>
                    </w:rPr>
                    <w:t>量（t）</w:t>
                  </w:r>
                </w:p>
              </w:tc>
              <w:tc>
                <w:tcPr>
                  <w:tcW w:w="987" w:type="pct"/>
                  <w:vAlign w:val="center"/>
                </w:tcPr>
                <w:p w14:paraId="5A95AD30">
                  <w:pPr>
                    <w:tabs>
                      <w:tab w:val="left" w:pos="3480"/>
                    </w:tabs>
                    <w:adjustRightInd w:val="0"/>
                    <w:snapToGrid w:val="0"/>
                    <w:jc w:val="center"/>
                    <w:rPr>
                      <w:b/>
                    </w:rPr>
                  </w:pPr>
                  <w:r>
                    <w:rPr>
                      <w:b/>
                    </w:rPr>
                    <w:t>临界储存量（t）</w:t>
                  </w:r>
                </w:p>
              </w:tc>
              <w:tc>
                <w:tcPr>
                  <w:tcW w:w="986" w:type="pct"/>
                  <w:vAlign w:val="center"/>
                </w:tcPr>
                <w:p w14:paraId="5386B5BD">
                  <w:pPr>
                    <w:tabs>
                      <w:tab w:val="left" w:pos="3480"/>
                    </w:tabs>
                    <w:adjustRightInd w:val="0"/>
                    <w:snapToGrid w:val="0"/>
                    <w:jc w:val="center"/>
                    <w:rPr>
                      <w:b/>
                    </w:rPr>
                  </w:pPr>
                  <w:r>
                    <w:rPr>
                      <w:rFonts w:hint="eastAsia"/>
                      <w:b/>
                    </w:rPr>
                    <w:t>该种危险物质Q值</w:t>
                  </w:r>
                </w:p>
              </w:tc>
            </w:tr>
            <w:tr w14:paraId="5F7732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393" w:type="pct"/>
                  <w:vAlign w:val="center"/>
                </w:tcPr>
                <w:p w14:paraId="34418172">
                  <w:pPr>
                    <w:keepNext/>
                    <w:tabs>
                      <w:tab w:val="left" w:pos="3480"/>
                    </w:tabs>
                    <w:adjustRightInd w:val="0"/>
                    <w:snapToGrid w:val="0"/>
                    <w:jc w:val="center"/>
                  </w:pPr>
                  <w:r>
                    <w:rPr>
                      <w:rFonts w:hint="eastAsia"/>
                    </w:rPr>
                    <w:t>1</w:t>
                  </w:r>
                </w:p>
              </w:tc>
              <w:tc>
                <w:tcPr>
                  <w:tcW w:w="1920" w:type="pct"/>
                  <w:vAlign w:val="center"/>
                </w:tcPr>
                <w:p w14:paraId="1436CC5A">
                  <w:pPr>
                    <w:jc w:val="center"/>
                    <w:rPr>
                      <w:szCs w:val="21"/>
                    </w:rPr>
                  </w:pPr>
                  <w:r>
                    <w:rPr>
                      <w:rFonts w:hint="eastAsia"/>
                      <w:szCs w:val="21"/>
                    </w:rPr>
                    <w:t>废润滑油</w:t>
                  </w:r>
                </w:p>
              </w:tc>
              <w:tc>
                <w:tcPr>
                  <w:tcW w:w="714" w:type="pct"/>
                  <w:vAlign w:val="center"/>
                </w:tcPr>
                <w:p w14:paraId="66B02A83">
                  <w:pPr>
                    <w:tabs>
                      <w:tab w:val="left" w:pos="3480"/>
                    </w:tabs>
                    <w:adjustRightInd w:val="0"/>
                    <w:snapToGrid w:val="0"/>
                    <w:jc w:val="center"/>
                  </w:pPr>
                  <w:r>
                    <w:rPr>
                      <w:rFonts w:hint="eastAsia"/>
                    </w:rPr>
                    <w:t>0.1</w:t>
                  </w:r>
                </w:p>
              </w:tc>
              <w:tc>
                <w:tcPr>
                  <w:tcW w:w="987" w:type="pct"/>
                  <w:vAlign w:val="center"/>
                </w:tcPr>
                <w:p w14:paraId="7FF22B8A">
                  <w:pPr>
                    <w:tabs>
                      <w:tab w:val="left" w:pos="3480"/>
                    </w:tabs>
                    <w:adjustRightInd w:val="0"/>
                    <w:snapToGrid w:val="0"/>
                    <w:jc w:val="center"/>
                  </w:pPr>
                  <w:r>
                    <w:rPr>
                      <w:rFonts w:hint="eastAsia"/>
                    </w:rPr>
                    <w:t>2500</w:t>
                  </w:r>
                </w:p>
              </w:tc>
              <w:tc>
                <w:tcPr>
                  <w:tcW w:w="986" w:type="pct"/>
                  <w:vAlign w:val="center"/>
                </w:tcPr>
                <w:p w14:paraId="2479DF95">
                  <w:pPr>
                    <w:jc w:val="center"/>
                    <w:rPr>
                      <w:szCs w:val="21"/>
                    </w:rPr>
                  </w:pPr>
                  <w:r>
                    <w:rPr>
                      <w:szCs w:val="21"/>
                    </w:rPr>
                    <w:t>0.0</w:t>
                  </w:r>
                  <w:r>
                    <w:rPr>
                      <w:rFonts w:hint="eastAsia"/>
                      <w:szCs w:val="21"/>
                    </w:rPr>
                    <w:t>0004</w:t>
                  </w:r>
                </w:p>
              </w:tc>
            </w:tr>
            <w:tr w14:paraId="1B0448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rPr>
              <w:tc>
                <w:tcPr>
                  <w:tcW w:w="4014" w:type="pct"/>
                  <w:gridSpan w:val="4"/>
                  <w:vAlign w:val="center"/>
                </w:tcPr>
                <w:p w14:paraId="5E2DA957">
                  <w:pPr>
                    <w:tabs>
                      <w:tab w:val="left" w:pos="3480"/>
                    </w:tabs>
                    <w:adjustRightInd w:val="0"/>
                    <w:snapToGrid w:val="0"/>
                    <w:jc w:val="center"/>
                  </w:pPr>
                  <w:r>
                    <w:t>合计</w:t>
                  </w:r>
                </w:p>
              </w:tc>
              <w:tc>
                <w:tcPr>
                  <w:tcW w:w="986" w:type="pct"/>
                  <w:vAlign w:val="center"/>
                </w:tcPr>
                <w:p w14:paraId="2BB8A8AC">
                  <w:pPr>
                    <w:tabs>
                      <w:tab w:val="left" w:pos="3480"/>
                    </w:tabs>
                    <w:adjustRightInd w:val="0"/>
                    <w:snapToGrid w:val="0"/>
                    <w:jc w:val="center"/>
                  </w:pPr>
                  <w:r>
                    <w:rPr>
                      <w:rFonts w:hint="eastAsia"/>
                    </w:rPr>
                    <w:t>0.00004</w:t>
                  </w:r>
                </w:p>
              </w:tc>
            </w:tr>
          </w:tbl>
          <w:p w14:paraId="6FD8C6EC">
            <w:pPr>
              <w:spacing w:line="360" w:lineRule="auto"/>
              <w:ind w:firstLine="480" w:firstLineChars="200"/>
              <w:rPr>
                <w:sz w:val="24"/>
              </w:rPr>
            </w:pPr>
            <w:r>
              <w:rPr>
                <w:rFonts w:hint="eastAsia"/>
                <w:sz w:val="24"/>
              </w:rPr>
              <w:t>根据计算，Q值划分为Q=0.00004＜1。</w:t>
            </w:r>
          </w:p>
          <w:p w14:paraId="0D031BCD">
            <w:pPr>
              <w:spacing w:line="360" w:lineRule="auto"/>
              <w:ind w:firstLine="480" w:firstLineChars="200"/>
              <w:rPr>
                <w:sz w:val="24"/>
              </w:rPr>
            </w:pPr>
            <w:r>
              <w:rPr>
                <w:rFonts w:hint="eastAsia"/>
                <w:sz w:val="24"/>
              </w:rPr>
              <w:t>（3）评价工作等级</w:t>
            </w:r>
          </w:p>
          <w:p w14:paraId="0FB53A99">
            <w:pPr>
              <w:spacing w:line="360" w:lineRule="auto"/>
              <w:ind w:firstLine="480" w:firstLineChars="200"/>
              <w:rPr>
                <w:sz w:val="24"/>
              </w:rPr>
            </w:pPr>
            <w:r>
              <w:rPr>
                <w:rFonts w:hint="eastAsia"/>
                <w:sz w:val="24"/>
              </w:rPr>
              <w:t>根据项目危险物质数量与临界量的比值Q，对比《建设项目环境风险评价技术导则》（HJ/T169-2018）表1，可知项目环境风险评价工作等级为简单分析。</w:t>
            </w:r>
          </w:p>
          <w:p w14:paraId="6F3A4ACB">
            <w:pPr>
              <w:spacing w:before="120" w:beforeLines="50"/>
              <w:jc w:val="center"/>
              <w:rPr>
                <w:b/>
                <w:szCs w:val="21"/>
              </w:rPr>
            </w:pPr>
            <w:r>
              <w:rPr>
                <w:b/>
                <w:szCs w:val="21"/>
              </w:rPr>
              <w:t>表4-</w:t>
            </w:r>
            <w:r>
              <w:rPr>
                <w:rFonts w:hint="eastAsia"/>
                <w:b/>
                <w:szCs w:val="21"/>
              </w:rPr>
              <w:t xml:space="preserve">16 </w:t>
            </w:r>
            <w:r>
              <w:rPr>
                <w:b/>
                <w:szCs w:val="21"/>
              </w:rPr>
              <w:t xml:space="preserve"> 评价工作等级划分</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43"/>
              <w:gridCol w:w="1632"/>
              <w:gridCol w:w="1916"/>
              <w:gridCol w:w="1703"/>
              <w:gridCol w:w="2127"/>
            </w:tblGrid>
            <w:tr w14:paraId="5D592A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84" w:type="pct"/>
                  <w:vAlign w:val="center"/>
                </w:tcPr>
                <w:p w14:paraId="02C18CF1">
                  <w:pPr>
                    <w:adjustRightInd w:val="0"/>
                    <w:snapToGrid w:val="0"/>
                    <w:jc w:val="center"/>
                    <w:rPr>
                      <w:b/>
                      <w:bCs/>
                      <w:szCs w:val="21"/>
                    </w:rPr>
                  </w:pPr>
                  <w:r>
                    <w:rPr>
                      <w:b/>
                      <w:bCs/>
                      <w:szCs w:val="21"/>
                    </w:rPr>
                    <w:t>环境风险潜势</w:t>
                  </w:r>
                </w:p>
              </w:tc>
              <w:tc>
                <w:tcPr>
                  <w:tcW w:w="866" w:type="pct"/>
                  <w:vAlign w:val="center"/>
                </w:tcPr>
                <w:p w14:paraId="2B65C06F">
                  <w:pPr>
                    <w:adjustRightInd w:val="0"/>
                    <w:snapToGrid w:val="0"/>
                    <w:jc w:val="center"/>
                    <w:rPr>
                      <w:b/>
                      <w:bCs/>
                      <w:szCs w:val="21"/>
                    </w:rPr>
                  </w:pPr>
                  <w:r>
                    <w:rPr>
                      <w:b/>
                      <w:bCs/>
                      <w:szCs w:val="21"/>
                    </w:rPr>
                    <w:fldChar w:fldCharType="begin"/>
                  </w:r>
                  <w:r>
                    <w:rPr>
                      <w:b/>
                      <w:bCs/>
                      <w:szCs w:val="21"/>
                    </w:rPr>
                    <w:instrText xml:space="preserve"> = 4 \* ROMAN </w:instrText>
                  </w:r>
                  <w:r>
                    <w:rPr>
                      <w:b/>
                      <w:bCs/>
                      <w:szCs w:val="21"/>
                    </w:rPr>
                    <w:fldChar w:fldCharType="separate"/>
                  </w:r>
                  <w:r>
                    <w:rPr>
                      <w:b/>
                      <w:bCs/>
                      <w:szCs w:val="21"/>
                    </w:rPr>
                    <w:t>IV</w:t>
                  </w:r>
                  <w:r>
                    <w:rPr>
                      <w:b/>
                      <w:bCs/>
                      <w:szCs w:val="21"/>
                    </w:rPr>
                    <w:fldChar w:fldCharType="end"/>
                  </w:r>
                  <w:r>
                    <w:rPr>
                      <w:b/>
                      <w:bCs/>
                      <w:szCs w:val="21"/>
                    </w:rPr>
                    <w:t>、</w:t>
                  </w:r>
                  <w:r>
                    <w:rPr>
                      <w:b/>
                      <w:bCs/>
                      <w:szCs w:val="21"/>
                    </w:rPr>
                    <w:fldChar w:fldCharType="begin"/>
                  </w:r>
                  <w:r>
                    <w:rPr>
                      <w:b/>
                      <w:bCs/>
                      <w:szCs w:val="21"/>
                    </w:rPr>
                    <w:instrText xml:space="preserve"> = 4 \* ROMAN </w:instrText>
                  </w:r>
                  <w:r>
                    <w:rPr>
                      <w:b/>
                      <w:bCs/>
                      <w:szCs w:val="21"/>
                    </w:rPr>
                    <w:fldChar w:fldCharType="separate"/>
                  </w:r>
                  <w:r>
                    <w:rPr>
                      <w:b/>
                      <w:bCs/>
                      <w:szCs w:val="21"/>
                    </w:rPr>
                    <w:t>IV</w:t>
                  </w:r>
                  <w:r>
                    <w:rPr>
                      <w:b/>
                      <w:bCs/>
                      <w:szCs w:val="21"/>
                    </w:rPr>
                    <w:fldChar w:fldCharType="end"/>
                  </w:r>
                  <w:r>
                    <w:rPr>
                      <w:b/>
                      <w:bCs/>
                      <w:szCs w:val="21"/>
                      <w:vertAlign w:val="superscript"/>
                    </w:rPr>
                    <w:t>+</w:t>
                  </w:r>
                </w:p>
              </w:tc>
              <w:tc>
                <w:tcPr>
                  <w:tcW w:w="1017" w:type="pct"/>
                  <w:vAlign w:val="center"/>
                </w:tcPr>
                <w:p w14:paraId="0EB53020">
                  <w:pPr>
                    <w:adjustRightInd w:val="0"/>
                    <w:snapToGrid w:val="0"/>
                    <w:jc w:val="center"/>
                    <w:rPr>
                      <w:b/>
                      <w:bCs/>
                      <w:szCs w:val="21"/>
                    </w:rPr>
                  </w:pPr>
                  <w:r>
                    <w:rPr>
                      <w:b/>
                      <w:bCs/>
                      <w:szCs w:val="21"/>
                    </w:rPr>
                    <w:fldChar w:fldCharType="begin"/>
                  </w:r>
                  <w:r>
                    <w:rPr>
                      <w:b/>
                      <w:bCs/>
                      <w:szCs w:val="21"/>
                    </w:rPr>
                    <w:instrText xml:space="preserve"> = 3 \* ROMAN </w:instrText>
                  </w:r>
                  <w:r>
                    <w:rPr>
                      <w:b/>
                      <w:bCs/>
                      <w:szCs w:val="21"/>
                    </w:rPr>
                    <w:fldChar w:fldCharType="separate"/>
                  </w:r>
                  <w:r>
                    <w:rPr>
                      <w:b/>
                      <w:bCs/>
                      <w:szCs w:val="21"/>
                    </w:rPr>
                    <w:t>III</w:t>
                  </w:r>
                  <w:r>
                    <w:rPr>
                      <w:b/>
                      <w:bCs/>
                      <w:szCs w:val="21"/>
                    </w:rPr>
                    <w:fldChar w:fldCharType="end"/>
                  </w:r>
                </w:p>
              </w:tc>
              <w:tc>
                <w:tcPr>
                  <w:tcW w:w="904" w:type="pct"/>
                  <w:vAlign w:val="center"/>
                </w:tcPr>
                <w:p w14:paraId="15DFC207">
                  <w:pPr>
                    <w:adjustRightInd w:val="0"/>
                    <w:snapToGrid w:val="0"/>
                    <w:jc w:val="center"/>
                    <w:rPr>
                      <w:b/>
                      <w:bCs/>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p>
              </w:tc>
              <w:tc>
                <w:tcPr>
                  <w:tcW w:w="1129" w:type="pct"/>
                  <w:vAlign w:val="center"/>
                </w:tcPr>
                <w:p w14:paraId="6FFCC497">
                  <w:pPr>
                    <w:adjustRightInd w:val="0"/>
                    <w:snapToGrid w:val="0"/>
                    <w:jc w:val="center"/>
                    <w:rPr>
                      <w:b/>
                      <w:bCs/>
                      <w:szCs w:val="21"/>
                    </w:rPr>
                  </w:pPr>
                  <w:r>
                    <w:rPr>
                      <w:b/>
                      <w:bCs/>
                      <w:szCs w:val="21"/>
                    </w:rPr>
                    <w:fldChar w:fldCharType="begin"/>
                  </w:r>
                  <w:r>
                    <w:rPr>
                      <w:b/>
                      <w:bCs/>
                      <w:szCs w:val="21"/>
                    </w:rPr>
                    <w:instrText xml:space="preserve"> = 1 \* ROMAN </w:instrText>
                  </w:r>
                  <w:r>
                    <w:rPr>
                      <w:b/>
                      <w:bCs/>
                      <w:szCs w:val="21"/>
                    </w:rPr>
                    <w:fldChar w:fldCharType="separate"/>
                  </w:r>
                  <w:r>
                    <w:rPr>
                      <w:b/>
                      <w:bCs/>
                      <w:szCs w:val="21"/>
                    </w:rPr>
                    <w:t>I</w:t>
                  </w:r>
                  <w:r>
                    <w:rPr>
                      <w:b/>
                      <w:bCs/>
                      <w:szCs w:val="21"/>
                    </w:rPr>
                    <w:fldChar w:fldCharType="end"/>
                  </w:r>
                </w:p>
              </w:tc>
            </w:tr>
            <w:tr w14:paraId="523767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84" w:type="pct"/>
                  <w:vAlign w:val="center"/>
                </w:tcPr>
                <w:p w14:paraId="38467A67">
                  <w:pPr>
                    <w:adjustRightInd w:val="0"/>
                    <w:snapToGrid w:val="0"/>
                    <w:jc w:val="center"/>
                    <w:rPr>
                      <w:szCs w:val="21"/>
                    </w:rPr>
                  </w:pPr>
                  <w:r>
                    <w:rPr>
                      <w:szCs w:val="21"/>
                    </w:rPr>
                    <w:t>评价工作等级</w:t>
                  </w:r>
                </w:p>
              </w:tc>
              <w:tc>
                <w:tcPr>
                  <w:tcW w:w="866" w:type="pct"/>
                  <w:vAlign w:val="center"/>
                </w:tcPr>
                <w:p w14:paraId="243155C1">
                  <w:pPr>
                    <w:adjustRightInd w:val="0"/>
                    <w:snapToGrid w:val="0"/>
                    <w:jc w:val="center"/>
                    <w:rPr>
                      <w:szCs w:val="21"/>
                    </w:rPr>
                  </w:pPr>
                  <w:r>
                    <w:rPr>
                      <w:szCs w:val="21"/>
                    </w:rPr>
                    <w:t>一</w:t>
                  </w:r>
                </w:p>
              </w:tc>
              <w:tc>
                <w:tcPr>
                  <w:tcW w:w="1017" w:type="pct"/>
                  <w:vAlign w:val="center"/>
                </w:tcPr>
                <w:p w14:paraId="4F427CFC">
                  <w:pPr>
                    <w:adjustRightInd w:val="0"/>
                    <w:snapToGrid w:val="0"/>
                    <w:jc w:val="center"/>
                    <w:rPr>
                      <w:szCs w:val="21"/>
                    </w:rPr>
                  </w:pPr>
                  <w:r>
                    <w:rPr>
                      <w:szCs w:val="21"/>
                    </w:rPr>
                    <w:t>二</w:t>
                  </w:r>
                </w:p>
              </w:tc>
              <w:tc>
                <w:tcPr>
                  <w:tcW w:w="904" w:type="pct"/>
                  <w:vAlign w:val="center"/>
                </w:tcPr>
                <w:p w14:paraId="4F3DF85C">
                  <w:pPr>
                    <w:adjustRightInd w:val="0"/>
                    <w:snapToGrid w:val="0"/>
                    <w:jc w:val="center"/>
                    <w:rPr>
                      <w:szCs w:val="21"/>
                    </w:rPr>
                  </w:pPr>
                  <w:r>
                    <w:rPr>
                      <w:szCs w:val="21"/>
                    </w:rPr>
                    <w:t>三</w:t>
                  </w:r>
                </w:p>
              </w:tc>
              <w:tc>
                <w:tcPr>
                  <w:tcW w:w="1129" w:type="pct"/>
                  <w:shd w:val="clear" w:color="auto" w:fill="D9D9D9"/>
                  <w:vAlign w:val="center"/>
                </w:tcPr>
                <w:p w14:paraId="0B879479">
                  <w:pPr>
                    <w:adjustRightInd w:val="0"/>
                    <w:snapToGrid w:val="0"/>
                    <w:jc w:val="center"/>
                    <w:rPr>
                      <w:szCs w:val="21"/>
                    </w:rPr>
                  </w:pPr>
                  <w:r>
                    <w:rPr>
                      <w:szCs w:val="21"/>
                    </w:rPr>
                    <w:t>简单分析</w:t>
                  </w:r>
                  <w:r>
                    <w:rPr>
                      <w:szCs w:val="21"/>
                      <w:vertAlign w:val="superscript"/>
                    </w:rPr>
                    <w:t>a</w:t>
                  </w:r>
                </w:p>
              </w:tc>
            </w:tr>
          </w:tbl>
          <w:p w14:paraId="3BA24B5C">
            <w:pPr>
              <w:spacing w:line="360" w:lineRule="auto"/>
              <w:ind w:firstLine="482" w:firstLineChars="200"/>
              <w:rPr>
                <w:b/>
                <w:sz w:val="24"/>
              </w:rPr>
            </w:pPr>
            <w:r>
              <w:rPr>
                <w:rFonts w:hint="eastAsia"/>
                <w:b/>
                <w:sz w:val="24"/>
              </w:rPr>
              <w:t>2、环境敏感目标概况</w:t>
            </w:r>
          </w:p>
          <w:p w14:paraId="13D485B6">
            <w:pPr>
              <w:spacing w:line="360" w:lineRule="auto"/>
              <w:ind w:firstLine="480" w:firstLineChars="200"/>
              <w:rPr>
                <w:sz w:val="24"/>
              </w:rPr>
            </w:pPr>
            <w:r>
              <w:rPr>
                <w:rFonts w:hint="eastAsia"/>
                <w:sz w:val="24"/>
              </w:rPr>
              <w:t>项目周围环境敏感点详见表3-3。</w:t>
            </w:r>
          </w:p>
          <w:p w14:paraId="181974C2">
            <w:pPr>
              <w:spacing w:line="360" w:lineRule="auto"/>
              <w:ind w:firstLine="482" w:firstLineChars="200"/>
              <w:rPr>
                <w:b/>
                <w:sz w:val="24"/>
              </w:rPr>
            </w:pPr>
            <w:r>
              <w:rPr>
                <w:rFonts w:hint="eastAsia"/>
                <w:b/>
                <w:sz w:val="24"/>
              </w:rPr>
              <w:t>3、环境风险识别</w:t>
            </w:r>
          </w:p>
          <w:p w14:paraId="12E180E6">
            <w:pPr>
              <w:spacing w:line="360" w:lineRule="auto"/>
              <w:ind w:firstLine="480" w:firstLineChars="200"/>
              <w:rPr>
                <w:sz w:val="24"/>
              </w:rPr>
            </w:pPr>
            <w:r>
              <w:rPr>
                <w:rFonts w:hint="eastAsia"/>
                <w:sz w:val="24"/>
              </w:rPr>
              <w:t>废润滑油采用桶装暂存于厂区内危险废物暂存间内，四周设约10cm高的围堰，地面进行防渗，废润滑油泄漏时可全部被截留在危险废物暂存间内，不会泄漏至车间外，不会对周边水体及土壤环境造成影响。</w:t>
            </w:r>
          </w:p>
          <w:p w14:paraId="2B7A5180">
            <w:pPr>
              <w:spacing w:line="360" w:lineRule="auto"/>
              <w:ind w:firstLine="480" w:firstLineChars="200"/>
              <w:rPr>
                <w:sz w:val="24"/>
              </w:rPr>
            </w:pPr>
            <w:r>
              <w:rPr>
                <w:rFonts w:hint="eastAsia"/>
                <w:sz w:val="24"/>
              </w:rPr>
              <w:t>同时泄漏的废润滑油若遇明火就会产生火灾爆炸引发次生环境污染事故，产生洗消废水和火灾烟气，洗消废水未能妥善收集，随地表径流进入周边地表水体中，污染地表水环境；火灾烟气中含有大量的颗粒物、一氧化碳等，污染厂区及周边大气环境。</w:t>
            </w:r>
          </w:p>
          <w:p w14:paraId="45473658">
            <w:pPr>
              <w:spacing w:line="360" w:lineRule="auto"/>
              <w:ind w:firstLine="482" w:firstLineChars="200"/>
              <w:rPr>
                <w:b/>
                <w:sz w:val="24"/>
              </w:rPr>
            </w:pPr>
            <w:r>
              <w:rPr>
                <w:rFonts w:hint="eastAsia"/>
                <w:b/>
                <w:sz w:val="24"/>
              </w:rPr>
              <w:t>4、环境风险防范措施及应急要求</w:t>
            </w:r>
          </w:p>
          <w:p w14:paraId="00207A8C">
            <w:pPr>
              <w:pStyle w:val="2"/>
              <w:spacing w:line="360" w:lineRule="auto"/>
              <w:ind w:firstLine="480" w:firstLineChars="200"/>
              <w:rPr>
                <w:rFonts w:ascii="Times New Roman" w:hAnsi="宋体" w:cs="Times New Roman"/>
                <w:b/>
                <w:color w:val="auto"/>
              </w:rPr>
            </w:pPr>
            <w:r>
              <w:rPr>
                <w:rFonts w:hint="eastAsia" w:ascii="Times New Roman" w:hAnsi="宋体" w:cs="Times New Roman"/>
                <w:color w:val="auto"/>
              </w:rPr>
              <w:t>由于建设项目具有潜在的风险事故危险性，因此本项目在运营中必须进行合理安排、严格执行国家的防火安全设计规范，严格安全生产制度，严格管理，提高操作人员的素质和水平，避免或减少事故的发生。</w:t>
            </w:r>
          </w:p>
          <w:p w14:paraId="3406C7EE">
            <w:pPr>
              <w:pStyle w:val="2"/>
              <w:spacing w:line="360" w:lineRule="auto"/>
              <w:ind w:firstLine="480" w:firstLineChars="200"/>
              <w:rPr>
                <w:rFonts w:ascii="Times New Roman" w:hAnsi="宋体" w:cs="Times New Roman"/>
                <w:color w:val="auto"/>
              </w:rPr>
            </w:pPr>
            <w:r>
              <w:rPr>
                <w:rFonts w:hint="eastAsia" w:ascii="Times New Roman" w:hAnsi="宋体" w:cs="Times New Roman"/>
                <w:color w:val="auto"/>
              </w:rPr>
              <w:t>（1）泄漏事故风险防范措施</w:t>
            </w:r>
          </w:p>
          <w:p w14:paraId="398D9E4C">
            <w:pPr>
              <w:pStyle w:val="2"/>
              <w:spacing w:line="360" w:lineRule="auto"/>
              <w:ind w:firstLine="480" w:firstLineChars="200"/>
              <w:rPr>
                <w:rFonts w:ascii="Times New Roman" w:hAnsi="宋体" w:cs="Times New Roman"/>
                <w:color w:val="auto"/>
              </w:rPr>
            </w:pPr>
            <w:r>
              <w:rPr>
                <w:rFonts w:hint="eastAsia" w:ascii="Times New Roman" w:hAnsi="宋体" w:cs="Times New Roman"/>
                <w:color w:val="auto"/>
              </w:rPr>
              <w:t>①废润滑油暂存区四周严禁高温明火靠近，暂存间地面采取防渗措施，周围设置导流沟、围堰，围堰内不允许有地漏。避免废润滑油泄漏后溢流至厂区内地面，污染周边环境。泄漏后，首先尽可能切断泄漏源，并对泄漏至围堰内的物料及时收集清运处置。</w:t>
            </w:r>
          </w:p>
          <w:p w14:paraId="3E0D0023">
            <w:pPr>
              <w:pStyle w:val="2"/>
              <w:spacing w:line="360" w:lineRule="auto"/>
              <w:ind w:firstLine="480" w:firstLineChars="200"/>
              <w:rPr>
                <w:rFonts w:ascii="Times New Roman" w:hAnsi="宋体" w:cs="Times New Roman"/>
                <w:color w:val="auto"/>
              </w:rPr>
            </w:pPr>
            <w:r>
              <w:rPr>
                <w:rFonts w:hint="eastAsia" w:ascii="Times New Roman" w:hAnsi="宋体" w:cs="Times New Roman"/>
                <w:color w:val="auto"/>
              </w:rPr>
              <w:t>②危险废物等的转移需按规范进行转移，转移过程中发生遗洒需及时清扫，清扫产生的废物需作为危险废物进行处置。</w:t>
            </w:r>
          </w:p>
          <w:p w14:paraId="3B1762F7">
            <w:pPr>
              <w:pStyle w:val="2"/>
              <w:spacing w:line="360" w:lineRule="auto"/>
              <w:ind w:firstLine="480" w:firstLineChars="200"/>
              <w:rPr>
                <w:rFonts w:ascii="Times New Roman" w:hAnsi="宋体" w:cs="Times New Roman"/>
                <w:color w:val="auto"/>
              </w:rPr>
            </w:pPr>
            <w:r>
              <w:rPr>
                <w:rFonts w:hint="eastAsia" w:ascii="Times New Roman" w:hAnsi="宋体" w:cs="Times New Roman"/>
                <w:color w:val="auto"/>
              </w:rPr>
              <w:t>③危险废物暂存间需做好六防措施。</w:t>
            </w:r>
          </w:p>
          <w:p w14:paraId="524B3936">
            <w:pPr>
              <w:pStyle w:val="2"/>
              <w:spacing w:line="360" w:lineRule="auto"/>
              <w:ind w:firstLine="480" w:firstLineChars="200"/>
              <w:jc w:val="both"/>
              <w:rPr>
                <w:rFonts w:ascii="Times New Roman" w:cs="Times New Roman"/>
                <w:color w:val="auto"/>
              </w:rPr>
            </w:pPr>
            <w:r>
              <w:rPr>
                <w:rFonts w:ascii="Times New Roman" w:hAnsi="宋体" w:cs="Times New Roman"/>
                <w:color w:val="auto"/>
              </w:rPr>
              <w:t>（</w:t>
            </w:r>
            <w:r>
              <w:rPr>
                <w:rFonts w:ascii="Times New Roman" w:cs="Times New Roman"/>
                <w:color w:val="auto"/>
              </w:rPr>
              <w:t>2</w:t>
            </w:r>
            <w:r>
              <w:rPr>
                <w:rFonts w:ascii="Times New Roman" w:hAnsi="宋体" w:cs="Times New Roman"/>
                <w:color w:val="auto"/>
              </w:rPr>
              <w:t>）</w:t>
            </w:r>
            <w:r>
              <w:rPr>
                <w:rFonts w:hint="eastAsia" w:ascii="Times New Roman" w:hAnsi="宋体" w:cs="Times New Roman"/>
                <w:color w:val="auto"/>
              </w:rPr>
              <w:t>废气治理设施管理措施</w:t>
            </w:r>
          </w:p>
          <w:p w14:paraId="41E8DC89">
            <w:pPr>
              <w:pStyle w:val="2"/>
              <w:spacing w:line="360" w:lineRule="auto"/>
              <w:ind w:firstLine="480" w:firstLineChars="200"/>
              <w:rPr>
                <w:rFonts w:hAnsi="宋体"/>
                <w:color w:val="auto"/>
              </w:rPr>
            </w:pPr>
            <w:r>
              <w:rPr>
                <w:rFonts w:hint="eastAsia"/>
                <w:color w:val="auto"/>
              </w:rPr>
              <w:t>安排专人负责除尘器运行管理，并对除尘处理设备定期进行检修，保证设备正常运行，避免废气事故外排</w:t>
            </w:r>
            <w:r>
              <w:rPr>
                <w:rFonts w:hint="eastAsia" w:hAnsi="宋体"/>
                <w:color w:val="auto"/>
              </w:rPr>
              <w:t>。</w:t>
            </w:r>
          </w:p>
          <w:p w14:paraId="31E9A5F8">
            <w:pPr>
              <w:autoSpaceDE w:val="0"/>
              <w:autoSpaceDN w:val="0"/>
              <w:adjustRightInd w:val="0"/>
              <w:spacing w:line="360" w:lineRule="auto"/>
              <w:ind w:firstLine="480" w:firstLineChars="200"/>
              <w:rPr>
                <w:sz w:val="24"/>
              </w:rPr>
            </w:pPr>
            <w:r>
              <w:rPr>
                <w:rFonts w:hint="eastAsia"/>
                <w:sz w:val="24"/>
              </w:rPr>
              <w:t>（3）应急处置措施</w:t>
            </w:r>
          </w:p>
          <w:p w14:paraId="4A5172F0">
            <w:pPr>
              <w:autoSpaceDE w:val="0"/>
              <w:autoSpaceDN w:val="0"/>
              <w:adjustRightInd w:val="0"/>
              <w:spacing w:line="360" w:lineRule="auto"/>
              <w:ind w:firstLine="480" w:firstLineChars="200"/>
              <w:rPr>
                <w:sz w:val="24"/>
              </w:rPr>
            </w:pPr>
            <w:r>
              <w:rPr>
                <w:rFonts w:hint="eastAsia"/>
                <w:sz w:val="24"/>
              </w:rPr>
              <w:t>当发生火灾时，应及时使用灭火装置对着火点进行灭火，并清除厂房内易燃物品，并第一时间拨打火警电话，火势过大时应撤离避免人员伤亡。</w:t>
            </w:r>
          </w:p>
          <w:p w14:paraId="03A47725">
            <w:pPr>
              <w:autoSpaceDE w:val="0"/>
              <w:autoSpaceDN w:val="0"/>
              <w:adjustRightInd w:val="0"/>
              <w:spacing w:line="360" w:lineRule="auto"/>
              <w:ind w:firstLine="482" w:firstLineChars="200"/>
              <w:rPr>
                <w:b/>
                <w:kern w:val="0"/>
                <w:sz w:val="24"/>
              </w:rPr>
            </w:pPr>
            <w:r>
              <w:rPr>
                <w:rFonts w:hint="eastAsia"/>
                <w:b/>
                <w:sz w:val="24"/>
              </w:rPr>
              <w:t>5、</w:t>
            </w:r>
            <w:r>
              <w:rPr>
                <w:rFonts w:hint="eastAsia"/>
                <w:b/>
                <w:kern w:val="0"/>
                <w:sz w:val="24"/>
              </w:rPr>
              <w:t>环境风险分析结论</w:t>
            </w:r>
          </w:p>
          <w:p w14:paraId="0B1D3FB6">
            <w:pPr>
              <w:adjustRightInd w:val="0"/>
              <w:snapToGrid w:val="0"/>
              <w:spacing w:line="360" w:lineRule="auto"/>
              <w:ind w:firstLine="480" w:firstLineChars="200"/>
              <w:rPr>
                <w:kern w:val="0"/>
                <w:sz w:val="24"/>
              </w:rPr>
            </w:pPr>
            <w:r>
              <w:rPr>
                <w:sz w:val="24"/>
              </w:rPr>
              <w:t>根据本项目特征及同类项目类比调查，项目环境风险事故</w:t>
            </w:r>
            <w:r>
              <w:rPr>
                <w:rFonts w:hint="eastAsia"/>
                <w:sz w:val="24"/>
              </w:rPr>
              <w:t>发生概率</w:t>
            </w:r>
            <w:r>
              <w:rPr>
                <w:sz w:val="24"/>
              </w:rPr>
              <w:t>较小，环境风险在可接受范围内。建设单位若能严格执行国家有关环保、安全、卫生和劳动方面的标准规定，严格履行环保</w:t>
            </w:r>
            <w:r>
              <w:rPr>
                <w:rFonts w:hint="eastAsia" w:ascii="宋体" w:hAnsi="宋体" w:cs="宋体"/>
                <w:sz w:val="24"/>
              </w:rPr>
              <w:t>“三同时”</w:t>
            </w:r>
            <w:r>
              <w:rPr>
                <w:sz w:val="24"/>
              </w:rPr>
              <w:t>制度，确保投产过程中环保设施正常运行，投产过程中加强环境和安全管理，做好每日的巡检工作和记录。在做好以上各项安全和环境风险防范措施的前提下，项目的环境风险将降低到可接受的程度</w:t>
            </w:r>
            <w:r>
              <w:rPr>
                <w:rFonts w:hint="eastAsia"/>
                <w:kern w:val="0"/>
                <w:sz w:val="24"/>
              </w:rPr>
              <w:t>。</w:t>
            </w:r>
          </w:p>
          <w:p w14:paraId="3B198CFF">
            <w:pPr>
              <w:pStyle w:val="114"/>
              <w:spacing w:before="120" w:line="240" w:lineRule="auto"/>
            </w:pPr>
            <w:r>
              <w:rPr>
                <w:rFonts w:hint="eastAsia"/>
              </w:rPr>
              <w:t>表4-17  建设项目环境风险简单分析内容表</w:t>
            </w:r>
          </w:p>
          <w:tbl>
            <w:tblPr>
              <w:tblStyle w:val="3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028"/>
              <w:gridCol w:w="1398"/>
              <w:gridCol w:w="1630"/>
              <w:gridCol w:w="1328"/>
              <w:gridCol w:w="2037"/>
            </w:tblGrid>
            <w:tr w14:paraId="4D83CA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21A5C4CF">
                  <w:pPr>
                    <w:pStyle w:val="113"/>
                  </w:pPr>
                  <w:r>
                    <w:rPr>
                      <w:rFonts w:hAnsi="宋体" w:eastAsia="宋体"/>
                    </w:rPr>
                    <w:t>建设项目名称</w:t>
                  </w:r>
                </w:p>
              </w:tc>
              <w:tc>
                <w:tcPr>
                  <w:tcW w:w="3392" w:type="pct"/>
                  <w:gridSpan w:val="4"/>
                  <w:vAlign w:val="center"/>
                </w:tcPr>
                <w:p w14:paraId="4716BA38">
                  <w:pPr>
                    <w:pStyle w:val="113"/>
                    <w:rPr>
                      <w:rFonts w:eastAsia="宋体"/>
                    </w:rPr>
                  </w:pPr>
                  <w:r>
                    <w:rPr>
                      <w:rFonts w:hint="eastAsia" w:eastAsia="宋体"/>
                    </w:rPr>
                    <w:t>衡阳岳峰新材料有限公司年加工4万吨硫酸钡粉体材料建设项目</w:t>
                  </w:r>
                </w:p>
              </w:tc>
            </w:tr>
            <w:tr w14:paraId="45C3F5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45D6500D">
                  <w:pPr>
                    <w:pStyle w:val="113"/>
                  </w:pPr>
                  <w:r>
                    <w:rPr>
                      <w:rFonts w:hAnsi="宋体" w:eastAsia="宋体"/>
                    </w:rPr>
                    <w:t>建设地点</w:t>
                  </w:r>
                </w:p>
              </w:tc>
              <w:tc>
                <w:tcPr>
                  <w:tcW w:w="742" w:type="pct"/>
                  <w:vAlign w:val="center"/>
                </w:tcPr>
                <w:p w14:paraId="096E3078">
                  <w:pPr>
                    <w:pStyle w:val="113"/>
                  </w:pPr>
                  <w:r>
                    <w:rPr>
                      <w:rFonts w:hAnsi="宋体" w:eastAsia="宋体"/>
                    </w:rPr>
                    <w:t>（湖南）省</w:t>
                  </w:r>
                </w:p>
              </w:tc>
              <w:tc>
                <w:tcPr>
                  <w:tcW w:w="865" w:type="pct"/>
                  <w:vAlign w:val="center"/>
                </w:tcPr>
                <w:p w14:paraId="7F8C274F">
                  <w:pPr>
                    <w:pStyle w:val="113"/>
                  </w:pPr>
                  <w:r>
                    <w:rPr>
                      <w:rFonts w:hAnsi="宋体" w:eastAsia="宋体"/>
                    </w:rPr>
                    <w:t>（衡阳）市</w:t>
                  </w:r>
                </w:p>
              </w:tc>
              <w:tc>
                <w:tcPr>
                  <w:tcW w:w="705" w:type="pct"/>
                  <w:vAlign w:val="center"/>
                </w:tcPr>
                <w:p w14:paraId="73459060">
                  <w:pPr>
                    <w:pStyle w:val="113"/>
                  </w:pPr>
                  <w:r>
                    <w:rPr>
                      <w:rFonts w:hAnsi="宋体" w:eastAsia="宋体"/>
                    </w:rPr>
                    <w:t>（</w:t>
                  </w:r>
                  <w:r>
                    <w:rPr>
                      <w:rFonts w:hint="eastAsia" w:hAnsi="宋体" w:eastAsia="宋体"/>
                    </w:rPr>
                    <w:t>衡阳</w:t>
                  </w:r>
                  <w:r>
                    <w:rPr>
                      <w:rFonts w:hAnsi="宋体" w:eastAsia="宋体"/>
                    </w:rPr>
                    <w:t>）县</w:t>
                  </w:r>
                </w:p>
              </w:tc>
              <w:tc>
                <w:tcPr>
                  <w:tcW w:w="1078" w:type="pct"/>
                  <w:vAlign w:val="center"/>
                </w:tcPr>
                <w:p w14:paraId="54D8C6B6">
                  <w:pPr>
                    <w:pStyle w:val="113"/>
                  </w:pPr>
                  <w:r>
                    <w:rPr>
                      <w:rFonts w:hint="eastAsia" w:hAnsi="宋体" w:eastAsia="宋体"/>
                    </w:rPr>
                    <w:t>大勇村</w:t>
                  </w:r>
                </w:p>
              </w:tc>
            </w:tr>
            <w:tr w14:paraId="37D0E8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1C4EE08F">
                  <w:pPr>
                    <w:pStyle w:val="113"/>
                  </w:pPr>
                  <w:r>
                    <w:rPr>
                      <w:rFonts w:hAnsi="宋体" w:eastAsia="宋体"/>
                    </w:rPr>
                    <w:t>地理坐标</w:t>
                  </w:r>
                </w:p>
              </w:tc>
              <w:tc>
                <w:tcPr>
                  <w:tcW w:w="742" w:type="pct"/>
                  <w:vAlign w:val="center"/>
                </w:tcPr>
                <w:p w14:paraId="20AE4A90">
                  <w:pPr>
                    <w:pStyle w:val="113"/>
                  </w:pPr>
                  <w:r>
                    <w:rPr>
                      <w:rFonts w:hAnsi="宋体" w:eastAsia="宋体"/>
                    </w:rPr>
                    <w:t>经度</w:t>
                  </w:r>
                </w:p>
              </w:tc>
              <w:tc>
                <w:tcPr>
                  <w:tcW w:w="865" w:type="pct"/>
                  <w:vAlign w:val="center"/>
                </w:tcPr>
                <w:p w14:paraId="5DDA0F56">
                  <w:pPr>
                    <w:pStyle w:val="113"/>
                  </w:pPr>
                  <w:r>
                    <w:t xml:space="preserve">E </w:t>
                  </w:r>
                  <w:r>
                    <w:rPr>
                      <w:rFonts w:hint="eastAsia"/>
                    </w:rPr>
                    <w:t>112.</w:t>
                  </w:r>
                  <w:r>
                    <w:rPr>
                      <w:rFonts w:hint="eastAsia" w:eastAsiaTheme="minorEastAsia"/>
                    </w:rPr>
                    <w:t>449505</w:t>
                  </w:r>
                  <w:r>
                    <w:t>°</w:t>
                  </w:r>
                </w:p>
              </w:tc>
              <w:tc>
                <w:tcPr>
                  <w:tcW w:w="705" w:type="pct"/>
                  <w:vAlign w:val="center"/>
                </w:tcPr>
                <w:p w14:paraId="5CC19AEA">
                  <w:pPr>
                    <w:pStyle w:val="113"/>
                  </w:pPr>
                  <w:r>
                    <w:rPr>
                      <w:rFonts w:hAnsi="宋体" w:eastAsia="宋体"/>
                    </w:rPr>
                    <w:t>纬度</w:t>
                  </w:r>
                </w:p>
              </w:tc>
              <w:tc>
                <w:tcPr>
                  <w:tcW w:w="1078" w:type="pct"/>
                  <w:vAlign w:val="center"/>
                </w:tcPr>
                <w:p w14:paraId="1CC0E463">
                  <w:pPr>
                    <w:pStyle w:val="113"/>
                  </w:pPr>
                  <w:r>
                    <w:t xml:space="preserve">N </w:t>
                  </w:r>
                  <w:r>
                    <w:rPr>
                      <w:rFonts w:hint="eastAsia"/>
                    </w:rPr>
                    <w:t>2</w:t>
                  </w:r>
                  <w:r>
                    <w:rPr>
                      <w:rFonts w:hint="eastAsia" w:eastAsiaTheme="minorEastAsia"/>
                    </w:rPr>
                    <w:t>6.944500</w:t>
                  </w:r>
                  <w:r>
                    <w:t>°</w:t>
                  </w:r>
                </w:p>
              </w:tc>
            </w:tr>
            <w:tr w14:paraId="7A8A9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09F5AC47">
                  <w:pPr>
                    <w:pStyle w:val="113"/>
                  </w:pPr>
                  <w:r>
                    <w:rPr>
                      <w:rFonts w:hAnsi="宋体" w:eastAsia="宋体"/>
                    </w:rPr>
                    <w:t>主要危险物质及分布</w:t>
                  </w:r>
                </w:p>
              </w:tc>
              <w:tc>
                <w:tcPr>
                  <w:tcW w:w="3392" w:type="pct"/>
                  <w:gridSpan w:val="4"/>
                  <w:vAlign w:val="center"/>
                </w:tcPr>
                <w:p w14:paraId="050CBA4F">
                  <w:pPr>
                    <w:pStyle w:val="113"/>
                    <w:jc w:val="both"/>
                    <w:rPr>
                      <w:rFonts w:eastAsia="宋体"/>
                    </w:rPr>
                  </w:pPr>
                  <w:r>
                    <w:rPr>
                      <w:rFonts w:hint="eastAsia" w:eastAsia="宋体"/>
                    </w:rPr>
                    <w:t>危废暂存间</w:t>
                  </w:r>
                  <w:r>
                    <w:rPr>
                      <w:rFonts w:eastAsia="宋体"/>
                    </w:rPr>
                    <w:t>。</w:t>
                  </w:r>
                </w:p>
              </w:tc>
            </w:tr>
            <w:tr w14:paraId="05F5DE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047859B0">
                  <w:pPr>
                    <w:pStyle w:val="113"/>
                  </w:pPr>
                  <w:r>
                    <w:rPr>
                      <w:rFonts w:hAnsi="宋体" w:eastAsia="宋体"/>
                    </w:rPr>
                    <w:t>环境影响途径及危害后果（大气、地表水、地下水等）</w:t>
                  </w:r>
                </w:p>
              </w:tc>
              <w:tc>
                <w:tcPr>
                  <w:tcW w:w="3392" w:type="pct"/>
                  <w:gridSpan w:val="4"/>
                  <w:vAlign w:val="center"/>
                </w:tcPr>
                <w:p w14:paraId="3263A436">
                  <w:pPr>
                    <w:pStyle w:val="113"/>
                    <w:jc w:val="both"/>
                  </w:pPr>
                  <w:r>
                    <w:rPr>
                      <w:rFonts w:hint="eastAsia" w:hAnsi="宋体" w:eastAsia="宋体"/>
                    </w:rPr>
                    <w:t>详见“环境风险识别”</w:t>
                  </w:r>
                  <w:r>
                    <w:rPr>
                      <w:rFonts w:hAnsi="宋体" w:eastAsia="宋体"/>
                    </w:rPr>
                    <w:t>。</w:t>
                  </w:r>
                </w:p>
              </w:tc>
            </w:tr>
            <w:tr w14:paraId="59C03C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7" w:type="pct"/>
                  <w:vAlign w:val="center"/>
                </w:tcPr>
                <w:p w14:paraId="4498DD32">
                  <w:pPr>
                    <w:pStyle w:val="113"/>
                  </w:pPr>
                  <w:r>
                    <w:rPr>
                      <w:rFonts w:eastAsia="宋体"/>
                    </w:rPr>
                    <w:t>环境风险防范措施要求</w:t>
                  </w:r>
                </w:p>
              </w:tc>
              <w:tc>
                <w:tcPr>
                  <w:tcW w:w="3392" w:type="pct"/>
                  <w:gridSpan w:val="4"/>
                  <w:vAlign w:val="center"/>
                </w:tcPr>
                <w:p w14:paraId="3BD32866">
                  <w:pPr>
                    <w:pStyle w:val="113"/>
                    <w:jc w:val="both"/>
                    <w:rPr>
                      <w:rFonts w:eastAsia="等线"/>
                    </w:rPr>
                  </w:pPr>
                  <w:r>
                    <w:rPr>
                      <w:rFonts w:hint="eastAsia" w:hAnsi="宋体" w:eastAsia="宋体"/>
                    </w:rPr>
                    <w:t>详见“环境风险防范措施及应急要求”。</w:t>
                  </w:r>
                </w:p>
              </w:tc>
            </w:tr>
            <w:tr w14:paraId="1B9A75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vAlign w:val="center"/>
                </w:tcPr>
                <w:p w14:paraId="235D1AB3">
                  <w:pPr>
                    <w:pStyle w:val="113"/>
                    <w:jc w:val="both"/>
                  </w:pPr>
                  <w:r>
                    <w:rPr>
                      <w:rFonts w:hAnsi="宋体" w:eastAsia="宋体"/>
                    </w:rPr>
                    <w:t>填表说明（列出项目相关信息及评价说明）：</w:t>
                  </w:r>
                </w:p>
                <w:p w14:paraId="65D085F8">
                  <w:pPr>
                    <w:pStyle w:val="113"/>
                    <w:jc w:val="both"/>
                  </w:pPr>
                  <w:r>
                    <w:rPr>
                      <w:rFonts w:hAnsi="宋体" w:eastAsia="宋体"/>
                    </w:rPr>
                    <w:t>本项目经风险调查、风险潜势初判，确定项目风险潜势为</w:t>
                  </w:r>
                  <w:r>
                    <w:rPr>
                      <w:rFonts w:eastAsia="宋体"/>
                    </w:rPr>
                    <w:t>Ⅰ</w:t>
                  </w:r>
                  <w:r>
                    <w:rPr>
                      <w:rFonts w:hAnsi="宋体" w:eastAsia="宋体"/>
                    </w:rPr>
                    <w:t>，仅对项目进行简单分析</w:t>
                  </w:r>
                </w:p>
              </w:tc>
            </w:tr>
          </w:tbl>
          <w:p w14:paraId="7E54BD1B"/>
          <w:p w14:paraId="3A9AEAC5">
            <w:pPr>
              <w:pStyle w:val="2"/>
              <w:rPr>
                <w:color w:val="auto"/>
              </w:rPr>
            </w:pPr>
          </w:p>
          <w:p w14:paraId="6DED844F">
            <w:pPr>
              <w:pStyle w:val="4"/>
            </w:pPr>
          </w:p>
          <w:p w14:paraId="0BBC9EC3"/>
          <w:p w14:paraId="20C9A9C3">
            <w:pPr>
              <w:pStyle w:val="2"/>
              <w:rPr>
                <w:color w:val="auto"/>
              </w:rPr>
            </w:pPr>
          </w:p>
          <w:p w14:paraId="1A84AD79">
            <w:pPr>
              <w:pStyle w:val="4"/>
            </w:pPr>
          </w:p>
          <w:p w14:paraId="1670D9A2"/>
          <w:p w14:paraId="35B0A069">
            <w:pPr>
              <w:pStyle w:val="2"/>
              <w:rPr>
                <w:color w:val="auto"/>
              </w:rPr>
            </w:pPr>
          </w:p>
          <w:p w14:paraId="5B01AE88">
            <w:pPr>
              <w:pStyle w:val="4"/>
            </w:pPr>
          </w:p>
          <w:p w14:paraId="6ECAB991"/>
          <w:p w14:paraId="420C0DA0">
            <w:pPr>
              <w:pStyle w:val="2"/>
            </w:pPr>
          </w:p>
          <w:p w14:paraId="71D2C5C5">
            <w:pPr>
              <w:pStyle w:val="4"/>
            </w:pPr>
          </w:p>
          <w:p w14:paraId="3D7E5A87"/>
          <w:p w14:paraId="4E9071C5">
            <w:pPr>
              <w:pStyle w:val="2"/>
            </w:pPr>
          </w:p>
          <w:p w14:paraId="1A1DAB1B">
            <w:pPr>
              <w:pStyle w:val="4"/>
            </w:pPr>
          </w:p>
          <w:p w14:paraId="4989C01F"/>
          <w:p w14:paraId="117DDE80">
            <w:pPr>
              <w:pStyle w:val="2"/>
            </w:pPr>
          </w:p>
          <w:p w14:paraId="01C5536E">
            <w:pPr>
              <w:pStyle w:val="4"/>
            </w:pPr>
          </w:p>
          <w:p w14:paraId="23138EAF"/>
          <w:p w14:paraId="0241A878">
            <w:pPr>
              <w:pStyle w:val="2"/>
            </w:pPr>
          </w:p>
          <w:p w14:paraId="48B213D1">
            <w:pPr>
              <w:pStyle w:val="4"/>
            </w:pPr>
          </w:p>
          <w:p w14:paraId="65B431B2"/>
          <w:p w14:paraId="01A3BFF9">
            <w:pPr>
              <w:pStyle w:val="2"/>
            </w:pPr>
          </w:p>
          <w:p w14:paraId="437C9757">
            <w:pPr>
              <w:pStyle w:val="4"/>
            </w:pPr>
          </w:p>
          <w:p w14:paraId="44C46D61"/>
          <w:p w14:paraId="7843767C">
            <w:pPr>
              <w:pStyle w:val="2"/>
            </w:pPr>
          </w:p>
          <w:p w14:paraId="60C0C00D">
            <w:pPr>
              <w:pStyle w:val="4"/>
            </w:pPr>
          </w:p>
          <w:p w14:paraId="5CC5FC2D"/>
          <w:p w14:paraId="53CE2020">
            <w:pPr>
              <w:pStyle w:val="2"/>
            </w:pPr>
          </w:p>
          <w:p w14:paraId="542C252F">
            <w:pPr>
              <w:pStyle w:val="2"/>
              <w:rPr>
                <w:color w:val="auto"/>
              </w:rPr>
            </w:pPr>
          </w:p>
        </w:tc>
      </w:tr>
    </w:tbl>
    <w:p w14:paraId="36895864">
      <w:pPr>
        <w:spacing w:before="120" w:beforeLines="50"/>
        <w:jc w:val="center"/>
        <w:rPr>
          <w:b/>
        </w:rPr>
        <w:sectPr>
          <w:pgSz w:w="11907" w:h="16840"/>
          <w:pgMar w:top="1701" w:right="1531" w:bottom="2126" w:left="1531" w:header="851" w:footer="851" w:gutter="0"/>
          <w:cols w:space="720" w:num="1"/>
          <w:docGrid w:linePitch="312" w:charSpace="0"/>
        </w:sectPr>
      </w:pPr>
    </w:p>
    <w:p w14:paraId="6F8FEB40">
      <w:pPr>
        <w:pStyle w:val="31"/>
        <w:jc w:val="center"/>
        <w:outlineLvl w:val="0"/>
        <w:rPr>
          <w:rFonts w:ascii="黑体" w:hAnsi="黑体" w:eastAsia="黑体"/>
          <w:snapToGrid w:val="0"/>
          <w:sz w:val="30"/>
          <w:szCs w:val="30"/>
        </w:rPr>
      </w:pPr>
      <w:bookmarkStart w:id="68" w:name="_Toc111712330"/>
      <w:r>
        <w:rPr>
          <w:rFonts w:hint="eastAsia" w:ascii="黑体" w:hAnsi="黑体" w:eastAsia="黑体"/>
          <w:snapToGrid w:val="0"/>
          <w:sz w:val="30"/>
          <w:szCs w:val="30"/>
        </w:rPr>
        <w:t>五、</w:t>
      </w:r>
      <w:bookmarkStart w:id="69" w:name="_Hlk54167917"/>
      <w:r>
        <w:rPr>
          <w:rFonts w:hint="eastAsia" w:ascii="黑体" w:hAnsi="黑体" w:eastAsia="黑体"/>
          <w:snapToGrid w:val="0"/>
          <w:sz w:val="30"/>
          <w:szCs w:val="30"/>
        </w:rPr>
        <w:t>环境保护措施监督检查清单</w:t>
      </w:r>
      <w:bookmarkEnd w:id="68"/>
      <w:bookmarkEnd w:id="69"/>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03"/>
        <w:gridCol w:w="1700"/>
        <w:gridCol w:w="1620"/>
        <w:gridCol w:w="2250"/>
        <w:gridCol w:w="3233"/>
      </w:tblGrid>
      <w:tr w14:paraId="12980D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tcBorders>
              <w:tl2br w:val="single" w:color="auto" w:sz="12" w:space="0"/>
            </w:tcBorders>
            <w:vAlign w:val="center"/>
          </w:tcPr>
          <w:p w14:paraId="4E2D76C6">
            <w:pPr>
              <w:adjustRightInd w:val="0"/>
              <w:snapToGrid w:val="0"/>
              <w:ind w:firstLine="422" w:firstLineChars="200"/>
              <w:rPr>
                <w:b/>
                <w:szCs w:val="21"/>
              </w:rPr>
            </w:pPr>
            <w:r>
              <w:rPr>
                <w:b/>
                <w:szCs w:val="21"/>
              </w:rPr>
              <w:t>内容</w:t>
            </w:r>
          </w:p>
          <w:p w14:paraId="2BFD39D2">
            <w:pPr>
              <w:adjustRightInd w:val="0"/>
              <w:snapToGrid w:val="0"/>
              <w:jc w:val="center"/>
              <w:rPr>
                <w:b/>
                <w:szCs w:val="21"/>
              </w:rPr>
            </w:pPr>
            <w:r>
              <w:rPr>
                <w:b/>
                <w:szCs w:val="21"/>
              </w:rPr>
              <w:t>要素</w:t>
            </w:r>
          </w:p>
        </w:tc>
        <w:tc>
          <w:tcPr>
            <w:tcW w:w="1700" w:type="dxa"/>
            <w:vAlign w:val="center"/>
          </w:tcPr>
          <w:p w14:paraId="2DCC5D63">
            <w:pPr>
              <w:adjustRightInd w:val="0"/>
              <w:snapToGrid w:val="0"/>
              <w:jc w:val="center"/>
              <w:rPr>
                <w:b/>
                <w:szCs w:val="21"/>
              </w:rPr>
            </w:pPr>
            <w:r>
              <w:rPr>
                <w:b/>
                <w:szCs w:val="21"/>
              </w:rPr>
              <w:t>排放口（编号、名称）/污染源</w:t>
            </w:r>
          </w:p>
        </w:tc>
        <w:tc>
          <w:tcPr>
            <w:tcW w:w="1620" w:type="dxa"/>
            <w:vAlign w:val="center"/>
          </w:tcPr>
          <w:p w14:paraId="718B7FC2">
            <w:pPr>
              <w:adjustRightInd w:val="0"/>
              <w:snapToGrid w:val="0"/>
              <w:jc w:val="center"/>
              <w:rPr>
                <w:b/>
                <w:szCs w:val="21"/>
              </w:rPr>
            </w:pPr>
            <w:r>
              <w:rPr>
                <w:b/>
                <w:szCs w:val="21"/>
              </w:rPr>
              <w:t>污染物项目</w:t>
            </w:r>
          </w:p>
        </w:tc>
        <w:tc>
          <w:tcPr>
            <w:tcW w:w="2250" w:type="dxa"/>
            <w:vAlign w:val="center"/>
          </w:tcPr>
          <w:p w14:paraId="18186635">
            <w:pPr>
              <w:adjustRightInd w:val="0"/>
              <w:snapToGrid w:val="0"/>
              <w:jc w:val="center"/>
              <w:rPr>
                <w:b/>
                <w:szCs w:val="21"/>
              </w:rPr>
            </w:pPr>
            <w:r>
              <w:rPr>
                <w:b/>
                <w:szCs w:val="21"/>
              </w:rPr>
              <w:t>环境保护措施</w:t>
            </w:r>
          </w:p>
        </w:tc>
        <w:tc>
          <w:tcPr>
            <w:tcW w:w="3233" w:type="dxa"/>
            <w:vAlign w:val="center"/>
          </w:tcPr>
          <w:p w14:paraId="763DEE64">
            <w:pPr>
              <w:adjustRightInd w:val="0"/>
              <w:snapToGrid w:val="0"/>
              <w:jc w:val="center"/>
              <w:rPr>
                <w:b/>
                <w:szCs w:val="21"/>
              </w:rPr>
            </w:pPr>
            <w:r>
              <w:rPr>
                <w:b/>
                <w:szCs w:val="21"/>
              </w:rPr>
              <w:t>执行标准</w:t>
            </w:r>
          </w:p>
        </w:tc>
      </w:tr>
      <w:tr w14:paraId="3C56DA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restart"/>
            <w:vAlign w:val="center"/>
          </w:tcPr>
          <w:p w14:paraId="72B4E04A">
            <w:pPr>
              <w:adjustRightInd w:val="0"/>
              <w:snapToGrid w:val="0"/>
              <w:jc w:val="center"/>
              <w:rPr>
                <w:b/>
                <w:szCs w:val="21"/>
              </w:rPr>
            </w:pPr>
            <w:r>
              <w:rPr>
                <w:b/>
                <w:szCs w:val="21"/>
              </w:rPr>
              <w:t>大气环境</w:t>
            </w:r>
          </w:p>
        </w:tc>
        <w:tc>
          <w:tcPr>
            <w:tcW w:w="1700" w:type="dxa"/>
            <w:vAlign w:val="center"/>
          </w:tcPr>
          <w:p w14:paraId="3A78D148">
            <w:pPr>
              <w:adjustRightInd w:val="0"/>
              <w:snapToGrid w:val="0"/>
              <w:jc w:val="center"/>
              <w:rPr>
                <w:rFonts w:ascii="宋体" w:hAnsi="宋体" w:cs="宋体"/>
                <w:szCs w:val="21"/>
                <w:u w:val="wave"/>
              </w:rPr>
            </w:pPr>
            <w:r>
              <w:rPr>
                <w:szCs w:val="21"/>
                <w:u w:val="wave"/>
              </w:rPr>
              <w:t>DA001/</w:t>
            </w:r>
            <w:r>
              <w:rPr>
                <w:rFonts w:hint="eastAsia"/>
                <w:szCs w:val="21"/>
                <w:u w:val="wave"/>
              </w:rPr>
              <w:t>磨粉粉尘</w:t>
            </w:r>
          </w:p>
        </w:tc>
        <w:tc>
          <w:tcPr>
            <w:tcW w:w="1620" w:type="dxa"/>
            <w:vAlign w:val="center"/>
          </w:tcPr>
          <w:p w14:paraId="6A5B5353">
            <w:pPr>
              <w:adjustRightInd w:val="0"/>
              <w:snapToGrid w:val="0"/>
              <w:jc w:val="center"/>
              <w:rPr>
                <w:szCs w:val="21"/>
                <w:u w:val="wave"/>
              </w:rPr>
            </w:pPr>
            <w:r>
              <w:rPr>
                <w:rFonts w:hint="eastAsia"/>
                <w:szCs w:val="21"/>
                <w:u w:val="wave"/>
              </w:rPr>
              <w:t>颗粒物</w:t>
            </w:r>
          </w:p>
        </w:tc>
        <w:tc>
          <w:tcPr>
            <w:tcW w:w="2250" w:type="dxa"/>
            <w:vAlign w:val="center"/>
          </w:tcPr>
          <w:p w14:paraId="2ED38F30">
            <w:pPr>
              <w:adjustRightInd w:val="0"/>
              <w:snapToGrid w:val="0"/>
              <w:jc w:val="center"/>
              <w:rPr>
                <w:rFonts w:ascii="宋体" w:hAnsi="宋体" w:cs="宋体"/>
                <w:szCs w:val="21"/>
                <w:u w:val="wave"/>
              </w:rPr>
            </w:pPr>
            <w:r>
              <w:rPr>
                <w:rFonts w:hint="eastAsia"/>
                <w:szCs w:val="21"/>
                <w:u w:val="wave"/>
              </w:rPr>
              <w:t>布袋除尘</w:t>
            </w:r>
            <w:r>
              <w:rPr>
                <w:szCs w:val="21"/>
                <w:u w:val="wave"/>
              </w:rPr>
              <w:t>+</w:t>
            </w:r>
            <w:r>
              <w:rPr>
                <w:rFonts w:hint="eastAsia"/>
                <w:szCs w:val="21"/>
                <w:u w:val="wave"/>
              </w:rPr>
              <w:t>15</w:t>
            </w:r>
            <w:r>
              <w:rPr>
                <w:szCs w:val="21"/>
                <w:u w:val="wave"/>
              </w:rPr>
              <w:t>m排气筒</w:t>
            </w:r>
          </w:p>
        </w:tc>
        <w:tc>
          <w:tcPr>
            <w:tcW w:w="3233" w:type="dxa"/>
            <w:vAlign w:val="center"/>
          </w:tcPr>
          <w:p w14:paraId="3D5B58AA">
            <w:pPr>
              <w:autoSpaceDE w:val="0"/>
              <w:autoSpaceDN w:val="0"/>
              <w:adjustRightInd w:val="0"/>
              <w:jc w:val="center"/>
              <w:rPr>
                <w:u w:val="wave"/>
              </w:rPr>
            </w:pPr>
            <w:r>
              <w:rPr>
                <w:rFonts w:hint="eastAsia"/>
                <w:u w:val="wave"/>
              </w:rPr>
              <w:t>《大气污染物综合排放标准》（GB16297-1996）表2</w:t>
            </w:r>
          </w:p>
        </w:tc>
      </w:tr>
      <w:tr w14:paraId="45F8FB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48752771">
            <w:pPr>
              <w:adjustRightInd w:val="0"/>
              <w:snapToGrid w:val="0"/>
              <w:jc w:val="center"/>
              <w:rPr>
                <w:b/>
                <w:szCs w:val="21"/>
              </w:rPr>
            </w:pPr>
          </w:p>
        </w:tc>
        <w:tc>
          <w:tcPr>
            <w:tcW w:w="1700" w:type="dxa"/>
            <w:vAlign w:val="center"/>
          </w:tcPr>
          <w:p w14:paraId="7369A5B8">
            <w:pPr>
              <w:adjustRightInd w:val="0"/>
              <w:snapToGrid w:val="0"/>
              <w:jc w:val="center"/>
              <w:rPr>
                <w:rFonts w:ascii="宋体" w:hAnsi="宋体" w:cs="宋体"/>
                <w:szCs w:val="21"/>
                <w:u w:val="wave"/>
              </w:rPr>
            </w:pPr>
            <w:r>
              <w:rPr>
                <w:rFonts w:hint="eastAsia"/>
                <w:szCs w:val="21"/>
                <w:u w:val="wave"/>
              </w:rPr>
              <w:t>原料装卸及风力扬尘</w:t>
            </w:r>
          </w:p>
        </w:tc>
        <w:tc>
          <w:tcPr>
            <w:tcW w:w="1620" w:type="dxa"/>
            <w:vAlign w:val="center"/>
          </w:tcPr>
          <w:p w14:paraId="394DE1F9">
            <w:pPr>
              <w:adjustRightInd w:val="0"/>
              <w:snapToGrid w:val="0"/>
              <w:jc w:val="center"/>
              <w:rPr>
                <w:szCs w:val="21"/>
                <w:u w:val="wave"/>
              </w:rPr>
            </w:pPr>
            <w:r>
              <w:rPr>
                <w:szCs w:val="21"/>
                <w:u w:val="wave"/>
              </w:rPr>
              <w:t>颗粒物</w:t>
            </w:r>
          </w:p>
        </w:tc>
        <w:tc>
          <w:tcPr>
            <w:tcW w:w="2250" w:type="dxa"/>
            <w:vAlign w:val="center"/>
          </w:tcPr>
          <w:p w14:paraId="6424BC13">
            <w:pPr>
              <w:pStyle w:val="129"/>
              <w:spacing w:before="0" w:after="0"/>
              <w:jc w:val="center"/>
              <w:rPr>
                <w:rFonts w:hAnsi="宋体"/>
                <w:color w:val="auto"/>
                <w:szCs w:val="21"/>
                <w:u w:val="wave"/>
              </w:rPr>
            </w:pPr>
            <w:r>
              <w:rPr>
                <w:rFonts w:ascii="Times New Roman" w:cs="Times New Roman"/>
                <w:color w:val="auto"/>
                <w:sz w:val="21"/>
                <w:szCs w:val="21"/>
                <w:u w:val="wave"/>
              </w:rPr>
              <w:t>密闭</w:t>
            </w:r>
            <w:r>
              <w:rPr>
                <w:rFonts w:hint="eastAsia" w:ascii="Times New Roman" w:cs="Times New Roman"/>
                <w:color w:val="auto"/>
                <w:sz w:val="21"/>
                <w:szCs w:val="21"/>
                <w:u w:val="wave"/>
              </w:rPr>
              <w:t>厂房</w:t>
            </w:r>
            <w:r>
              <w:rPr>
                <w:rFonts w:ascii="Times New Roman" w:cs="Times New Roman"/>
                <w:color w:val="auto"/>
                <w:sz w:val="21"/>
                <w:szCs w:val="21"/>
                <w:u w:val="wave"/>
              </w:rPr>
              <w:t>+喷雾抑尘</w:t>
            </w:r>
          </w:p>
        </w:tc>
        <w:tc>
          <w:tcPr>
            <w:tcW w:w="3233" w:type="dxa"/>
            <w:vMerge w:val="restart"/>
            <w:vAlign w:val="center"/>
          </w:tcPr>
          <w:p w14:paraId="67141057">
            <w:pPr>
              <w:autoSpaceDE w:val="0"/>
              <w:autoSpaceDN w:val="0"/>
              <w:adjustRightInd w:val="0"/>
              <w:jc w:val="center"/>
              <w:rPr>
                <w:szCs w:val="21"/>
                <w:u w:val="wave"/>
              </w:rPr>
            </w:pPr>
            <w:r>
              <w:rPr>
                <w:rFonts w:hint="eastAsia"/>
                <w:u w:val="wave"/>
              </w:rPr>
              <w:t>《大气污染物综合排放标准》（GB16297-1996）表2无组织排放限值</w:t>
            </w:r>
          </w:p>
        </w:tc>
      </w:tr>
      <w:tr w14:paraId="6F5F16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58A06DC2">
            <w:pPr>
              <w:adjustRightInd w:val="0"/>
              <w:snapToGrid w:val="0"/>
              <w:jc w:val="center"/>
              <w:rPr>
                <w:b/>
                <w:szCs w:val="21"/>
              </w:rPr>
            </w:pPr>
          </w:p>
        </w:tc>
        <w:tc>
          <w:tcPr>
            <w:tcW w:w="1700" w:type="dxa"/>
            <w:vAlign w:val="center"/>
          </w:tcPr>
          <w:p w14:paraId="424C06D1">
            <w:pPr>
              <w:adjustRightInd w:val="0"/>
              <w:snapToGrid w:val="0"/>
              <w:jc w:val="center"/>
              <w:rPr>
                <w:rFonts w:ascii="宋体" w:hAnsi="宋体" w:cs="宋体"/>
                <w:szCs w:val="21"/>
                <w:u w:val="wave"/>
              </w:rPr>
            </w:pPr>
            <w:r>
              <w:rPr>
                <w:rFonts w:ascii="宋体" w:hAnsi="宋体" w:cs="宋体"/>
                <w:szCs w:val="21"/>
                <w:u w:val="wave"/>
              </w:rPr>
              <w:t>投料粉尘</w:t>
            </w:r>
          </w:p>
        </w:tc>
        <w:tc>
          <w:tcPr>
            <w:tcW w:w="1620" w:type="dxa"/>
            <w:vAlign w:val="center"/>
          </w:tcPr>
          <w:p w14:paraId="29F650F4">
            <w:pPr>
              <w:adjustRightInd w:val="0"/>
              <w:snapToGrid w:val="0"/>
              <w:jc w:val="center"/>
              <w:rPr>
                <w:szCs w:val="21"/>
                <w:u w:val="wave"/>
              </w:rPr>
            </w:pPr>
            <w:r>
              <w:rPr>
                <w:szCs w:val="21"/>
                <w:u w:val="wave"/>
              </w:rPr>
              <w:t>颗粒物</w:t>
            </w:r>
          </w:p>
        </w:tc>
        <w:tc>
          <w:tcPr>
            <w:tcW w:w="2250" w:type="dxa"/>
            <w:vAlign w:val="center"/>
          </w:tcPr>
          <w:p w14:paraId="12E63CCA">
            <w:pPr>
              <w:adjustRightInd w:val="0"/>
              <w:snapToGrid w:val="0"/>
              <w:jc w:val="center"/>
              <w:rPr>
                <w:rFonts w:ascii="宋体" w:hAnsi="宋体" w:cs="宋体"/>
                <w:szCs w:val="21"/>
                <w:u w:val="wave"/>
              </w:rPr>
            </w:pPr>
            <w:r>
              <w:rPr>
                <w:rFonts w:hint="eastAsia"/>
                <w:szCs w:val="21"/>
                <w:u w:val="wave"/>
              </w:rPr>
              <w:t>密闭厂房+三面围挡</w:t>
            </w:r>
          </w:p>
        </w:tc>
        <w:tc>
          <w:tcPr>
            <w:tcW w:w="3233" w:type="dxa"/>
            <w:vMerge w:val="continue"/>
            <w:vAlign w:val="center"/>
          </w:tcPr>
          <w:p w14:paraId="31C16C5D">
            <w:pPr>
              <w:autoSpaceDE w:val="0"/>
              <w:autoSpaceDN w:val="0"/>
              <w:adjustRightInd w:val="0"/>
              <w:jc w:val="center"/>
              <w:rPr>
                <w:szCs w:val="21"/>
              </w:rPr>
            </w:pPr>
          </w:p>
        </w:tc>
      </w:tr>
      <w:tr w14:paraId="49181F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58762004">
            <w:pPr>
              <w:adjustRightInd w:val="0"/>
              <w:snapToGrid w:val="0"/>
              <w:jc w:val="center"/>
              <w:rPr>
                <w:b/>
                <w:szCs w:val="21"/>
              </w:rPr>
            </w:pPr>
          </w:p>
        </w:tc>
        <w:tc>
          <w:tcPr>
            <w:tcW w:w="1700" w:type="dxa"/>
            <w:vAlign w:val="center"/>
          </w:tcPr>
          <w:p w14:paraId="292E7051">
            <w:pPr>
              <w:adjustRightInd w:val="0"/>
              <w:snapToGrid w:val="0"/>
              <w:jc w:val="center"/>
              <w:rPr>
                <w:rFonts w:ascii="宋体" w:hAnsi="宋体" w:cs="宋体"/>
                <w:szCs w:val="21"/>
                <w:u w:val="wave"/>
              </w:rPr>
            </w:pPr>
            <w:r>
              <w:rPr>
                <w:rFonts w:ascii="宋体" w:hAnsi="宋体" w:cs="宋体"/>
                <w:szCs w:val="21"/>
                <w:u w:val="wave"/>
              </w:rPr>
              <w:t>破碎粉尘</w:t>
            </w:r>
          </w:p>
        </w:tc>
        <w:tc>
          <w:tcPr>
            <w:tcW w:w="1620" w:type="dxa"/>
            <w:vAlign w:val="center"/>
          </w:tcPr>
          <w:p w14:paraId="7915F6CB">
            <w:pPr>
              <w:adjustRightInd w:val="0"/>
              <w:snapToGrid w:val="0"/>
              <w:jc w:val="center"/>
              <w:rPr>
                <w:szCs w:val="21"/>
                <w:u w:val="wave"/>
              </w:rPr>
            </w:pPr>
            <w:r>
              <w:rPr>
                <w:szCs w:val="21"/>
                <w:u w:val="wave"/>
              </w:rPr>
              <w:t>颗粒物</w:t>
            </w:r>
          </w:p>
        </w:tc>
        <w:tc>
          <w:tcPr>
            <w:tcW w:w="2250" w:type="dxa"/>
            <w:vAlign w:val="center"/>
          </w:tcPr>
          <w:p w14:paraId="5B4D8FB2">
            <w:pPr>
              <w:adjustRightInd w:val="0"/>
              <w:snapToGrid w:val="0"/>
              <w:jc w:val="center"/>
              <w:rPr>
                <w:szCs w:val="21"/>
                <w:u w:val="wave"/>
              </w:rPr>
            </w:pPr>
            <w:r>
              <w:rPr>
                <w:szCs w:val="21"/>
                <w:u w:val="wave"/>
              </w:rPr>
              <w:t>密闭</w:t>
            </w:r>
            <w:r>
              <w:rPr>
                <w:rFonts w:hint="eastAsia"/>
                <w:szCs w:val="21"/>
                <w:u w:val="wave"/>
              </w:rPr>
              <w:t>厂房</w:t>
            </w:r>
            <w:r>
              <w:rPr>
                <w:szCs w:val="21"/>
                <w:u w:val="wave"/>
              </w:rPr>
              <w:t>、集气罩</w:t>
            </w:r>
            <w:r>
              <w:rPr>
                <w:rFonts w:hint="eastAsia"/>
                <w:szCs w:val="21"/>
                <w:u w:val="wave"/>
              </w:rPr>
              <w:t>+布袋除尘</w:t>
            </w:r>
          </w:p>
        </w:tc>
        <w:tc>
          <w:tcPr>
            <w:tcW w:w="3233" w:type="dxa"/>
            <w:vMerge w:val="continue"/>
            <w:vAlign w:val="center"/>
          </w:tcPr>
          <w:p w14:paraId="5DC285F9">
            <w:pPr>
              <w:autoSpaceDE w:val="0"/>
              <w:autoSpaceDN w:val="0"/>
              <w:adjustRightInd w:val="0"/>
              <w:jc w:val="center"/>
              <w:rPr>
                <w:szCs w:val="21"/>
              </w:rPr>
            </w:pPr>
          </w:p>
        </w:tc>
      </w:tr>
      <w:tr w14:paraId="02708B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5BD0C95E">
            <w:pPr>
              <w:adjustRightInd w:val="0"/>
              <w:snapToGrid w:val="0"/>
              <w:jc w:val="center"/>
              <w:rPr>
                <w:b/>
                <w:szCs w:val="21"/>
              </w:rPr>
            </w:pPr>
          </w:p>
        </w:tc>
        <w:tc>
          <w:tcPr>
            <w:tcW w:w="1700" w:type="dxa"/>
            <w:vAlign w:val="center"/>
          </w:tcPr>
          <w:p w14:paraId="7F8A923F">
            <w:pPr>
              <w:adjustRightInd w:val="0"/>
              <w:snapToGrid w:val="0"/>
              <w:jc w:val="center"/>
              <w:rPr>
                <w:rFonts w:ascii="宋体" w:hAnsi="宋体" w:cs="宋体"/>
                <w:szCs w:val="21"/>
                <w:u w:val="wave"/>
              </w:rPr>
            </w:pPr>
            <w:r>
              <w:rPr>
                <w:rFonts w:hint="eastAsia"/>
                <w:szCs w:val="21"/>
                <w:u w:val="wave"/>
              </w:rPr>
              <w:t>储存筒仓粉尘</w:t>
            </w:r>
          </w:p>
        </w:tc>
        <w:tc>
          <w:tcPr>
            <w:tcW w:w="1620" w:type="dxa"/>
            <w:vAlign w:val="center"/>
          </w:tcPr>
          <w:p w14:paraId="3C992C42">
            <w:pPr>
              <w:adjustRightInd w:val="0"/>
              <w:snapToGrid w:val="0"/>
              <w:jc w:val="center"/>
              <w:rPr>
                <w:szCs w:val="21"/>
                <w:u w:val="wave"/>
              </w:rPr>
            </w:pPr>
            <w:r>
              <w:rPr>
                <w:szCs w:val="21"/>
                <w:u w:val="wave"/>
              </w:rPr>
              <w:t>颗粒物</w:t>
            </w:r>
          </w:p>
        </w:tc>
        <w:tc>
          <w:tcPr>
            <w:tcW w:w="2250" w:type="dxa"/>
            <w:vAlign w:val="center"/>
          </w:tcPr>
          <w:p w14:paraId="673013A1">
            <w:pPr>
              <w:adjustRightInd w:val="0"/>
              <w:snapToGrid w:val="0"/>
              <w:jc w:val="center"/>
              <w:rPr>
                <w:szCs w:val="21"/>
                <w:u w:val="wave"/>
              </w:rPr>
            </w:pPr>
            <w:r>
              <w:rPr>
                <w:szCs w:val="21"/>
                <w:u w:val="wave"/>
              </w:rPr>
              <w:t>密闭</w:t>
            </w:r>
            <w:r>
              <w:rPr>
                <w:rFonts w:hint="eastAsia"/>
                <w:szCs w:val="21"/>
                <w:u w:val="wave"/>
              </w:rPr>
              <w:t>厂房</w:t>
            </w:r>
            <w:r>
              <w:rPr>
                <w:szCs w:val="21"/>
                <w:u w:val="wave"/>
              </w:rPr>
              <w:t>、</w:t>
            </w:r>
            <w:r>
              <w:rPr>
                <w:rFonts w:hint="eastAsia"/>
                <w:szCs w:val="21"/>
                <w:u w:val="wave"/>
              </w:rPr>
              <w:t>仓顶除尘器</w:t>
            </w:r>
          </w:p>
        </w:tc>
        <w:tc>
          <w:tcPr>
            <w:tcW w:w="3233" w:type="dxa"/>
            <w:vMerge w:val="continue"/>
            <w:vAlign w:val="center"/>
          </w:tcPr>
          <w:p w14:paraId="7798EC0E">
            <w:pPr>
              <w:autoSpaceDE w:val="0"/>
              <w:autoSpaceDN w:val="0"/>
              <w:adjustRightInd w:val="0"/>
              <w:jc w:val="center"/>
              <w:rPr>
                <w:szCs w:val="21"/>
              </w:rPr>
            </w:pPr>
          </w:p>
        </w:tc>
      </w:tr>
      <w:tr w14:paraId="3C120D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57E0F705">
            <w:pPr>
              <w:adjustRightInd w:val="0"/>
              <w:snapToGrid w:val="0"/>
              <w:jc w:val="center"/>
              <w:rPr>
                <w:b/>
                <w:szCs w:val="21"/>
              </w:rPr>
            </w:pPr>
          </w:p>
        </w:tc>
        <w:tc>
          <w:tcPr>
            <w:tcW w:w="1700" w:type="dxa"/>
            <w:vAlign w:val="center"/>
          </w:tcPr>
          <w:p w14:paraId="59106381">
            <w:pPr>
              <w:adjustRightInd w:val="0"/>
              <w:snapToGrid w:val="0"/>
              <w:jc w:val="center"/>
              <w:rPr>
                <w:rFonts w:hint="eastAsia"/>
                <w:szCs w:val="21"/>
                <w:u w:val="wave"/>
              </w:rPr>
            </w:pPr>
            <w:r>
              <w:rPr>
                <w:rFonts w:hint="eastAsia"/>
                <w:szCs w:val="21"/>
                <w:u w:val="wave"/>
              </w:rPr>
              <w:t>包装粉尘</w:t>
            </w:r>
          </w:p>
        </w:tc>
        <w:tc>
          <w:tcPr>
            <w:tcW w:w="1620" w:type="dxa"/>
            <w:vAlign w:val="center"/>
          </w:tcPr>
          <w:p w14:paraId="49EDDBC5">
            <w:pPr>
              <w:adjustRightInd w:val="0"/>
              <w:snapToGrid w:val="0"/>
              <w:jc w:val="center"/>
              <w:rPr>
                <w:szCs w:val="21"/>
                <w:u w:val="wave"/>
              </w:rPr>
            </w:pPr>
            <w:r>
              <w:rPr>
                <w:szCs w:val="21"/>
                <w:u w:val="wave"/>
              </w:rPr>
              <w:t>颗粒物</w:t>
            </w:r>
          </w:p>
        </w:tc>
        <w:tc>
          <w:tcPr>
            <w:tcW w:w="2250" w:type="dxa"/>
            <w:vAlign w:val="center"/>
          </w:tcPr>
          <w:p w14:paraId="1A7A28BE">
            <w:pPr>
              <w:adjustRightInd w:val="0"/>
              <w:snapToGrid w:val="0"/>
              <w:jc w:val="center"/>
              <w:rPr>
                <w:szCs w:val="21"/>
                <w:u w:val="wave"/>
              </w:rPr>
            </w:pPr>
            <w:r>
              <w:rPr>
                <w:szCs w:val="21"/>
                <w:u w:val="wave"/>
              </w:rPr>
              <w:t>密闭</w:t>
            </w:r>
            <w:r>
              <w:rPr>
                <w:rFonts w:hint="eastAsia"/>
                <w:szCs w:val="21"/>
                <w:u w:val="wave"/>
              </w:rPr>
              <w:t>厂房</w:t>
            </w:r>
            <w:r>
              <w:rPr>
                <w:szCs w:val="21"/>
                <w:u w:val="wave"/>
              </w:rPr>
              <w:t>、加强通风</w:t>
            </w:r>
          </w:p>
        </w:tc>
        <w:tc>
          <w:tcPr>
            <w:tcW w:w="3233" w:type="dxa"/>
            <w:vMerge w:val="continue"/>
            <w:vAlign w:val="center"/>
          </w:tcPr>
          <w:p w14:paraId="5FE57E74">
            <w:pPr>
              <w:autoSpaceDE w:val="0"/>
              <w:autoSpaceDN w:val="0"/>
              <w:adjustRightInd w:val="0"/>
              <w:jc w:val="center"/>
              <w:rPr>
                <w:szCs w:val="21"/>
              </w:rPr>
            </w:pPr>
          </w:p>
        </w:tc>
      </w:tr>
      <w:tr w14:paraId="72B18D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0FD97084">
            <w:pPr>
              <w:adjustRightInd w:val="0"/>
              <w:snapToGrid w:val="0"/>
              <w:jc w:val="center"/>
              <w:rPr>
                <w:b/>
                <w:szCs w:val="21"/>
              </w:rPr>
            </w:pPr>
          </w:p>
        </w:tc>
        <w:tc>
          <w:tcPr>
            <w:tcW w:w="1700" w:type="dxa"/>
            <w:vAlign w:val="center"/>
          </w:tcPr>
          <w:p w14:paraId="302B8DAB">
            <w:pPr>
              <w:adjustRightInd w:val="0"/>
              <w:snapToGrid w:val="0"/>
              <w:jc w:val="center"/>
              <w:rPr>
                <w:szCs w:val="21"/>
                <w:u w:val="wave"/>
              </w:rPr>
            </w:pPr>
            <w:r>
              <w:rPr>
                <w:rFonts w:hint="eastAsia"/>
                <w:szCs w:val="21"/>
                <w:u w:val="wave"/>
              </w:rPr>
              <w:t>运输扬尘</w:t>
            </w:r>
          </w:p>
        </w:tc>
        <w:tc>
          <w:tcPr>
            <w:tcW w:w="1620" w:type="dxa"/>
            <w:vAlign w:val="center"/>
          </w:tcPr>
          <w:p w14:paraId="475274C8">
            <w:pPr>
              <w:adjustRightInd w:val="0"/>
              <w:snapToGrid w:val="0"/>
              <w:jc w:val="center"/>
              <w:rPr>
                <w:bCs/>
                <w:spacing w:val="-10"/>
                <w:szCs w:val="21"/>
                <w:u w:val="wave"/>
              </w:rPr>
            </w:pPr>
            <w:r>
              <w:rPr>
                <w:szCs w:val="21"/>
                <w:u w:val="wave"/>
              </w:rPr>
              <w:t>颗粒物</w:t>
            </w:r>
          </w:p>
        </w:tc>
        <w:tc>
          <w:tcPr>
            <w:tcW w:w="2250" w:type="dxa"/>
            <w:vAlign w:val="center"/>
          </w:tcPr>
          <w:p w14:paraId="35D11E52">
            <w:pPr>
              <w:adjustRightInd w:val="0"/>
              <w:snapToGrid w:val="0"/>
              <w:jc w:val="center"/>
              <w:rPr>
                <w:szCs w:val="21"/>
                <w:u w:val="wave"/>
              </w:rPr>
            </w:pPr>
            <w:r>
              <w:rPr>
                <w:rFonts w:hint="eastAsia"/>
                <w:szCs w:val="21"/>
                <w:u w:val="wave"/>
              </w:rPr>
              <w:t>地面硬化+定期清扫+洒水降尘等</w:t>
            </w:r>
          </w:p>
        </w:tc>
        <w:tc>
          <w:tcPr>
            <w:tcW w:w="3233" w:type="dxa"/>
            <w:vMerge w:val="continue"/>
            <w:vAlign w:val="center"/>
          </w:tcPr>
          <w:p w14:paraId="66BDD322">
            <w:pPr>
              <w:autoSpaceDE w:val="0"/>
              <w:autoSpaceDN w:val="0"/>
              <w:adjustRightInd w:val="0"/>
              <w:jc w:val="center"/>
              <w:rPr>
                <w:szCs w:val="21"/>
              </w:rPr>
            </w:pPr>
          </w:p>
        </w:tc>
      </w:tr>
      <w:tr w14:paraId="1735A7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restart"/>
            <w:vAlign w:val="center"/>
          </w:tcPr>
          <w:p w14:paraId="0CE98AB6">
            <w:pPr>
              <w:adjustRightInd w:val="0"/>
              <w:snapToGrid w:val="0"/>
              <w:jc w:val="center"/>
              <w:rPr>
                <w:b/>
                <w:szCs w:val="21"/>
              </w:rPr>
            </w:pPr>
            <w:r>
              <w:rPr>
                <w:b/>
                <w:szCs w:val="21"/>
              </w:rPr>
              <w:t>地表水环境</w:t>
            </w:r>
          </w:p>
        </w:tc>
        <w:tc>
          <w:tcPr>
            <w:tcW w:w="1700" w:type="dxa"/>
            <w:vAlign w:val="center"/>
          </w:tcPr>
          <w:p w14:paraId="10A6BD31">
            <w:pPr>
              <w:adjustRightInd w:val="0"/>
              <w:snapToGrid w:val="0"/>
              <w:jc w:val="center"/>
              <w:rPr>
                <w:szCs w:val="21"/>
              </w:rPr>
            </w:pPr>
            <w:r>
              <w:rPr>
                <w:rFonts w:hint="eastAsia"/>
                <w:szCs w:val="21"/>
              </w:rPr>
              <w:t>生活</w:t>
            </w:r>
            <w:r>
              <w:rPr>
                <w:szCs w:val="21"/>
              </w:rPr>
              <w:t>污水</w:t>
            </w:r>
          </w:p>
        </w:tc>
        <w:tc>
          <w:tcPr>
            <w:tcW w:w="1620" w:type="dxa"/>
            <w:vAlign w:val="center"/>
          </w:tcPr>
          <w:p w14:paraId="7213BF06">
            <w:pPr>
              <w:adjustRightInd w:val="0"/>
              <w:snapToGrid w:val="0"/>
              <w:jc w:val="center"/>
              <w:rPr>
                <w:szCs w:val="21"/>
              </w:rPr>
            </w:pPr>
            <w:r>
              <w:rPr>
                <w:rFonts w:hint="eastAsia"/>
                <w:szCs w:val="21"/>
              </w:rPr>
              <w:t>COD</w:t>
            </w:r>
            <w:r>
              <w:rPr>
                <w:rFonts w:hint="eastAsia"/>
                <w:szCs w:val="21"/>
                <w:vertAlign w:val="subscript"/>
              </w:rPr>
              <w:t>Cr</w:t>
            </w:r>
            <w:r>
              <w:rPr>
                <w:rFonts w:hint="eastAsia"/>
                <w:szCs w:val="21"/>
              </w:rPr>
              <w:t>、BOD</w:t>
            </w:r>
            <w:r>
              <w:rPr>
                <w:rFonts w:hint="eastAsia"/>
                <w:szCs w:val="21"/>
                <w:vertAlign w:val="subscript"/>
              </w:rPr>
              <w:t>5</w:t>
            </w:r>
            <w:r>
              <w:rPr>
                <w:rFonts w:hint="eastAsia"/>
                <w:szCs w:val="21"/>
              </w:rPr>
              <w:t>、SS、氨氮等</w:t>
            </w:r>
          </w:p>
        </w:tc>
        <w:tc>
          <w:tcPr>
            <w:tcW w:w="2250" w:type="dxa"/>
            <w:vAlign w:val="center"/>
          </w:tcPr>
          <w:p w14:paraId="1C044AB8">
            <w:pPr>
              <w:adjustRightInd w:val="0"/>
              <w:snapToGrid w:val="0"/>
              <w:jc w:val="center"/>
              <w:rPr>
                <w:szCs w:val="21"/>
              </w:rPr>
            </w:pPr>
            <w:r>
              <w:rPr>
                <w:rFonts w:hint="eastAsia" w:ascii="宋体" w:hAnsi="宋体" w:cs="宋体"/>
                <w:szCs w:val="21"/>
              </w:rPr>
              <w:t>依托湖南衡利丰陶瓷有限公司现有化粪池预处理后外排至市政管网，纳入衡阳西渡高新区污水处理厂深度处理后排入蒸水</w:t>
            </w:r>
          </w:p>
        </w:tc>
        <w:tc>
          <w:tcPr>
            <w:tcW w:w="3233" w:type="dxa"/>
            <w:vAlign w:val="center"/>
          </w:tcPr>
          <w:p w14:paraId="15E91BD8">
            <w:pPr>
              <w:adjustRightInd w:val="0"/>
              <w:snapToGrid w:val="0"/>
              <w:jc w:val="center"/>
              <w:rPr>
                <w:szCs w:val="21"/>
              </w:rPr>
            </w:pPr>
            <w:r>
              <w:rPr>
                <w:rFonts w:hint="eastAsia"/>
                <w:szCs w:val="21"/>
              </w:rPr>
              <w:t>《污水综合排放标准》（GB8978-1996）三级标准</w:t>
            </w:r>
          </w:p>
        </w:tc>
      </w:tr>
      <w:tr w14:paraId="224166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Merge w:val="continue"/>
            <w:vAlign w:val="center"/>
          </w:tcPr>
          <w:p w14:paraId="7687C9C6">
            <w:pPr>
              <w:adjustRightInd w:val="0"/>
              <w:snapToGrid w:val="0"/>
              <w:jc w:val="center"/>
              <w:rPr>
                <w:b/>
                <w:szCs w:val="21"/>
              </w:rPr>
            </w:pPr>
          </w:p>
        </w:tc>
        <w:tc>
          <w:tcPr>
            <w:tcW w:w="1700" w:type="dxa"/>
            <w:vAlign w:val="center"/>
          </w:tcPr>
          <w:p w14:paraId="3014C412">
            <w:pPr>
              <w:snapToGrid w:val="0"/>
              <w:jc w:val="center"/>
              <w:rPr>
                <w:rFonts w:ascii="宋体" w:hAnsi="宋体" w:cs="宋体"/>
                <w:szCs w:val="21"/>
              </w:rPr>
            </w:pPr>
            <w:r>
              <w:rPr>
                <w:rFonts w:hint="eastAsia"/>
                <w:szCs w:val="21"/>
              </w:rPr>
              <w:t>喷雾抑尘废水</w:t>
            </w:r>
          </w:p>
        </w:tc>
        <w:tc>
          <w:tcPr>
            <w:tcW w:w="1620" w:type="dxa"/>
            <w:vAlign w:val="center"/>
          </w:tcPr>
          <w:p w14:paraId="54C5394A">
            <w:pPr>
              <w:snapToGrid w:val="0"/>
              <w:jc w:val="center"/>
              <w:rPr>
                <w:snapToGrid w:val="0"/>
                <w:kern w:val="0"/>
                <w:szCs w:val="21"/>
              </w:rPr>
            </w:pPr>
            <w:r>
              <w:rPr>
                <w:rFonts w:hint="eastAsia"/>
                <w:szCs w:val="21"/>
              </w:rPr>
              <w:t>/</w:t>
            </w:r>
          </w:p>
        </w:tc>
        <w:tc>
          <w:tcPr>
            <w:tcW w:w="2250" w:type="dxa"/>
            <w:vAlign w:val="center"/>
          </w:tcPr>
          <w:p w14:paraId="0C053104">
            <w:pPr>
              <w:adjustRightInd w:val="0"/>
              <w:snapToGrid w:val="0"/>
              <w:jc w:val="center"/>
              <w:rPr>
                <w:rFonts w:ascii="宋体" w:hAnsi="宋体" w:cs="宋体"/>
                <w:szCs w:val="21"/>
              </w:rPr>
            </w:pPr>
            <w:r>
              <w:rPr>
                <w:rFonts w:hint="eastAsia"/>
                <w:szCs w:val="21"/>
              </w:rPr>
              <w:t>全部蒸发损耗或进入产品，不外排</w:t>
            </w:r>
          </w:p>
        </w:tc>
        <w:tc>
          <w:tcPr>
            <w:tcW w:w="3233" w:type="dxa"/>
            <w:vAlign w:val="center"/>
          </w:tcPr>
          <w:p w14:paraId="090D6DC1">
            <w:pPr>
              <w:adjustRightInd w:val="0"/>
              <w:snapToGrid w:val="0"/>
              <w:jc w:val="center"/>
              <w:rPr>
                <w:szCs w:val="21"/>
              </w:rPr>
            </w:pPr>
            <w:r>
              <w:rPr>
                <w:rFonts w:hint="eastAsia"/>
                <w:szCs w:val="21"/>
              </w:rPr>
              <w:t>/</w:t>
            </w:r>
          </w:p>
        </w:tc>
      </w:tr>
      <w:tr w14:paraId="0D475C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5FB3C0FB">
            <w:pPr>
              <w:adjustRightInd w:val="0"/>
              <w:snapToGrid w:val="0"/>
              <w:jc w:val="center"/>
              <w:rPr>
                <w:b/>
                <w:szCs w:val="21"/>
              </w:rPr>
            </w:pPr>
            <w:r>
              <w:rPr>
                <w:b/>
                <w:szCs w:val="21"/>
              </w:rPr>
              <w:t>声环境</w:t>
            </w:r>
          </w:p>
        </w:tc>
        <w:tc>
          <w:tcPr>
            <w:tcW w:w="1700" w:type="dxa"/>
            <w:vAlign w:val="center"/>
          </w:tcPr>
          <w:p w14:paraId="6C0CD586">
            <w:pPr>
              <w:adjustRightInd w:val="0"/>
              <w:snapToGrid w:val="0"/>
              <w:jc w:val="center"/>
              <w:rPr>
                <w:szCs w:val="21"/>
              </w:rPr>
            </w:pPr>
            <w:r>
              <w:rPr>
                <w:szCs w:val="21"/>
              </w:rPr>
              <w:t>噪声</w:t>
            </w:r>
          </w:p>
        </w:tc>
        <w:tc>
          <w:tcPr>
            <w:tcW w:w="3870" w:type="dxa"/>
            <w:gridSpan w:val="2"/>
            <w:vAlign w:val="center"/>
          </w:tcPr>
          <w:p w14:paraId="2254D1D5">
            <w:pPr>
              <w:pStyle w:val="2"/>
              <w:jc w:val="center"/>
              <w:rPr>
                <w:rFonts w:ascii="Times New Roman" w:cs="Times New Roman"/>
                <w:color w:val="auto"/>
                <w:sz w:val="21"/>
                <w:szCs w:val="21"/>
              </w:rPr>
            </w:pPr>
            <w:r>
              <w:rPr>
                <w:rFonts w:ascii="Times New Roman" w:cs="Times New Roman"/>
                <w:color w:val="auto"/>
                <w:sz w:val="21"/>
                <w:szCs w:val="21"/>
              </w:rPr>
              <w:t>选用低噪声设备、基础减振，</w:t>
            </w:r>
            <w:r>
              <w:rPr>
                <w:rFonts w:hint="eastAsia" w:ascii="Times New Roman" w:cs="Times New Roman"/>
                <w:color w:val="auto"/>
                <w:sz w:val="21"/>
                <w:szCs w:val="21"/>
              </w:rPr>
              <w:t>厂房</w:t>
            </w:r>
            <w:r>
              <w:rPr>
                <w:rFonts w:ascii="Times New Roman" w:cs="Times New Roman"/>
                <w:color w:val="auto"/>
                <w:sz w:val="21"/>
                <w:szCs w:val="21"/>
              </w:rPr>
              <w:t>隔声</w:t>
            </w:r>
          </w:p>
        </w:tc>
        <w:tc>
          <w:tcPr>
            <w:tcW w:w="3233" w:type="dxa"/>
            <w:vAlign w:val="center"/>
          </w:tcPr>
          <w:p w14:paraId="54606B50">
            <w:pPr>
              <w:adjustRightInd w:val="0"/>
              <w:snapToGrid w:val="0"/>
              <w:jc w:val="center"/>
              <w:rPr>
                <w:szCs w:val="21"/>
              </w:rPr>
            </w:pPr>
            <w:r>
              <w:rPr>
                <w:szCs w:val="21"/>
              </w:rPr>
              <w:t>《工业企业厂界环境噪声排放标准》（GB12348-2008）</w:t>
            </w:r>
            <w:r>
              <w:rPr>
                <w:rFonts w:hint="eastAsia"/>
                <w:szCs w:val="21"/>
              </w:rPr>
              <w:t>3</w:t>
            </w:r>
            <w:r>
              <w:rPr>
                <w:szCs w:val="21"/>
              </w:rPr>
              <w:t>类</w:t>
            </w:r>
          </w:p>
        </w:tc>
      </w:tr>
      <w:tr w14:paraId="7B6961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3A5091B4">
            <w:pPr>
              <w:adjustRightInd w:val="0"/>
              <w:snapToGrid w:val="0"/>
              <w:jc w:val="center"/>
              <w:rPr>
                <w:b/>
                <w:szCs w:val="21"/>
              </w:rPr>
            </w:pPr>
            <w:r>
              <w:rPr>
                <w:b/>
                <w:szCs w:val="21"/>
              </w:rPr>
              <w:t>电磁辐射</w:t>
            </w:r>
          </w:p>
        </w:tc>
        <w:tc>
          <w:tcPr>
            <w:tcW w:w="1700" w:type="dxa"/>
            <w:vAlign w:val="center"/>
          </w:tcPr>
          <w:p w14:paraId="3AE46405">
            <w:pPr>
              <w:adjustRightInd w:val="0"/>
              <w:snapToGrid w:val="0"/>
              <w:jc w:val="center"/>
              <w:rPr>
                <w:szCs w:val="21"/>
              </w:rPr>
            </w:pPr>
            <w:r>
              <w:rPr>
                <w:szCs w:val="21"/>
              </w:rPr>
              <w:t>无</w:t>
            </w:r>
          </w:p>
        </w:tc>
        <w:tc>
          <w:tcPr>
            <w:tcW w:w="1620" w:type="dxa"/>
            <w:vAlign w:val="center"/>
          </w:tcPr>
          <w:p w14:paraId="744CB31C">
            <w:pPr>
              <w:adjustRightInd w:val="0"/>
              <w:snapToGrid w:val="0"/>
              <w:jc w:val="center"/>
              <w:rPr>
                <w:szCs w:val="21"/>
              </w:rPr>
            </w:pPr>
            <w:r>
              <w:rPr>
                <w:szCs w:val="21"/>
              </w:rPr>
              <w:t>无</w:t>
            </w:r>
          </w:p>
        </w:tc>
        <w:tc>
          <w:tcPr>
            <w:tcW w:w="2250" w:type="dxa"/>
            <w:vAlign w:val="center"/>
          </w:tcPr>
          <w:p w14:paraId="45087788">
            <w:pPr>
              <w:adjustRightInd w:val="0"/>
              <w:snapToGrid w:val="0"/>
              <w:jc w:val="center"/>
              <w:rPr>
                <w:szCs w:val="21"/>
              </w:rPr>
            </w:pPr>
            <w:r>
              <w:rPr>
                <w:szCs w:val="21"/>
              </w:rPr>
              <w:t>无</w:t>
            </w:r>
          </w:p>
        </w:tc>
        <w:tc>
          <w:tcPr>
            <w:tcW w:w="3233" w:type="dxa"/>
            <w:vAlign w:val="center"/>
          </w:tcPr>
          <w:p w14:paraId="461628DD">
            <w:pPr>
              <w:adjustRightInd w:val="0"/>
              <w:snapToGrid w:val="0"/>
              <w:jc w:val="center"/>
              <w:rPr>
                <w:szCs w:val="21"/>
              </w:rPr>
            </w:pPr>
            <w:r>
              <w:rPr>
                <w:szCs w:val="21"/>
              </w:rPr>
              <w:t>无</w:t>
            </w:r>
          </w:p>
        </w:tc>
      </w:tr>
      <w:tr w14:paraId="1E9E65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7A225870">
            <w:pPr>
              <w:adjustRightInd w:val="0"/>
              <w:snapToGrid w:val="0"/>
              <w:jc w:val="center"/>
              <w:rPr>
                <w:b/>
                <w:szCs w:val="21"/>
              </w:rPr>
            </w:pPr>
            <w:r>
              <w:rPr>
                <w:b/>
                <w:szCs w:val="21"/>
              </w:rPr>
              <w:t>固体废物</w:t>
            </w:r>
          </w:p>
        </w:tc>
        <w:tc>
          <w:tcPr>
            <w:tcW w:w="8803" w:type="dxa"/>
            <w:gridSpan w:val="4"/>
            <w:vAlign w:val="center"/>
          </w:tcPr>
          <w:p w14:paraId="35996F3B">
            <w:pPr>
              <w:pStyle w:val="2"/>
              <w:rPr>
                <w:rFonts w:cs="Times New Roman" w:asciiTheme="minorEastAsia" w:hAnsiTheme="minorEastAsia" w:eastAsiaTheme="minorEastAsia"/>
                <w:color w:val="auto"/>
                <w:sz w:val="21"/>
                <w:szCs w:val="21"/>
              </w:rPr>
            </w:pPr>
            <w:r>
              <w:rPr>
                <w:rFonts w:cs="Times New Roman" w:asciiTheme="minorEastAsia" w:hAnsiTheme="minorEastAsia" w:eastAsiaTheme="minorEastAsia"/>
                <w:color w:val="auto"/>
                <w:sz w:val="21"/>
                <w:szCs w:val="21"/>
              </w:rPr>
              <w:t>①生活垃圾：收集后交由当地环卫部门统一清运；</w:t>
            </w:r>
          </w:p>
          <w:p w14:paraId="15472A5B">
            <w:pPr>
              <w:pStyle w:val="2"/>
              <w:rPr>
                <w:rFonts w:cs="Times New Roman" w:asciiTheme="minorEastAsia" w:hAnsiTheme="minorEastAsia" w:eastAsiaTheme="minorEastAsia"/>
                <w:color w:val="auto"/>
                <w:sz w:val="21"/>
                <w:szCs w:val="21"/>
              </w:rPr>
            </w:pPr>
            <w:r>
              <w:rPr>
                <w:rFonts w:cs="Times New Roman" w:asciiTheme="minorEastAsia" w:hAnsiTheme="minorEastAsia" w:eastAsiaTheme="minorEastAsia"/>
                <w:color w:val="auto"/>
                <w:sz w:val="21"/>
                <w:szCs w:val="21"/>
              </w:rPr>
              <w:t>②一般固废：除尘器收集尘</w:t>
            </w:r>
            <w:r>
              <w:rPr>
                <w:rFonts w:hint="eastAsia" w:cs="Times New Roman" w:asciiTheme="minorEastAsia" w:hAnsiTheme="minorEastAsia" w:eastAsiaTheme="minorEastAsia"/>
                <w:color w:val="auto"/>
                <w:sz w:val="21"/>
                <w:szCs w:val="21"/>
              </w:rPr>
              <w:t>经收集后作为产品外售；废包装袋统一收集后外售废品回收站；废布袋定期更换，更换的布袋由厂家回收合理处置</w:t>
            </w:r>
            <w:r>
              <w:rPr>
                <w:rFonts w:cs="Times New Roman" w:asciiTheme="minorEastAsia" w:hAnsiTheme="minorEastAsia" w:eastAsiaTheme="minorEastAsia"/>
                <w:color w:val="auto"/>
                <w:sz w:val="21"/>
                <w:szCs w:val="21"/>
              </w:rPr>
              <w:t>。</w:t>
            </w:r>
          </w:p>
          <w:p w14:paraId="4C7F3A7E">
            <w:pPr>
              <w:pStyle w:val="2"/>
              <w:rPr>
                <w:rFonts w:ascii="Times New Roman" w:cs="Times New Roman"/>
                <w:color w:val="auto"/>
                <w:sz w:val="21"/>
                <w:szCs w:val="21"/>
              </w:rPr>
            </w:pPr>
            <w:r>
              <w:rPr>
                <w:rFonts w:cs="Times New Roman" w:asciiTheme="minorEastAsia" w:hAnsiTheme="minorEastAsia" w:eastAsiaTheme="minorEastAsia"/>
                <w:color w:val="auto"/>
                <w:sz w:val="21"/>
                <w:szCs w:val="21"/>
              </w:rPr>
              <w:t>③危险废物：</w:t>
            </w:r>
            <w:r>
              <w:rPr>
                <w:rFonts w:hint="eastAsia" w:cs="Times New Roman" w:asciiTheme="minorEastAsia" w:hAnsiTheme="minorEastAsia" w:eastAsiaTheme="minorEastAsia"/>
                <w:color w:val="auto"/>
                <w:sz w:val="21"/>
                <w:szCs w:val="21"/>
              </w:rPr>
              <w:t>废润滑油以及废含油抹布及手套等危险废物，分类收集后暂存于危废暂存间，定期委托有相应类别危险废物处置资质的单位代为处置，同时暂存过程按危险废物的有关规定和要求进行环境监管</w:t>
            </w:r>
            <w:r>
              <w:rPr>
                <w:rFonts w:cs="Times New Roman" w:asciiTheme="minorEastAsia" w:hAnsiTheme="minorEastAsia" w:eastAsiaTheme="minorEastAsia"/>
                <w:color w:val="auto"/>
                <w:sz w:val="21"/>
                <w:szCs w:val="21"/>
              </w:rPr>
              <w:t>。</w:t>
            </w:r>
          </w:p>
        </w:tc>
      </w:tr>
      <w:tr w14:paraId="33CCF4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1F67731F">
            <w:pPr>
              <w:adjustRightInd w:val="0"/>
              <w:snapToGrid w:val="0"/>
              <w:jc w:val="center"/>
              <w:rPr>
                <w:b/>
                <w:szCs w:val="21"/>
              </w:rPr>
            </w:pPr>
            <w:r>
              <w:rPr>
                <w:b/>
                <w:szCs w:val="21"/>
              </w:rPr>
              <w:t>土壤及地下水污染防治措施</w:t>
            </w:r>
          </w:p>
        </w:tc>
        <w:tc>
          <w:tcPr>
            <w:tcW w:w="8803" w:type="dxa"/>
            <w:gridSpan w:val="4"/>
            <w:vAlign w:val="center"/>
          </w:tcPr>
          <w:p w14:paraId="5965F084">
            <w:pPr>
              <w:adjustRightInd w:val="0"/>
              <w:snapToGrid w:val="0"/>
              <w:jc w:val="center"/>
              <w:rPr>
                <w:szCs w:val="21"/>
              </w:rPr>
            </w:pPr>
            <w:r>
              <w:rPr>
                <w:szCs w:val="21"/>
              </w:rPr>
              <w:t>无</w:t>
            </w:r>
          </w:p>
        </w:tc>
      </w:tr>
      <w:tr w14:paraId="4F3158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60F123A4">
            <w:pPr>
              <w:adjustRightInd w:val="0"/>
              <w:snapToGrid w:val="0"/>
              <w:jc w:val="center"/>
              <w:rPr>
                <w:b/>
                <w:szCs w:val="21"/>
              </w:rPr>
            </w:pPr>
            <w:r>
              <w:rPr>
                <w:b/>
                <w:szCs w:val="21"/>
              </w:rPr>
              <w:t>生态保护措施</w:t>
            </w:r>
          </w:p>
        </w:tc>
        <w:tc>
          <w:tcPr>
            <w:tcW w:w="8803" w:type="dxa"/>
            <w:gridSpan w:val="4"/>
            <w:vAlign w:val="center"/>
          </w:tcPr>
          <w:p w14:paraId="1102707A">
            <w:pPr>
              <w:adjustRightInd w:val="0"/>
              <w:snapToGrid w:val="0"/>
              <w:jc w:val="center"/>
              <w:rPr>
                <w:szCs w:val="21"/>
              </w:rPr>
            </w:pPr>
            <w:r>
              <w:rPr>
                <w:szCs w:val="21"/>
              </w:rPr>
              <w:t>无</w:t>
            </w:r>
          </w:p>
        </w:tc>
      </w:tr>
      <w:tr w14:paraId="113D86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73E2C213">
            <w:pPr>
              <w:adjustRightInd w:val="0"/>
              <w:snapToGrid w:val="0"/>
              <w:jc w:val="center"/>
              <w:rPr>
                <w:b/>
                <w:spacing w:val="-8"/>
                <w:szCs w:val="21"/>
              </w:rPr>
            </w:pPr>
            <w:r>
              <w:rPr>
                <w:b/>
                <w:spacing w:val="-8"/>
                <w:szCs w:val="21"/>
              </w:rPr>
              <w:t>环境风险</w:t>
            </w:r>
          </w:p>
          <w:p w14:paraId="34654A8A">
            <w:pPr>
              <w:adjustRightInd w:val="0"/>
              <w:snapToGrid w:val="0"/>
              <w:jc w:val="center"/>
              <w:rPr>
                <w:b/>
                <w:spacing w:val="-8"/>
                <w:szCs w:val="21"/>
              </w:rPr>
            </w:pPr>
            <w:r>
              <w:rPr>
                <w:b/>
                <w:spacing w:val="-8"/>
                <w:szCs w:val="21"/>
              </w:rPr>
              <w:t>防范措施</w:t>
            </w:r>
          </w:p>
        </w:tc>
        <w:tc>
          <w:tcPr>
            <w:tcW w:w="8803" w:type="dxa"/>
            <w:gridSpan w:val="4"/>
            <w:vAlign w:val="center"/>
          </w:tcPr>
          <w:p w14:paraId="16028073">
            <w:pPr>
              <w:pStyle w:val="2"/>
              <w:rPr>
                <w:rFonts w:ascii="Times New Roman" w:cs="Times New Roman"/>
                <w:color w:val="auto"/>
                <w:sz w:val="21"/>
                <w:szCs w:val="21"/>
              </w:rPr>
            </w:pPr>
            <w:r>
              <w:rPr>
                <w:rFonts w:hint="eastAsia" w:ascii="Times New Roman" w:cs="Times New Roman"/>
                <w:color w:val="auto"/>
                <w:sz w:val="21"/>
                <w:szCs w:val="21"/>
              </w:rPr>
              <w:t>（1）泄漏事故风险防范措施</w:t>
            </w:r>
          </w:p>
          <w:p w14:paraId="451BA989">
            <w:pPr>
              <w:pStyle w:val="2"/>
              <w:rPr>
                <w:rFonts w:ascii="Times New Roman" w:cs="Times New Roman"/>
                <w:color w:val="auto"/>
                <w:sz w:val="21"/>
                <w:szCs w:val="21"/>
              </w:rPr>
            </w:pPr>
            <w:r>
              <w:rPr>
                <w:rFonts w:hint="eastAsia" w:ascii="Times New Roman" w:cs="Times New Roman"/>
                <w:color w:val="auto"/>
                <w:sz w:val="21"/>
                <w:szCs w:val="21"/>
              </w:rPr>
              <w:t>①废润滑油暂存区四周严禁高温明火靠近，暂存间地面采取防渗措施，周围设置导流沟、围堰，围堰内不允许有地漏。避免废润滑油泄漏后溢流至厂区内地面，污染周边环境。泄漏后，首先尽可能切断泄漏源，并对泄漏至围堰内的物料及时收集清运处置。</w:t>
            </w:r>
          </w:p>
          <w:p w14:paraId="61C0344A">
            <w:pPr>
              <w:pStyle w:val="2"/>
              <w:rPr>
                <w:rFonts w:ascii="Times New Roman" w:cs="Times New Roman"/>
                <w:color w:val="auto"/>
                <w:sz w:val="21"/>
                <w:szCs w:val="21"/>
              </w:rPr>
            </w:pPr>
            <w:r>
              <w:rPr>
                <w:rFonts w:hint="eastAsia" w:ascii="Times New Roman" w:cs="Times New Roman"/>
                <w:color w:val="auto"/>
                <w:sz w:val="21"/>
                <w:szCs w:val="21"/>
              </w:rPr>
              <w:t>②危险废物等的转移需按规范进行转移，转移过程中发生遗洒需及时清扫，清扫产生的废物需作为危险废物进行处置。</w:t>
            </w:r>
          </w:p>
          <w:p w14:paraId="1B1C636B">
            <w:pPr>
              <w:pStyle w:val="2"/>
              <w:rPr>
                <w:rFonts w:ascii="Times New Roman" w:cs="Times New Roman"/>
                <w:color w:val="auto"/>
                <w:sz w:val="21"/>
                <w:szCs w:val="21"/>
              </w:rPr>
            </w:pPr>
            <w:r>
              <w:rPr>
                <w:rFonts w:hint="eastAsia" w:ascii="Times New Roman" w:cs="Times New Roman"/>
                <w:color w:val="auto"/>
                <w:sz w:val="21"/>
                <w:szCs w:val="21"/>
              </w:rPr>
              <w:t>③危险废物暂存间需做好六防措施。</w:t>
            </w:r>
          </w:p>
          <w:p w14:paraId="024AF745">
            <w:pPr>
              <w:pStyle w:val="2"/>
              <w:rPr>
                <w:rFonts w:ascii="Times New Roman" w:cs="Times New Roman"/>
                <w:color w:val="auto"/>
                <w:sz w:val="21"/>
                <w:szCs w:val="21"/>
              </w:rPr>
            </w:pPr>
            <w:r>
              <w:rPr>
                <w:rFonts w:hint="eastAsia" w:ascii="Times New Roman" w:cs="Times New Roman"/>
                <w:color w:val="auto"/>
                <w:sz w:val="21"/>
                <w:szCs w:val="21"/>
              </w:rPr>
              <w:t>（2）废气治理设施管理措施</w:t>
            </w:r>
          </w:p>
          <w:p w14:paraId="613D2AD6">
            <w:pPr>
              <w:pStyle w:val="2"/>
              <w:rPr>
                <w:rFonts w:ascii="Times New Roman" w:cs="Times New Roman"/>
                <w:color w:val="auto"/>
                <w:sz w:val="21"/>
                <w:szCs w:val="21"/>
              </w:rPr>
            </w:pPr>
            <w:r>
              <w:rPr>
                <w:rFonts w:hint="eastAsia" w:ascii="Times New Roman" w:cs="Times New Roman"/>
                <w:color w:val="auto"/>
                <w:sz w:val="21"/>
                <w:szCs w:val="21"/>
              </w:rPr>
              <w:t>安排专人负责除尘器运行管理，并对除尘处理设备定期进行检修，保证设备正常运行，避免废气事故外排。</w:t>
            </w:r>
          </w:p>
          <w:p w14:paraId="2D248622">
            <w:pPr>
              <w:pStyle w:val="2"/>
              <w:rPr>
                <w:rFonts w:ascii="Times New Roman" w:cs="Times New Roman"/>
                <w:color w:val="auto"/>
                <w:sz w:val="21"/>
                <w:szCs w:val="21"/>
              </w:rPr>
            </w:pPr>
            <w:r>
              <w:rPr>
                <w:rFonts w:hint="eastAsia" w:ascii="Times New Roman" w:cs="Times New Roman"/>
                <w:color w:val="auto"/>
                <w:sz w:val="21"/>
                <w:szCs w:val="21"/>
              </w:rPr>
              <w:t>（3）应急处置措施</w:t>
            </w:r>
          </w:p>
          <w:p w14:paraId="6B6C19BF">
            <w:pPr>
              <w:pStyle w:val="2"/>
              <w:rPr>
                <w:rFonts w:ascii="Times New Roman" w:cs="Times New Roman"/>
                <w:color w:val="auto"/>
                <w:sz w:val="21"/>
                <w:szCs w:val="21"/>
              </w:rPr>
            </w:pPr>
            <w:r>
              <w:rPr>
                <w:rFonts w:hint="eastAsia" w:ascii="Times New Roman" w:cs="Times New Roman"/>
                <w:color w:val="auto"/>
                <w:sz w:val="21"/>
                <w:szCs w:val="21"/>
              </w:rPr>
              <w:t>当发生火灾时，应及时使用灭火装置对着火点进行灭火，并清除厂房内易燃物品，并第一时间拨打火警电话，火势过大时应撤离避免人员伤亡。</w:t>
            </w:r>
          </w:p>
        </w:tc>
      </w:tr>
      <w:tr w14:paraId="5D77C0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03" w:type="dxa"/>
            <w:vAlign w:val="center"/>
          </w:tcPr>
          <w:p w14:paraId="1B138624">
            <w:pPr>
              <w:adjustRightInd w:val="0"/>
              <w:snapToGrid w:val="0"/>
              <w:jc w:val="center"/>
              <w:rPr>
                <w:b/>
                <w:spacing w:val="-8"/>
                <w:szCs w:val="21"/>
              </w:rPr>
            </w:pPr>
            <w:r>
              <w:rPr>
                <w:b/>
                <w:spacing w:val="-8"/>
                <w:szCs w:val="21"/>
              </w:rPr>
              <w:t>其他环境</w:t>
            </w:r>
          </w:p>
          <w:p w14:paraId="300C84AE">
            <w:pPr>
              <w:adjustRightInd w:val="0"/>
              <w:snapToGrid w:val="0"/>
              <w:jc w:val="center"/>
              <w:rPr>
                <w:b/>
                <w:spacing w:val="-8"/>
                <w:szCs w:val="21"/>
              </w:rPr>
            </w:pPr>
            <w:r>
              <w:rPr>
                <w:b/>
                <w:spacing w:val="-8"/>
                <w:szCs w:val="21"/>
              </w:rPr>
              <w:t>管理要求</w:t>
            </w:r>
          </w:p>
        </w:tc>
        <w:tc>
          <w:tcPr>
            <w:tcW w:w="8803" w:type="dxa"/>
            <w:gridSpan w:val="4"/>
            <w:vAlign w:val="center"/>
          </w:tcPr>
          <w:p w14:paraId="0558ED3A">
            <w:pPr>
              <w:pStyle w:val="2"/>
              <w:rPr>
                <w:rFonts w:ascii="Times New Roman" w:cs="Times New Roman"/>
                <w:color w:val="auto"/>
                <w:sz w:val="21"/>
                <w:szCs w:val="21"/>
              </w:rPr>
            </w:pPr>
            <w:r>
              <w:rPr>
                <w:rFonts w:hint="eastAsia" w:ascii="Times New Roman" w:cs="Times New Roman"/>
                <w:color w:val="auto"/>
                <w:sz w:val="21"/>
                <w:szCs w:val="21"/>
              </w:rPr>
              <w:t>（1）本项目竣工后建设单位应依据《建设项目环境保护管理条例》（2017年10月1日起施行）和《建设项目竣工环境保护验收暂行办法》（国环规环评[2017]4号，2017年11月22日发布）、《建设项目竣工环境保护验收技术指南污染影响类》（公告2018年第9号，2018年5月16日印发），对配套建设的环境保护设施进行验收，编制验收报告。</w:t>
            </w:r>
          </w:p>
          <w:p w14:paraId="19F203B8">
            <w:pPr>
              <w:pStyle w:val="2"/>
              <w:rPr>
                <w:rFonts w:ascii="Times New Roman" w:cs="Times New Roman"/>
                <w:color w:val="auto"/>
                <w:sz w:val="21"/>
                <w:szCs w:val="21"/>
              </w:rPr>
            </w:pPr>
            <w:r>
              <w:rPr>
                <w:rFonts w:hint="eastAsia" w:ascii="Times New Roman" w:cs="Times New Roman"/>
                <w:color w:val="auto"/>
                <w:sz w:val="21"/>
                <w:szCs w:val="21"/>
              </w:rPr>
              <w:t>（2）</w:t>
            </w:r>
            <w:r>
              <w:rPr>
                <w:rFonts w:ascii="Times New Roman" w:cs="Times New Roman"/>
                <w:color w:val="auto"/>
                <w:sz w:val="21"/>
                <w:szCs w:val="21"/>
              </w:rPr>
              <w:t>根据《固定污染源排污许可分类管理名录（2019年版）》第四条，现有排污单位应当在生态环境部规定的实施时限内申请取得排污许可证或者填报排污登记表。新建排污单位应当在启动生产设施或者发生实际排污之前申请取得排污许可证或者填报排污登记表。本项目属于</w:t>
            </w:r>
            <w:r>
              <w:rPr>
                <w:rFonts w:hint="eastAsia" w:ascii="Times New Roman" w:cs="Times New Roman"/>
                <w:color w:val="auto"/>
                <w:sz w:val="21"/>
                <w:szCs w:val="21"/>
              </w:rPr>
              <w:t>新建</w:t>
            </w:r>
            <w:r>
              <w:rPr>
                <w:rFonts w:ascii="Times New Roman" w:cs="Times New Roman"/>
                <w:color w:val="auto"/>
                <w:sz w:val="21"/>
                <w:szCs w:val="21"/>
              </w:rPr>
              <w:t>项目，应当在启动生产设施或者发生实际排污之前申请取得排污许可证。根据《排污许可证申请与核发技术规范 总则》（HJ942-2018）、《排污许可管理办法（试行）》（环保部令第48号）及《固定污染源排污许可分类管理名录（2019年版）》（第11号令），</w:t>
            </w:r>
            <w:r>
              <w:rPr>
                <w:rFonts w:hint="eastAsia" w:ascii="Times New Roman" w:cs="Times New Roman"/>
                <w:color w:val="auto"/>
                <w:sz w:val="21"/>
                <w:szCs w:val="21"/>
              </w:rPr>
              <w:t>本项目为石墨及其他非金属矿物制品制造，属于登记管理排污单位。</w:t>
            </w:r>
          </w:p>
          <w:p w14:paraId="3C7B212D">
            <w:pPr>
              <w:pStyle w:val="2"/>
              <w:rPr>
                <w:rFonts w:ascii="Times New Roman" w:cs="Times New Roman"/>
                <w:color w:val="auto"/>
                <w:sz w:val="21"/>
                <w:szCs w:val="21"/>
              </w:rPr>
            </w:pPr>
            <w:r>
              <w:rPr>
                <w:rFonts w:hint="eastAsia" w:ascii="Times New Roman" w:cs="Times New Roman"/>
                <w:color w:val="auto"/>
                <w:sz w:val="21"/>
                <w:szCs w:val="21"/>
              </w:rPr>
              <w:t>（3）项目竣工环保验收合格后，建设单位应根据《排污许可证申请与核发技术规范 石墨及其他非金属矿物制品制造》（HJ1119-2020）的要求，定期对污染源进行监测，监测结果按排污许可相关管理要求进行公示公开。企业应将监测数据和报告存档，作为编制排污许可执行报告基础材料。监测数据应长期保存，并定期接受当地环保主管部门的考核。</w:t>
            </w:r>
          </w:p>
          <w:p w14:paraId="632B5ECE">
            <w:pPr>
              <w:pStyle w:val="4"/>
            </w:pPr>
          </w:p>
          <w:p w14:paraId="6F58FDA1"/>
          <w:p w14:paraId="552728F0">
            <w:pPr>
              <w:pStyle w:val="2"/>
              <w:rPr>
                <w:color w:val="auto"/>
              </w:rPr>
            </w:pPr>
          </w:p>
          <w:p w14:paraId="769120B6">
            <w:pPr>
              <w:pStyle w:val="4"/>
            </w:pPr>
          </w:p>
          <w:p w14:paraId="4A4483F8"/>
          <w:p w14:paraId="408D1431">
            <w:pPr>
              <w:pStyle w:val="2"/>
              <w:rPr>
                <w:color w:val="auto"/>
              </w:rPr>
            </w:pPr>
          </w:p>
          <w:p w14:paraId="39F44F46">
            <w:pPr>
              <w:pStyle w:val="4"/>
            </w:pPr>
          </w:p>
          <w:p w14:paraId="5EDF4ADA"/>
          <w:p w14:paraId="146AA2D9">
            <w:pPr>
              <w:pStyle w:val="2"/>
              <w:rPr>
                <w:rFonts w:hint="eastAsia"/>
                <w:color w:val="auto"/>
              </w:rPr>
            </w:pPr>
          </w:p>
          <w:p w14:paraId="35684D28">
            <w:pPr>
              <w:pStyle w:val="4"/>
              <w:rPr>
                <w:rFonts w:hint="eastAsia"/>
              </w:rPr>
            </w:pPr>
          </w:p>
          <w:p w14:paraId="23C3590F">
            <w:pPr>
              <w:rPr>
                <w:rFonts w:hint="eastAsia"/>
              </w:rPr>
            </w:pPr>
          </w:p>
          <w:p w14:paraId="65C2EDF5">
            <w:pPr>
              <w:pStyle w:val="2"/>
              <w:rPr>
                <w:rFonts w:hint="eastAsia"/>
              </w:rPr>
            </w:pPr>
          </w:p>
          <w:p w14:paraId="25FFE739">
            <w:pPr>
              <w:pStyle w:val="4"/>
              <w:rPr>
                <w:rFonts w:hint="eastAsia"/>
              </w:rPr>
            </w:pPr>
          </w:p>
          <w:p w14:paraId="1F52DE6E">
            <w:pPr>
              <w:rPr>
                <w:rFonts w:hint="eastAsia"/>
              </w:rPr>
            </w:pPr>
          </w:p>
          <w:p w14:paraId="48786FF9">
            <w:pPr>
              <w:pStyle w:val="2"/>
              <w:rPr>
                <w:rFonts w:hint="eastAsia"/>
              </w:rPr>
            </w:pPr>
          </w:p>
          <w:p w14:paraId="3DD19E63">
            <w:pPr>
              <w:pStyle w:val="4"/>
              <w:rPr>
                <w:rFonts w:hint="eastAsia"/>
              </w:rPr>
            </w:pPr>
          </w:p>
          <w:p w14:paraId="7C2A1C84">
            <w:pPr>
              <w:rPr>
                <w:rFonts w:hint="eastAsia"/>
              </w:rPr>
            </w:pPr>
          </w:p>
          <w:p w14:paraId="770ECD76">
            <w:pPr>
              <w:pStyle w:val="2"/>
              <w:rPr>
                <w:rFonts w:hint="eastAsia"/>
              </w:rPr>
            </w:pPr>
          </w:p>
          <w:p w14:paraId="56C2280F">
            <w:pPr>
              <w:pStyle w:val="4"/>
              <w:rPr>
                <w:rFonts w:hint="eastAsia"/>
              </w:rPr>
            </w:pPr>
          </w:p>
          <w:p w14:paraId="515CD32A"/>
          <w:p w14:paraId="7AEE9C94">
            <w:pPr>
              <w:pStyle w:val="4"/>
            </w:pPr>
          </w:p>
          <w:p w14:paraId="1708A370"/>
        </w:tc>
      </w:tr>
    </w:tbl>
    <w:p w14:paraId="2A74517A">
      <w:pPr>
        <w:pStyle w:val="31"/>
        <w:jc w:val="center"/>
        <w:outlineLvl w:val="0"/>
        <w:rPr>
          <w:rFonts w:ascii="黑体" w:hAnsi="黑体" w:eastAsia="黑体"/>
          <w:snapToGrid w:val="0"/>
          <w:sz w:val="30"/>
          <w:szCs w:val="30"/>
        </w:rPr>
      </w:pPr>
      <w:r>
        <w:rPr>
          <w:snapToGrid w:val="0"/>
        </w:rPr>
        <w:br w:type="page"/>
      </w:r>
      <w:bookmarkStart w:id="70" w:name="_Toc111712331"/>
      <w:r>
        <w:rPr>
          <w:rFonts w:hint="eastAsia" w:ascii="黑体" w:hAnsi="黑体" w:eastAsia="黑体"/>
          <w:snapToGrid w:val="0"/>
          <w:sz w:val="30"/>
          <w:szCs w:val="30"/>
        </w:rPr>
        <w:t>六、结论</w:t>
      </w:r>
      <w:bookmarkEnd w:id="70"/>
    </w:p>
    <w:tbl>
      <w:tblPr>
        <w:tblStyle w:val="34"/>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06"/>
      </w:tblGrid>
      <w:tr w14:paraId="24C945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991" w:hRule="atLeast"/>
          <w:jc w:val="center"/>
        </w:trPr>
        <w:tc>
          <w:tcPr>
            <w:tcW w:w="8865" w:type="dxa"/>
            <w:vAlign w:val="center"/>
          </w:tcPr>
          <w:p w14:paraId="0A9130E6">
            <w:pPr>
              <w:autoSpaceDE w:val="0"/>
              <w:autoSpaceDN w:val="0"/>
              <w:adjustRightInd w:val="0"/>
              <w:spacing w:line="360" w:lineRule="auto"/>
              <w:ind w:firstLine="480" w:firstLineChars="200"/>
              <w:rPr>
                <w:kern w:val="0"/>
                <w:sz w:val="24"/>
              </w:rPr>
            </w:pPr>
            <w:r>
              <w:rPr>
                <w:kern w:val="0"/>
                <w:sz w:val="24"/>
              </w:rPr>
              <w:t>本项目建设符合国家产业政策和区域环境功能区划，用地性质符合区域土地利用规划，项目选址合理。项目建设符</w:t>
            </w:r>
            <w:r>
              <w:rPr>
                <w:rFonts w:ascii="宋体" w:hAnsi="宋体"/>
                <w:kern w:val="0"/>
                <w:sz w:val="24"/>
              </w:rPr>
              <w:t>合“三线一单”</w:t>
            </w:r>
            <w:r>
              <w:rPr>
                <w:kern w:val="0"/>
                <w:sz w:val="24"/>
              </w:rPr>
              <w:t>要求，项目不属于《产业结构调整指导目录（</w:t>
            </w:r>
            <w:r>
              <w:rPr>
                <w:rFonts w:eastAsia="TimesNewRomanPSMT"/>
                <w:kern w:val="0"/>
                <w:sz w:val="24"/>
              </w:rPr>
              <w:t>20</w:t>
            </w:r>
            <w:r>
              <w:rPr>
                <w:rFonts w:hint="eastAsia" w:eastAsia="TimesNewRomanPSMT"/>
                <w:kern w:val="0"/>
                <w:sz w:val="24"/>
              </w:rPr>
              <w:t>24</w:t>
            </w:r>
            <w:r>
              <w:rPr>
                <w:kern w:val="0"/>
                <w:sz w:val="24"/>
              </w:rPr>
              <w:t>年本）》淘汰类和限制类项目，不属于《市场准入负面清单》（</w:t>
            </w:r>
            <w:r>
              <w:rPr>
                <w:rFonts w:eastAsia="TimesNewRomanPSMT"/>
                <w:kern w:val="0"/>
                <w:sz w:val="24"/>
              </w:rPr>
              <w:t>202</w:t>
            </w:r>
            <w:r>
              <w:rPr>
                <w:rFonts w:hint="eastAsia" w:eastAsia="TimesNewRomanPSMT"/>
                <w:kern w:val="0"/>
                <w:sz w:val="24"/>
              </w:rPr>
              <w:t>2</w:t>
            </w:r>
            <w:r>
              <w:rPr>
                <w:kern w:val="0"/>
                <w:sz w:val="24"/>
              </w:rPr>
              <w:t>年版）的负面清单禁止准入类项目。建设单位应严格落实报告中要求采取的污染防治措施，保证废气、废水、噪声达标排放，妥善处理各类固体废物。建设单位切实落实好本环境影响报告表中的环保措施，则本项目的建设不会对周围的环境产生明显的影响。</w:t>
            </w:r>
          </w:p>
          <w:p w14:paraId="20D0EBF2">
            <w:pPr>
              <w:autoSpaceDE w:val="0"/>
              <w:autoSpaceDN w:val="0"/>
              <w:adjustRightInd w:val="0"/>
              <w:spacing w:line="360" w:lineRule="auto"/>
              <w:ind w:firstLine="480" w:firstLineChars="200"/>
              <w:rPr>
                <w:rFonts w:ascii="宋体" w:cs="宋体"/>
                <w:sz w:val="24"/>
              </w:rPr>
            </w:pPr>
            <w:r>
              <w:rPr>
                <w:kern w:val="0"/>
                <w:sz w:val="24"/>
              </w:rPr>
              <w:t>从环境保护的角度分析，本项目建设可行。</w:t>
            </w:r>
          </w:p>
        </w:tc>
      </w:tr>
    </w:tbl>
    <w:p w14:paraId="6E50773E">
      <w:pPr>
        <w:rPr>
          <w:rFonts w:ascii="宋体"/>
        </w:rPr>
        <w:sectPr>
          <w:pgSz w:w="11906" w:h="16838"/>
          <w:pgMar w:top="1701" w:right="1531" w:bottom="1701" w:left="1531" w:header="851" w:footer="851" w:gutter="0"/>
          <w:cols w:space="720" w:num="1"/>
          <w:docGrid w:linePitch="312" w:charSpace="0"/>
        </w:sectPr>
      </w:pPr>
    </w:p>
    <w:p w14:paraId="39205BD2">
      <w:pPr>
        <w:pStyle w:val="31"/>
        <w:spacing w:before="0" w:beforeAutospacing="0" w:after="0" w:afterAutospacing="0"/>
        <w:outlineLvl w:val="0"/>
        <w:rPr>
          <w:rFonts w:ascii="黑体" w:hAnsi="黑体" w:eastAsia="黑体"/>
          <w:snapToGrid w:val="0"/>
          <w:sz w:val="30"/>
          <w:szCs w:val="30"/>
        </w:rPr>
      </w:pPr>
      <w:bookmarkStart w:id="71" w:name="_Toc111712332"/>
      <w:r>
        <w:rPr>
          <w:rFonts w:hint="eastAsia" w:ascii="黑体" w:hAnsi="黑体" w:eastAsia="黑体"/>
          <w:snapToGrid w:val="0"/>
          <w:sz w:val="32"/>
          <w:szCs w:val="32"/>
        </w:rPr>
        <w:t>附表</w:t>
      </w:r>
      <w:bookmarkEnd w:id="71"/>
    </w:p>
    <w:p w14:paraId="41D1E5BA">
      <w:pPr>
        <w:pStyle w:val="31"/>
        <w:spacing w:before="0" w:beforeAutospacing="0" w:after="0" w:afterAutospacing="0"/>
        <w:jc w:val="center"/>
        <w:outlineLvl w:val="0"/>
        <w:rPr>
          <w:rFonts w:ascii="黑体" w:hAnsi="黑体" w:eastAsia="黑体"/>
          <w:snapToGrid w:val="0"/>
          <w:sz w:val="30"/>
          <w:szCs w:val="30"/>
        </w:rPr>
      </w:pPr>
      <w:bookmarkStart w:id="72" w:name="_Toc111712333"/>
      <w:r>
        <w:rPr>
          <w:rFonts w:hint="eastAsia" w:ascii="黑体" w:hAnsi="黑体" w:eastAsia="黑体"/>
          <w:snapToGrid w:val="0"/>
          <w:sz w:val="30"/>
          <w:szCs w:val="30"/>
        </w:rPr>
        <w:t>建设项目污染物排放量汇总表</w:t>
      </w:r>
      <w:bookmarkEnd w:id="72"/>
    </w:p>
    <w:tbl>
      <w:tblPr>
        <w:tblStyle w:val="34"/>
        <w:tblW w:w="1378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1"/>
        <w:gridCol w:w="1984"/>
        <w:gridCol w:w="1701"/>
        <w:gridCol w:w="1276"/>
        <w:gridCol w:w="1701"/>
        <w:gridCol w:w="1559"/>
        <w:gridCol w:w="1418"/>
        <w:gridCol w:w="1701"/>
        <w:gridCol w:w="1427"/>
      </w:tblGrid>
      <w:tr w14:paraId="56DFDC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tcMar>
              <w:left w:w="28" w:type="dxa"/>
              <w:right w:w="28" w:type="dxa"/>
            </w:tcMar>
            <w:vAlign w:val="center"/>
          </w:tcPr>
          <w:p w14:paraId="5BA3A430">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项目</w:t>
            </w:r>
          </w:p>
          <w:p w14:paraId="00D9B064">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分类</w:t>
            </w:r>
          </w:p>
        </w:tc>
        <w:tc>
          <w:tcPr>
            <w:tcW w:w="1984" w:type="dxa"/>
            <w:tcMar>
              <w:left w:w="28" w:type="dxa"/>
              <w:right w:w="28" w:type="dxa"/>
            </w:tcMar>
            <w:vAlign w:val="center"/>
          </w:tcPr>
          <w:p w14:paraId="7786B721">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污染物名称</w:t>
            </w:r>
          </w:p>
        </w:tc>
        <w:tc>
          <w:tcPr>
            <w:tcW w:w="1701" w:type="dxa"/>
            <w:tcMar>
              <w:left w:w="28" w:type="dxa"/>
              <w:right w:w="28" w:type="dxa"/>
            </w:tcMar>
            <w:vAlign w:val="center"/>
          </w:tcPr>
          <w:p w14:paraId="7D6B04FC">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现有工程</w:t>
            </w:r>
          </w:p>
          <w:p w14:paraId="61282616">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排放量（固体废物产生量）</w:t>
            </w:r>
            <w:r>
              <w:rPr>
                <w:rFonts w:ascii="Times New Roman"/>
                <w:b/>
                <w:snapToGrid w:val="0"/>
                <w:spacing w:val="-6"/>
                <w:kern w:val="21"/>
                <w:szCs w:val="21"/>
              </w:rPr>
              <w:fldChar w:fldCharType="begin"/>
            </w:r>
            <w:r>
              <w:rPr>
                <w:rFonts w:ascii="Times New Roman"/>
                <w:b/>
                <w:snapToGrid w:val="0"/>
                <w:spacing w:val="-6"/>
                <w:kern w:val="21"/>
                <w:szCs w:val="21"/>
              </w:rPr>
              <w:instrText xml:space="preserve"> = 1 \* GB3 \* MERGEFORMAT </w:instrText>
            </w:r>
            <w:r>
              <w:rPr>
                <w:rFonts w:ascii="Times New Roman"/>
                <w:b/>
                <w:snapToGrid w:val="0"/>
                <w:spacing w:val="-6"/>
                <w:kern w:val="21"/>
                <w:szCs w:val="21"/>
              </w:rPr>
              <w:fldChar w:fldCharType="separate"/>
            </w:r>
            <w:r>
              <w:rPr>
                <w:rFonts w:ascii="Times New Roman" w:hAnsi="宋体"/>
                <w:b/>
                <w:kern w:val="2"/>
                <w:szCs w:val="21"/>
              </w:rPr>
              <w:t>①</w:t>
            </w:r>
            <w:r>
              <w:rPr>
                <w:rFonts w:ascii="Times New Roman"/>
                <w:b/>
                <w:snapToGrid w:val="0"/>
                <w:spacing w:val="-6"/>
                <w:kern w:val="21"/>
                <w:szCs w:val="21"/>
              </w:rPr>
              <w:fldChar w:fldCharType="end"/>
            </w:r>
          </w:p>
        </w:tc>
        <w:tc>
          <w:tcPr>
            <w:tcW w:w="1276" w:type="dxa"/>
            <w:tcMar>
              <w:left w:w="28" w:type="dxa"/>
              <w:right w:w="28" w:type="dxa"/>
            </w:tcMar>
            <w:vAlign w:val="center"/>
          </w:tcPr>
          <w:p w14:paraId="380B308D">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现有工程</w:t>
            </w:r>
          </w:p>
          <w:p w14:paraId="4E735E49">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许可排放量</w:t>
            </w:r>
          </w:p>
          <w:p w14:paraId="127290BC">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fldChar w:fldCharType="begin"/>
            </w:r>
            <w:r>
              <w:rPr>
                <w:rFonts w:ascii="Times New Roman"/>
                <w:b/>
                <w:snapToGrid w:val="0"/>
                <w:spacing w:val="-6"/>
                <w:kern w:val="21"/>
                <w:szCs w:val="21"/>
              </w:rPr>
              <w:instrText xml:space="preserve"> = 2 \* GB3 \* MERGEFORMAT </w:instrText>
            </w:r>
            <w:r>
              <w:rPr>
                <w:rFonts w:ascii="Times New Roman"/>
                <w:b/>
                <w:snapToGrid w:val="0"/>
                <w:spacing w:val="-6"/>
                <w:kern w:val="21"/>
                <w:szCs w:val="21"/>
              </w:rPr>
              <w:fldChar w:fldCharType="separate"/>
            </w:r>
            <w:r>
              <w:rPr>
                <w:rFonts w:ascii="Times New Roman" w:hAnsi="宋体"/>
                <w:b/>
                <w:snapToGrid w:val="0"/>
                <w:spacing w:val="-6"/>
                <w:kern w:val="21"/>
                <w:szCs w:val="21"/>
              </w:rPr>
              <w:t>②</w:t>
            </w:r>
            <w:r>
              <w:rPr>
                <w:rFonts w:ascii="Times New Roman"/>
                <w:b/>
                <w:snapToGrid w:val="0"/>
                <w:spacing w:val="-6"/>
                <w:kern w:val="21"/>
                <w:szCs w:val="21"/>
              </w:rPr>
              <w:fldChar w:fldCharType="end"/>
            </w:r>
          </w:p>
        </w:tc>
        <w:tc>
          <w:tcPr>
            <w:tcW w:w="1701" w:type="dxa"/>
            <w:tcMar>
              <w:left w:w="28" w:type="dxa"/>
              <w:right w:w="28" w:type="dxa"/>
            </w:tcMar>
            <w:vAlign w:val="center"/>
          </w:tcPr>
          <w:p w14:paraId="2C6B5839">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在建工程</w:t>
            </w:r>
          </w:p>
          <w:p w14:paraId="15621AC6">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排放量（固体废物产生量）</w:t>
            </w:r>
            <w:r>
              <w:rPr>
                <w:rFonts w:ascii="Times New Roman"/>
                <w:b/>
                <w:snapToGrid w:val="0"/>
                <w:spacing w:val="-6"/>
                <w:kern w:val="21"/>
                <w:szCs w:val="21"/>
              </w:rPr>
              <w:fldChar w:fldCharType="begin"/>
            </w:r>
            <w:r>
              <w:rPr>
                <w:rFonts w:ascii="Times New Roman"/>
                <w:b/>
                <w:snapToGrid w:val="0"/>
                <w:spacing w:val="-6"/>
                <w:kern w:val="21"/>
                <w:szCs w:val="21"/>
              </w:rPr>
              <w:instrText xml:space="preserve"> = 3 \* GB3 \* MERGEFORMAT </w:instrText>
            </w:r>
            <w:r>
              <w:rPr>
                <w:rFonts w:ascii="Times New Roman"/>
                <w:b/>
                <w:snapToGrid w:val="0"/>
                <w:spacing w:val="-6"/>
                <w:kern w:val="21"/>
                <w:szCs w:val="21"/>
              </w:rPr>
              <w:fldChar w:fldCharType="separate"/>
            </w:r>
            <w:r>
              <w:rPr>
                <w:rFonts w:ascii="Times New Roman" w:hAnsi="宋体"/>
                <w:b/>
                <w:kern w:val="2"/>
                <w:szCs w:val="21"/>
              </w:rPr>
              <w:t>③</w:t>
            </w:r>
            <w:r>
              <w:rPr>
                <w:rFonts w:ascii="Times New Roman"/>
                <w:b/>
                <w:snapToGrid w:val="0"/>
                <w:spacing w:val="-6"/>
                <w:kern w:val="21"/>
                <w:szCs w:val="21"/>
              </w:rPr>
              <w:fldChar w:fldCharType="end"/>
            </w:r>
          </w:p>
        </w:tc>
        <w:tc>
          <w:tcPr>
            <w:tcW w:w="1559" w:type="dxa"/>
            <w:tcMar>
              <w:left w:w="28" w:type="dxa"/>
              <w:right w:w="28" w:type="dxa"/>
            </w:tcMar>
            <w:vAlign w:val="center"/>
          </w:tcPr>
          <w:p w14:paraId="43E954D8">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本项目</w:t>
            </w:r>
          </w:p>
          <w:p w14:paraId="06088113">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排放量（固体废物产生量）</w:t>
            </w:r>
            <w:r>
              <w:rPr>
                <w:rFonts w:ascii="Times New Roman"/>
                <w:b/>
                <w:snapToGrid w:val="0"/>
                <w:spacing w:val="-6"/>
                <w:kern w:val="21"/>
                <w:szCs w:val="21"/>
              </w:rPr>
              <w:fldChar w:fldCharType="begin"/>
            </w:r>
            <w:r>
              <w:rPr>
                <w:rFonts w:ascii="Times New Roman"/>
                <w:b/>
                <w:snapToGrid w:val="0"/>
                <w:spacing w:val="-6"/>
                <w:kern w:val="21"/>
                <w:szCs w:val="21"/>
              </w:rPr>
              <w:instrText xml:space="preserve"> = 4 \* GB3 \* MERGEFORMAT </w:instrText>
            </w:r>
            <w:r>
              <w:rPr>
                <w:rFonts w:ascii="Times New Roman"/>
                <w:b/>
                <w:snapToGrid w:val="0"/>
                <w:spacing w:val="-6"/>
                <w:kern w:val="21"/>
                <w:szCs w:val="21"/>
              </w:rPr>
              <w:fldChar w:fldCharType="separate"/>
            </w:r>
            <w:r>
              <w:rPr>
                <w:rFonts w:ascii="Times New Roman" w:hAnsi="宋体"/>
                <w:b/>
                <w:kern w:val="2"/>
                <w:szCs w:val="21"/>
              </w:rPr>
              <w:t>④</w:t>
            </w:r>
            <w:r>
              <w:rPr>
                <w:rFonts w:ascii="Times New Roman"/>
                <w:b/>
                <w:snapToGrid w:val="0"/>
                <w:spacing w:val="-6"/>
                <w:kern w:val="21"/>
                <w:szCs w:val="21"/>
              </w:rPr>
              <w:fldChar w:fldCharType="end"/>
            </w:r>
          </w:p>
        </w:tc>
        <w:tc>
          <w:tcPr>
            <w:tcW w:w="1418" w:type="dxa"/>
            <w:tcMar>
              <w:left w:w="28" w:type="dxa"/>
              <w:right w:w="28" w:type="dxa"/>
            </w:tcMar>
            <w:vAlign w:val="center"/>
          </w:tcPr>
          <w:p w14:paraId="51E2F29E">
            <w:pPr>
              <w:pStyle w:val="47"/>
              <w:spacing w:beforeLines="0" w:afterLines="0" w:line="240" w:lineRule="auto"/>
              <w:rPr>
                <w:rFonts w:ascii="Times New Roman"/>
                <w:b/>
                <w:snapToGrid w:val="0"/>
                <w:spacing w:val="-16"/>
                <w:kern w:val="21"/>
                <w:szCs w:val="21"/>
              </w:rPr>
            </w:pPr>
            <w:r>
              <w:rPr>
                <w:rFonts w:ascii="Times New Roman"/>
                <w:b/>
                <w:snapToGrid w:val="0"/>
                <w:spacing w:val="-16"/>
                <w:kern w:val="21"/>
                <w:szCs w:val="21"/>
              </w:rPr>
              <w:t>以新带老削减量</w:t>
            </w:r>
          </w:p>
          <w:p w14:paraId="6DA3C93F">
            <w:pPr>
              <w:pStyle w:val="47"/>
              <w:spacing w:beforeLines="0" w:afterLines="0" w:line="240" w:lineRule="auto"/>
              <w:rPr>
                <w:rFonts w:ascii="Times New Roman"/>
                <w:b/>
                <w:snapToGrid w:val="0"/>
                <w:spacing w:val="-16"/>
                <w:kern w:val="21"/>
                <w:szCs w:val="21"/>
              </w:rPr>
            </w:pPr>
            <w:r>
              <w:rPr>
                <w:rFonts w:ascii="Times New Roman"/>
                <w:b/>
                <w:snapToGrid w:val="0"/>
                <w:spacing w:val="-16"/>
                <w:kern w:val="21"/>
                <w:szCs w:val="21"/>
              </w:rPr>
              <w:t>（新建项目不填）</w:t>
            </w:r>
            <w:r>
              <w:rPr>
                <w:rFonts w:ascii="Times New Roman"/>
                <w:b/>
                <w:snapToGrid w:val="0"/>
                <w:spacing w:val="-16"/>
                <w:kern w:val="21"/>
                <w:szCs w:val="21"/>
              </w:rPr>
              <w:fldChar w:fldCharType="begin"/>
            </w:r>
            <w:r>
              <w:rPr>
                <w:rFonts w:ascii="Times New Roman"/>
                <w:b/>
                <w:snapToGrid w:val="0"/>
                <w:spacing w:val="-16"/>
                <w:kern w:val="21"/>
                <w:szCs w:val="21"/>
              </w:rPr>
              <w:instrText xml:space="preserve"> = 5 \* GB3 \* MERGEFORMAT </w:instrText>
            </w:r>
            <w:r>
              <w:rPr>
                <w:rFonts w:ascii="Times New Roman"/>
                <w:b/>
                <w:snapToGrid w:val="0"/>
                <w:spacing w:val="-16"/>
                <w:kern w:val="21"/>
                <w:szCs w:val="21"/>
              </w:rPr>
              <w:fldChar w:fldCharType="separate"/>
            </w:r>
            <w:r>
              <w:rPr>
                <w:rFonts w:ascii="Times New Roman" w:hAnsi="宋体"/>
                <w:b/>
                <w:kern w:val="2"/>
                <w:szCs w:val="21"/>
              </w:rPr>
              <w:t>⑤</w:t>
            </w:r>
            <w:r>
              <w:rPr>
                <w:rFonts w:ascii="Times New Roman"/>
                <w:b/>
                <w:snapToGrid w:val="0"/>
                <w:spacing w:val="-16"/>
                <w:kern w:val="21"/>
                <w:szCs w:val="21"/>
              </w:rPr>
              <w:fldChar w:fldCharType="end"/>
            </w:r>
          </w:p>
        </w:tc>
        <w:tc>
          <w:tcPr>
            <w:tcW w:w="1701" w:type="dxa"/>
            <w:tcMar>
              <w:left w:w="28" w:type="dxa"/>
              <w:right w:w="28" w:type="dxa"/>
            </w:tcMar>
            <w:vAlign w:val="center"/>
          </w:tcPr>
          <w:p w14:paraId="7347C0BE">
            <w:pPr>
              <w:pStyle w:val="47"/>
              <w:spacing w:beforeLines="0" w:afterLines="0" w:line="240" w:lineRule="auto"/>
              <w:rPr>
                <w:rFonts w:ascii="Times New Roman"/>
                <w:b/>
                <w:snapToGrid w:val="0"/>
                <w:spacing w:val="-16"/>
                <w:kern w:val="21"/>
                <w:szCs w:val="21"/>
              </w:rPr>
            </w:pPr>
            <w:r>
              <w:rPr>
                <w:rFonts w:ascii="Times New Roman"/>
                <w:b/>
                <w:snapToGrid w:val="0"/>
                <w:spacing w:val="-16"/>
                <w:kern w:val="21"/>
                <w:szCs w:val="21"/>
              </w:rPr>
              <w:t>本项目建成后</w:t>
            </w:r>
          </w:p>
          <w:p w14:paraId="35AEABDC">
            <w:pPr>
              <w:pStyle w:val="47"/>
              <w:spacing w:beforeLines="0" w:afterLines="0" w:line="240" w:lineRule="auto"/>
              <w:rPr>
                <w:rFonts w:ascii="Times New Roman"/>
                <w:b/>
                <w:snapToGrid w:val="0"/>
                <w:spacing w:val="-16"/>
                <w:kern w:val="21"/>
                <w:szCs w:val="21"/>
              </w:rPr>
            </w:pPr>
            <w:r>
              <w:rPr>
                <w:rFonts w:ascii="Times New Roman"/>
                <w:b/>
                <w:snapToGrid w:val="0"/>
                <w:spacing w:val="-16"/>
                <w:kern w:val="21"/>
                <w:szCs w:val="21"/>
              </w:rPr>
              <w:t>全厂排放量（固体废物产生量）</w:t>
            </w:r>
            <w:r>
              <w:rPr>
                <w:rFonts w:ascii="Times New Roman"/>
                <w:b/>
                <w:snapToGrid w:val="0"/>
                <w:spacing w:val="-16"/>
                <w:kern w:val="21"/>
                <w:szCs w:val="21"/>
              </w:rPr>
              <w:fldChar w:fldCharType="begin"/>
            </w:r>
            <w:r>
              <w:rPr>
                <w:rFonts w:ascii="Times New Roman"/>
                <w:b/>
                <w:snapToGrid w:val="0"/>
                <w:spacing w:val="-16"/>
                <w:kern w:val="21"/>
                <w:szCs w:val="21"/>
              </w:rPr>
              <w:instrText xml:space="preserve"> = 6 \* GB3 \* MERGEFORMAT </w:instrText>
            </w:r>
            <w:r>
              <w:rPr>
                <w:rFonts w:ascii="Times New Roman"/>
                <w:b/>
                <w:snapToGrid w:val="0"/>
                <w:spacing w:val="-16"/>
                <w:kern w:val="21"/>
                <w:szCs w:val="21"/>
              </w:rPr>
              <w:fldChar w:fldCharType="separate"/>
            </w:r>
            <w:r>
              <w:rPr>
                <w:rFonts w:ascii="Times New Roman" w:hAnsi="宋体"/>
                <w:b/>
                <w:kern w:val="2"/>
                <w:szCs w:val="21"/>
              </w:rPr>
              <w:t>⑥</w:t>
            </w:r>
            <w:r>
              <w:rPr>
                <w:rFonts w:ascii="Times New Roman"/>
                <w:b/>
                <w:snapToGrid w:val="0"/>
                <w:spacing w:val="-16"/>
                <w:kern w:val="21"/>
                <w:szCs w:val="21"/>
              </w:rPr>
              <w:fldChar w:fldCharType="end"/>
            </w:r>
          </w:p>
        </w:tc>
        <w:tc>
          <w:tcPr>
            <w:tcW w:w="1427" w:type="dxa"/>
            <w:tcMar>
              <w:left w:w="28" w:type="dxa"/>
              <w:right w:w="28" w:type="dxa"/>
            </w:tcMar>
            <w:vAlign w:val="center"/>
          </w:tcPr>
          <w:p w14:paraId="33AEF991">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t>变化量</w:t>
            </w:r>
          </w:p>
          <w:p w14:paraId="59DFBD63">
            <w:pPr>
              <w:pStyle w:val="47"/>
              <w:spacing w:beforeLines="0" w:afterLines="0" w:line="240" w:lineRule="auto"/>
              <w:rPr>
                <w:rFonts w:ascii="Times New Roman"/>
                <w:b/>
                <w:snapToGrid w:val="0"/>
                <w:spacing w:val="-6"/>
                <w:kern w:val="21"/>
                <w:szCs w:val="21"/>
              </w:rPr>
            </w:pPr>
            <w:r>
              <w:rPr>
                <w:rFonts w:ascii="Times New Roman"/>
                <w:b/>
                <w:snapToGrid w:val="0"/>
                <w:spacing w:val="-6"/>
                <w:kern w:val="21"/>
                <w:szCs w:val="21"/>
              </w:rPr>
              <w:fldChar w:fldCharType="begin"/>
            </w:r>
            <w:r>
              <w:rPr>
                <w:rFonts w:ascii="Times New Roman"/>
                <w:b/>
                <w:snapToGrid w:val="0"/>
                <w:spacing w:val="-6"/>
                <w:kern w:val="21"/>
                <w:szCs w:val="21"/>
              </w:rPr>
              <w:instrText xml:space="preserve"> = 7 \* GB3 \* MERGEFORMAT </w:instrText>
            </w:r>
            <w:r>
              <w:rPr>
                <w:rFonts w:ascii="Times New Roman"/>
                <w:b/>
                <w:snapToGrid w:val="0"/>
                <w:spacing w:val="-6"/>
                <w:kern w:val="21"/>
                <w:szCs w:val="21"/>
              </w:rPr>
              <w:fldChar w:fldCharType="separate"/>
            </w:r>
            <w:r>
              <w:rPr>
                <w:rFonts w:ascii="Times New Roman" w:hAnsi="宋体"/>
                <w:b/>
                <w:kern w:val="2"/>
                <w:szCs w:val="21"/>
              </w:rPr>
              <w:t>⑦</w:t>
            </w:r>
            <w:r>
              <w:rPr>
                <w:rFonts w:ascii="Times New Roman"/>
                <w:b/>
                <w:snapToGrid w:val="0"/>
                <w:spacing w:val="-6"/>
                <w:kern w:val="21"/>
                <w:szCs w:val="21"/>
              </w:rPr>
              <w:fldChar w:fldCharType="end"/>
            </w:r>
          </w:p>
        </w:tc>
      </w:tr>
      <w:tr w14:paraId="21D214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restart"/>
            <w:vAlign w:val="center"/>
          </w:tcPr>
          <w:p w14:paraId="5B3C98F4">
            <w:pPr>
              <w:pStyle w:val="47"/>
              <w:spacing w:beforeLines="0" w:afterLines="0" w:line="240" w:lineRule="auto"/>
              <w:rPr>
                <w:rFonts w:ascii="Times New Roman"/>
                <w:b/>
                <w:snapToGrid w:val="0"/>
                <w:kern w:val="21"/>
                <w:szCs w:val="21"/>
              </w:rPr>
            </w:pPr>
            <w:r>
              <w:rPr>
                <w:rFonts w:ascii="Times New Roman"/>
                <w:b/>
                <w:snapToGrid w:val="0"/>
                <w:kern w:val="21"/>
                <w:szCs w:val="21"/>
              </w:rPr>
              <w:t>废气</w:t>
            </w:r>
          </w:p>
        </w:tc>
        <w:tc>
          <w:tcPr>
            <w:tcW w:w="1984" w:type="dxa"/>
            <w:vAlign w:val="center"/>
          </w:tcPr>
          <w:p w14:paraId="5B36D4D5">
            <w:pPr>
              <w:adjustRightInd w:val="0"/>
              <w:snapToGrid w:val="0"/>
              <w:jc w:val="center"/>
              <w:rPr>
                <w:szCs w:val="21"/>
              </w:rPr>
            </w:pPr>
            <w:r>
              <w:rPr>
                <w:szCs w:val="21"/>
              </w:rPr>
              <w:t>颗粒物（有组织）</w:t>
            </w:r>
          </w:p>
        </w:tc>
        <w:tc>
          <w:tcPr>
            <w:tcW w:w="1701" w:type="dxa"/>
            <w:vAlign w:val="center"/>
          </w:tcPr>
          <w:p w14:paraId="29112E56">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1276" w:type="dxa"/>
            <w:vAlign w:val="center"/>
          </w:tcPr>
          <w:p w14:paraId="386A81B3">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1701" w:type="dxa"/>
            <w:vAlign w:val="center"/>
          </w:tcPr>
          <w:p w14:paraId="5DB81175">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1559" w:type="dxa"/>
            <w:vAlign w:val="center"/>
          </w:tcPr>
          <w:p w14:paraId="768DA4C7">
            <w:pPr>
              <w:jc w:val="center"/>
              <w:rPr>
                <w:szCs w:val="21"/>
              </w:rPr>
            </w:pPr>
            <w:r>
              <w:rPr>
                <w:rFonts w:hint="eastAsia"/>
                <w:szCs w:val="21"/>
              </w:rPr>
              <w:t>0.476</w:t>
            </w:r>
          </w:p>
        </w:tc>
        <w:tc>
          <w:tcPr>
            <w:tcW w:w="1418" w:type="dxa"/>
            <w:vAlign w:val="center"/>
          </w:tcPr>
          <w:p w14:paraId="54E081CF">
            <w:pPr>
              <w:jc w:val="center"/>
              <w:rPr>
                <w:szCs w:val="21"/>
              </w:rPr>
            </w:pPr>
            <w:r>
              <w:rPr>
                <w:rFonts w:hint="eastAsia"/>
                <w:szCs w:val="21"/>
              </w:rPr>
              <w:t>0</w:t>
            </w:r>
          </w:p>
        </w:tc>
        <w:tc>
          <w:tcPr>
            <w:tcW w:w="1701" w:type="dxa"/>
            <w:vAlign w:val="center"/>
          </w:tcPr>
          <w:p w14:paraId="06323961">
            <w:pPr>
              <w:jc w:val="center"/>
              <w:rPr>
                <w:szCs w:val="21"/>
              </w:rPr>
            </w:pPr>
            <w:r>
              <w:rPr>
                <w:rFonts w:hint="eastAsia"/>
                <w:szCs w:val="21"/>
              </w:rPr>
              <w:t>0.476</w:t>
            </w:r>
          </w:p>
        </w:tc>
        <w:tc>
          <w:tcPr>
            <w:tcW w:w="1427" w:type="dxa"/>
            <w:vAlign w:val="center"/>
          </w:tcPr>
          <w:p w14:paraId="41CFC37D">
            <w:pPr>
              <w:jc w:val="center"/>
              <w:rPr>
                <w:szCs w:val="21"/>
              </w:rPr>
            </w:pPr>
            <w:r>
              <w:rPr>
                <w:rFonts w:hint="eastAsia"/>
                <w:szCs w:val="21"/>
              </w:rPr>
              <w:t>+0.476</w:t>
            </w:r>
          </w:p>
        </w:tc>
      </w:tr>
      <w:tr w14:paraId="2A1306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303CAA9E">
            <w:pPr>
              <w:pStyle w:val="47"/>
              <w:spacing w:beforeLines="0" w:afterLines="0" w:line="240" w:lineRule="auto"/>
              <w:rPr>
                <w:rFonts w:ascii="Times New Roman"/>
                <w:b/>
                <w:snapToGrid w:val="0"/>
                <w:kern w:val="21"/>
                <w:szCs w:val="21"/>
              </w:rPr>
            </w:pPr>
          </w:p>
        </w:tc>
        <w:tc>
          <w:tcPr>
            <w:tcW w:w="1984" w:type="dxa"/>
            <w:vAlign w:val="center"/>
          </w:tcPr>
          <w:p w14:paraId="32FC5060">
            <w:pPr>
              <w:adjustRightInd w:val="0"/>
              <w:snapToGrid w:val="0"/>
              <w:jc w:val="center"/>
              <w:rPr>
                <w:szCs w:val="21"/>
              </w:rPr>
            </w:pPr>
            <w:r>
              <w:rPr>
                <w:szCs w:val="21"/>
              </w:rPr>
              <w:t>颗粒物（</w:t>
            </w:r>
            <w:r>
              <w:rPr>
                <w:rFonts w:hint="eastAsia"/>
                <w:szCs w:val="21"/>
              </w:rPr>
              <w:t>无</w:t>
            </w:r>
            <w:r>
              <w:rPr>
                <w:szCs w:val="21"/>
              </w:rPr>
              <w:t>组织）</w:t>
            </w:r>
          </w:p>
        </w:tc>
        <w:tc>
          <w:tcPr>
            <w:tcW w:w="1701" w:type="dxa"/>
            <w:vAlign w:val="center"/>
          </w:tcPr>
          <w:p w14:paraId="0A7C2E76">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4D6F44B7">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1C621AE6">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278B04A3">
            <w:pPr>
              <w:jc w:val="center"/>
              <w:rPr>
                <w:szCs w:val="21"/>
              </w:rPr>
            </w:pPr>
            <w:r>
              <w:rPr>
                <w:rFonts w:hint="eastAsia"/>
                <w:szCs w:val="21"/>
              </w:rPr>
              <w:t>1.236</w:t>
            </w:r>
          </w:p>
        </w:tc>
        <w:tc>
          <w:tcPr>
            <w:tcW w:w="1418" w:type="dxa"/>
            <w:vAlign w:val="center"/>
          </w:tcPr>
          <w:p w14:paraId="18FAA2A6">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56DD7879">
            <w:pPr>
              <w:jc w:val="center"/>
              <w:rPr>
                <w:szCs w:val="21"/>
              </w:rPr>
            </w:pPr>
            <w:r>
              <w:rPr>
                <w:rFonts w:hint="eastAsia"/>
                <w:szCs w:val="21"/>
              </w:rPr>
              <w:t>1.236</w:t>
            </w:r>
          </w:p>
        </w:tc>
        <w:tc>
          <w:tcPr>
            <w:tcW w:w="1427" w:type="dxa"/>
            <w:vAlign w:val="center"/>
          </w:tcPr>
          <w:p w14:paraId="2A23EA0C">
            <w:pPr>
              <w:jc w:val="center"/>
              <w:rPr>
                <w:szCs w:val="21"/>
              </w:rPr>
            </w:pPr>
            <w:r>
              <w:rPr>
                <w:rFonts w:hint="eastAsia"/>
                <w:szCs w:val="21"/>
              </w:rPr>
              <w:t>+1.234</w:t>
            </w:r>
          </w:p>
        </w:tc>
      </w:tr>
      <w:tr w14:paraId="4EE8C0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restart"/>
            <w:vAlign w:val="center"/>
          </w:tcPr>
          <w:p w14:paraId="1A4AFC26">
            <w:pPr>
              <w:pStyle w:val="47"/>
              <w:spacing w:beforeLines="0" w:afterLines="0" w:line="240" w:lineRule="auto"/>
              <w:rPr>
                <w:rFonts w:ascii="Times New Roman"/>
                <w:b/>
                <w:snapToGrid w:val="0"/>
                <w:kern w:val="21"/>
                <w:szCs w:val="21"/>
              </w:rPr>
            </w:pPr>
            <w:r>
              <w:rPr>
                <w:rFonts w:ascii="Times New Roman"/>
                <w:b/>
                <w:snapToGrid w:val="0"/>
                <w:kern w:val="21"/>
                <w:szCs w:val="21"/>
              </w:rPr>
              <w:t>废水</w:t>
            </w:r>
          </w:p>
        </w:tc>
        <w:tc>
          <w:tcPr>
            <w:tcW w:w="1984" w:type="dxa"/>
            <w:vAlign w:val="center"/>
          </w:tcPr>
          <w:p w14:paraId="4B0E6BC1">
            <w:pPr>
              <w:adjustRightInd w:val="0"/>
              <w:snapToGrid w:val="0"/>
              <w:jc w:val="center"/>
              <w:rPr>
                <w:bCs/>
                <w:spacing w:val="-10"/>
                <w:szCs w:val="21"/>
              </w:rPr>
            </w:pPr>
            <w:r>
              <w:rPr>
                <w:bCs/>
                <w:spacing w:val="-10"/>
                <w:szCs w:val="21"/>
              </w:rPr>
              <w:t>排放量m</w:t>
            </w:r>
            <w:r>
              <w:rPr>
                <w:bCs/>
                <w:spacing w:val="-10"/>
                <w:szCs w:val="21"/>
                <w:vertAlign w:val="superscript"/>
              </w:rPr>
              <w:t>3</w:t>
            </w:r>
            <w:r>
              <w:rPr>
                <w:bCs/>
                <w:spacing w:val="-10"/>
                <w:szCs w:val="21"/>
              </w:rPr>
              <w:t>/a</w:t>
            </w:r>
          </w:p>
        </w:tc>
        <w:tc>
          <w:tcPr>
            <w:tcW w:w="1701" w:type="dxa"/>
            <w:vAlign w:val="center"/>
          </w:tcPr>
          <w:p w14:paraId="632E7998">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24FE8803">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1701" w:type="dxa"/>
            <w:vAlign w:val="center"/>
          </w:tcPr>
          <w:p w14:paraId="10AD64C9">
            <w:pPr>
              <w:pStyle w:val="47"/>
              <w:spacing w:beforeLines="0" w:afterLines="0" w:line="240" w:lineRule="auto"/>
              <w:rPr>
                <w:rFonts w:ascii="Times New Roman"/>
                <w:snapToGrid w:val="0"/>
                <w:kern w:val="21"/>
                <w:szCs w:val="21"/>
              </w:rPr>
            </w:pPr>
            <w:r>
              <w:rPr>
                <w:rFonts w:ascii="Times New Roman"/>
                <w:snapToGrid w:val="0"/>
                <w:kern w:val="21"/>
                <w:szCs w:val="21"/>
              </w:rPr>
              <w:t>0</w:t>
            </w:r>
          </w:p>
        </w:tc>
        <w:tc>
          <w:tcPr>
            <w:tcW w:w="1559" w:type="dxa"/>
            <w:vAlign w:val="center"/>
          </w:tcPr>
          <w:p w14:paraId="22E992A4">
            <w:pPr>
              <w:pStyle w:val="47"/>
              <w:spacing w:beforeLines="0" w:afterLines="0" w:line="240" w:lineRule="auto"/>
              <w:rPr>
                <w:rFonts w:ascii="Times New Roman"/>
                <w:snapToGrid w:val="0"/>
                <w:kern w:val="21"/>
                <w:szCs w:val="21"/>
              </w:rPr>
            </w:pPr>
            <w:r>
              <w:rPr>
                <w:rFonts w:hint="eastAsia" w:ascii="Times New Roman"/>
                <w:snapToGrid w:val="0"/>
                <w:kern w:val="21"/>
                <w:szCs w:val="21"/>
              </w:rPr>
              <w:t>304</w:t>
            </w:r>
          </w:p>
        </w:tc>
        <w:tc>
          <w:tcPr>
            <w:tcW w:w="1418" w:type="dxa"/>
            <w:vAlign w:val="center"/>
          </w:tcPr>
          <w:p w14:paraId="6F13554C">
            <w:pPr>
              <w:jc w:val="center"/>
              <w:rPr>
                <w:szCs w:val="21"/>
              </w:rPr>
            </w:pPr>
            <w:r>
              <w:rPr>
                <w:szCs w:val="21"/>
              </w:rPr>
              <w:t>0</w:t>
            </w:r>
          </w:p>
        </w:tc>
        <w:tc>
          <w:tcPr>
            <w:tcW w:w="1701" w:type="dxa"/>
            <w:vAlign w:val="center"/>
          </w:tcPr>
          <w:p w14:paraId="3EF6F5A0">
            <w:pPr>
              <w:pStyle w:val="47"/>
              <w:spacing w:beforeLines="0" w:afterLines="0" w:line="240" w:lineRule="auto"/>
              <w:rPr>
                <w:rFonts w:ascii="Times New Roman"/>
                <w:snapToGrid w:val="0"/>
                <w:kern w:val="21"/>
                <w:szCs w:val="21"/>
              </w:rPr>
            </w:pPr>
            <w:r>
              <w:rPr>
                <w:rFonts w:hint="eastAsia" w:ascii="Times New Roman"/>
                <w:snapToGrid w:val="0"/>
                <w:kern w:val="21"/>
                <w:szCs w:val="21"/>
              </w:rPr>
              <w:t>304</w:t>
            </w:r>
          </w:p>
        </w:tc>
        <w:tc>
          <w:tcPr>
            <w:tcW w:w="1427" w:type="dxa"/>
            <w:vAlign w:val="center"/>
          </w:tcPr>
          <w:p w14:paraId="0E7167B6">
            <w:pPr>
              <w:jc w:val="center"/>
              <w:rPr>
                <w:szCs w:val="21"/>
              </w:rPr>
            </w:pPr>
            <w:r>
              <w:rPr>
                <w:rFonts w:hint="eastAsia"/>
                <w:szCs w:val="21"/>
              </w:rPr>
              <w:t>+304</w:t>
            </w:r>
          </w:p>
        </w:tc>
      </w:tr>
      <w:tr w14:paraId="684A85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1F82E060">
            <w:pPr>
              <w:pStyle w:val="47"/>
              <w:spacing w:beforeLines="0" w:afterLines="0" w:line="240" w:lineRule="auto"/>
              <w:rPr>
                <w:rFonts w:ascii="Times New Roman"/>
                <w:b/>
                <w:snapToGrid w:val="0"/>
                <w:kern w:val="21"/>
                <w:szCs w:val="21"/>
              </w:rPr>
            </w:pPr>
          </w:p>
        </w:tc>
        <w:tc>
          <w:tcPr>
            <w:tcW w:w="1984" w:type="dxa"/>
            <w:vAlign w:val="center"/>
          </w:tcPr>
          <w:p w14:paraId="2DC4B09B">
            <w:pPr>
              <w:adjustRightInd w:val="0"/>
              <w:snapToGrid w:val="0"/>
              <w:jc w:val="center"/>
              <w:rPr>
                <w:bCs/>
                <w:spacing w:val="-10"/>
                <w:szCs w:val="21"/>
              </w:rPr>
            </w:pPr>
            <w:r>
              <w:rPr>
                <w:rFonts w:hint="eastAsia"/>
                <w:bCs/>
                <w:spacing w:val="-10"/>
                <w:szCs w:val="21"/>
              </w:rPr>
              <w:t>COD</w:t>
            </w:r>
          </w:p>
        </w:tc>
        <w:tc>
          <w:tcPr>
            <w:tcW w:w="1701" w:type="dxa"/>
            <w:vAlign w:val="center"/>
          </w:tcPr>
          <w:p w14:paraId="571A0248">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164FC984">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301CDB14">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00C8696A">
            <w:pPr>
              <w:pStyle w:val="47"/>
              <w:spacing w:beforeLines="0" w:afterLines="0" w:line="240" w:lineRule="auto"/>
              <w:rPr>
                <w:rFonts w:ascii="Times New Roman"/>
                <w:snapToGrid w:val="0"/>
                <w:kern w:val="21"/>
                <w:szCs w:val="21"/>
              </w:rPr>
            </w:pPr>
            <w:r>
              <w:rPr>
                <w:rFonts w:hint="eastAsia" w:ascii="Times New Roman"/>
                <w:snapToGrid w:val="0"/>
                <w:kern w:val="21"/>
                <w:szCs w:val="21"/>
              </w:rPr>
              <w:t>0.015</w:t>
            </w:r>
          </w:p>
        </w:tc>
        <w:tc>
          <w:tcPr>
            <w:tcW w:w="1418" w:type="dxa"/>
            <w:vAlign w:val="center"/>
          </w:tcPr>
          <w:p w14:paraId="5F6B579A">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6A7531CC">
            <w:pPr>
              <w:pStyle w:val="47"/>
              <w:spacing w:beforeLines="0" w:afterLines="0" w:line="240" w:lineRule="auto"/>
              <w:rPr>
                <w:rFonts w:ascii="Times New Roman"/>
                <w:snapToGrid w:val="0"/>
                <w:kern w:val="21"/>
                <w:szCs w:val="21"/>
              </w:rPr>
            </w:pPr>
            <w:r>
              <w:rPr>
                <w:rFonts w:hint="eastAsia" w:ascii="Times New Roman"/>
                <w:snapToGrid w:val="0"/>
                <w:kern w:val="21"/>
                <w:szCs w:val="21"/>
              </w:rPr>
              <w:t>0.015</w:t>
            </w:r>
          </w:p>
        </w:tc>
        <w:tc>
          <w:tcPr>
            <w:tcW w:w="1427" w:type="dxa"/>
            <w:vAlign w:val="center"/>
          </w:tcPr>
          <w:p w14:paraId="00661E09">
            <w:pPr>
              <w:pStyle w:val="47"/>
              <w:spacing w:beforeLines="0" w:afterLines="0" w:line="240" w:lineRule="auto"/>
              <w:rPr>
                <w:rFonts w:ascii="Times New Roman"/>
                <w:snapToGrid w:val="0"/>
                <w:kern w:val="21"/>
                <w:szCs w:val="21"/>
              </w:rPr>
            </w:pPr>
            <w:r>
              <w:rPr>
                <w:rFonts w:hint="eastAsia" w:ascii="Times New Roman"/>
                <w:snapToGrid w:val="0"/>
                <w:kern w:val="21"/>
                <w:szCs w:val="21"/>
              </w:rPr>
              <w:t>+0.015</w:t>
            </w:r>
          </w:p>
        </w:tc>
      </w:tr>
      <w:tr w14:paraId="4DB7F1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26069D6D">
            <w:pPr>
              <w:pStyle w:val="47"/>
              <w:spacing w:beforeLines="0" w:afterLines="0" w:line="240" w:lineRule="auto"/>
              <w:rPr>
                <w:rFonts w:ascii="Times New Roman"/>
                <w:b/>
                <w:snapToGrid w:val="0"/>
                <w:kern w:val="21"/>
                <w:szCs w:val="21"/>
              </w:rPr>
            </w:pPr>
          </w:p>
        </w:tc>
        <w:tc>
          <w:tcPr>
            <w:tcW w:w="1984" w:type="dxa"/>
            <w:vAlign w:val="center"/>
          </w:tcPr>
          <w:p w14:paraId="18084177">
            <w:pPr>
              <w:adjustRightInd w:val="0"/>
              <w:snapToGrid w:val="0"/>
              <w:jc w:val="center"/>
              <w:rPr>
                <w:bCs/>
                <w:spacing w:val="-10"/>
                <w:szCs w:val="21"/>
              </w:rPr>
            </w:pPr>
            <w:r>
              <w:rPr>
                <w:rFonts w:hint="eastAsia"/>
                <w:bCs/>
                <w:spacing w:val="-10"/>
                <w:szCs w:val="21"/>
              </w:rPr>
              <w:t>BOD</w:t>
            </w:r>
            <w:r>
              <w:rPr>
                <w:rFonts w:hint="eastAsia"/>
                <w:bCs/>
                <w:spacing w:val="-10"/>
                <w:szCs w:val="21"/>
                <w:vertAlign w:val="subscript"/>
              </w:rPr>
              <w:t>5</w:t>
            </w:r>
          </w:p>
        </w:tc>
        <w:tc>
          <w:tcPr>
            <w:tcW w:w="1701" w:type="dxa"/>
            <w:vAlign w:val="center"/>
          </w:tcPr>
          <w:p w14:paraId="00D5F89D">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1A82D91B">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37EF83B8">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317FF9A5">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c>
          <w:tcPr>
            <w:tcW w:w="1418" w:type="dxa"/>
            <w:vAlign w:val="center"/>
          </w:tcPr>
          <w:p w14:paraId="7675EA9C">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388E8434">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c>
          <w:tcPr>
            <w:tcW w:w="1427" w:type="dxa"/>
            <w:vAlign w:val="center"/>
          </w:tcPr>
          <w:p w14:paraId="3C3A12D9">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r>
      <w:tr w14:paraId="04B7EF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370D6940">
            <w:pPr>
              <w:pStyle w:val="47"/>
              <w:spacing w:beforeLines="0" w:afterLines="0" w:line="240" w:lineRule="auto"/>
              <w:rPr>
                <w:rFonts w:ascii="Times New Roman"/>
                <w:b/>
                <w:snapToGrid w:val="0"/>
                <w:kern w:val="21"/>
                <w:szCs w:val="21"/>
              </w:rPr>
            </w:pPr>
          </w:p>
        </w:tc>
        <w:tc>
          <w:tcPr>
            <w:tcW w:w="1984" w:type="dxa"/>
            <w:vAlign w:val="center"/>
          </w:tcPr>
          <w:p w14:paraId="78EF7C63">
            <w:pPr>
              <w:adjustRightInd w:val="0"/>
              <w:snapToGrid w:val="0"/>
              <w:jc w:val="center"/>
              <w:rPr>
                <w:bCs/>
                <w:spacing w:val="-10"/>
                <w:szCs w:val="21"/>
              </w:rPr>
            </w:pPr>
            <w:r>
              <w:rPr>
                <w:rFonts w:hint="eastAsia"/>
                <w:bCs/>
                <w:spacing w:val="-10"/>
                <w:szCs w:val="21"/>
              </w:rPr>
              <w:t>NH</w:t>
            </w:r>
            <w:r>
              <w:rPr>
                <w:rFonts w:hint="eastAsia"/>
                <w:bCs/>
                <w:spacing w:val="-10"/>
                <w:szCs w:val="21"/>
                <w:vertAlign w:val="subscript"/>
              </w:rPr>
              <w:t>3</w:t>
            </w:r>
            <w:r>
              <w:rPr>
                <w:rFonts w:hint="eastAsia"/>
                <w:bCs/>
                <w:spacing w:val="-10"/>
                <w:szCs w:val="21"/>
              </w:rPr>
              <w:t>-N</w:t>
            </w:r>
          </w:p>
        </w:tc>
        <w:tc>
          <w:tcPr>
            <w:tcW w:w="1701" w:type="dxa"/>
            <w:vAlign w:val="center"/>
          </w:tcPr>
          <w:p w14:paraId="73EA572C">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67F3023F">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0A453F82">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4A5068E3">
            <w:pPr>
              <w:pStyle w:val="47"/>
              <w:spacing w:beforeLines="0" w:afterLines="0" w:line="240" w:lineRule="auto"/>
              <w:rPr>
                <w:rFonts w:ascii="Times New Roman"/>
                <w:snapToGrid w:val="0"/>
                <w:kern w:val="21"/>
                <w:szCs w:val="21"/>
              </w:rPr>
            </w:pPr>
            <w:r>
              <w:rPr>
                <w:rFonts w:hint="eastAsia" w:ascii="Times New Roman"/>
                <w:snapToGrid w:val="0"/>
                <w:kern w:val="21"/>
                <w:szCs w:val="21"/>
              </w:rPr>
              <w:t>0.0015</w:t>
            </w:r>
          </w:p>
        </w:tc>
        <w:tc>
          <w:tcPr>
            <w:tcW w:w="1418" w:type="dxa"/>
            <w:vAlign w:val="center"/>
          </w:tcPr>
          <w:p w14:paraId="2F156AAB">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699026D3">
            <w:pPr>
              <w:pStyle w:val="47"/>
              <w:spacing w:beforeLines="0" w:afterLines="0" w:line="240" w:lineRule="auto"/>
              <w:rPr>
                <w:rFonts w:ascii="Times New Roman"/>
                <w:snapToGrid w:val="0"/>
                <w:kern w:val="21"/>
                <w:szCs w:val="21"/>
              </w:rPr>
            </w:pPr>
            <w:r>
              <w:rPr>
                <w:rFonts w:hint="eastAsia" w:ascii="Times New Roman"/>
                <w:snapToGrid w:val="0"/>
                <w:kern w:val="21"/>
                <w:szCs w:val="21"/>
              </w:rPr>
              <w:t>0.0015</w:t>
            </w:r>
          </w:p>
        </w:tc>
        <w:tc>
          <w:tcPr>
            <w:tcW w:w="1427" w:type="dxa"/>
            <w:vAlign w:val="center"/>
          </w:tcPr>
          <w:p w14:paraId="2F846BBF">
            <w:pPr>
              <w:pStyle w:val="47"/>
              <w:spacing w:beforeLines="0" w:afterLines="0" w:line="240" w:lineRule="auto"/>
              <w:rPr>
                <w:rFonts w:ascii="Times New Roman"/>
                <w:snapToGrid w:val="0"/>
                <w:kern w:val="21"/>
                <w:szCs w:val="21"/>
              </w:rPr>
            </w:pPr>
            <w:r>
              <w:rPr>
                <w:rFonts w:hint="eastAsia" w:ascii="Times New Roman"/>
                <w:snapToGrid w:val="0"/>
                <w:kern w:val="21"/>
                <w:szCs w:val="21"/>
              </w:rPr>
              <w:t>+0.0015</w:t>
            </w:r>
          </w:p>
        </w:tc>
      </w:tr>
      <w:tr w14:paraId="51B5C0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18A03048">
            <w:pPr>
              <w:pStyle w:val="47"/>
              <w:spacing w:beforeLines="0" w:afterLines="0" w:line="240" w:lineRule="auto"/>
              <w:rPr>
                <w:rFonts w:ascii="Times New Roman"/>
                <w:b/>
                <w:snapToGrid w:val="0"/>
                <w:kern w:val="21"/>
                <w:szCs w:val="21"/>
              </w:rPr>
            </w:pPr>
          </w:p>
        </w:tc>
        <w:tc>
          <w:tcPr>
            <w:tcW w:w="1984" w:type="dxa"/>
            <w:vAlign w:val="center"/>
          </w:tcPr>
          <w:p w14:paraId="4AF0B8E8">
            <w:pPr>
              <w:adjustRightInd w:val="0"/>
              <w:snapToGrid w:val="0"/>
              <w:jc w:val="center"/>
              <w:rPr>
                <w:bCs/>
                <w:spacing w:val="-10"/>
                <w:szCs w:val="21"/>
              </w:rPr>
            </w:pPr>
            <w:r>
              <w:rPr>
                <w:rFonts w:hint="eastAsia"/>
                <w:bCs/>
                <w:spacing w:val="-10"/>
                <w:szCs w:val="21"/>
              </w:rPr>
              <w:t>SS</w:t>
            </w:r>
          </w:p>
        </w:tc>
        <w:tc>
          <w:tcPr>
            <w:tcW w:w="1701" w:type="dxa"/>
            <w:vAlign w:val="center"/>
          </w:tcPr>
          <w:p w14:paraId="71DD01DA">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276" w:type="dxa"/>
            <w:vAlign w:val="center"/>
          </w:tcPr>
          <w:p w14:paraId="38ABDF8C">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2906109C">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29973FE3">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c>
          <w:tcPr>
            <w:tcW w:w="1418" w:type="dxa"/>
            <w:vAlign w:val="center"/>
          </w:tcPr>
          <w:p w14:paraId="4CBAB7BE">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5D30CA2A">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c>
          <w:tcPr>
            <w:tcW w:w="1427" w:type="dxa"/>
            <w:vAlign w:val="center"/>
          </w:tcPr>
          <w:p w14:paraId="4E1EDC6B">
            <w:pPr>
              <w:pStyle w:val="47"/>
              <w:spacing w:beforeLines="0" w:afterLines="0" w:line="240" w:lineRule="auto"/>
              <w:rPr>
                <w:rFonts w:ascii="Times New Roman"/>
                <w:snapToGrid w:val="0"/>
                <w:kern w:val="21"/>
                <w:szCs w:val="21"/>
              </w:rPr>
            </w:pPr>
            <w:r>
              <w:rPr>
                <w:rFonts w:hint="eastAsia" w:ascii="Times New Roman"/>
                <w:snapToGrid w:val="0"/>
                <w:kern w:val="21"/>
                <w:szCs w:val="21"/>
              </w:rPr>
              <w:t>+0.003</w:t>
            </w:r>
          </w:p>
        </w:tc>
      </w:tr>
      <w:tr w14:paraId="40AF71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restart"/>
            <w:vAlign w:val="center"/>
          </w:tcPr>
          <w:p w14:paraId="74607570">
            <w:pPr>
              <w:pStyle w:val="47"/>
              <w:spacing w:beforeLines="0" w:afterLines="0" w:line="240" w:lineRule="auto"/>
              <w:rPr>
                <w:rFonts w:ascii="Times New Roman"/>
                <w:b/>
                <w:snapToGrid w:val="0"/>
                <w:kern w:val="21"/>
                <w:szCs w:val="21"/>
              </w:rPr>
            </w:pPr>
            <w:r>
              <w:rPr>
                <w:rFonts w:ascii="Times New Roman"/>
                <w:b/>
                <w:snapToGrid w:val="0"/>
                <w:kern w:val="21"/>
                <w:szCs w:val="21"/>
              </w:rPr>
              <w:t>固体废物</w:t>
            </w:r>
          </w:p>
        </w:tc>
        <w:tc>
          <w:tcPr>
            <w:tcW w:w="1984" w:type="dxa"/>
            <w:vAlign w:val="center"/>
          </w:tcPr>
          <w:p w14:paraId="28D3CD24">
            <w:pPr>
              <w:adjustRightInd w:val="0"/>
              <w:snapToGrid w:val="0"/>
              <w:jc w:val="center"/>
              <w:rPr>
                <w:bCs/>
                <w:spacing w:val="-10"/>
                <w:szCs w:val="21"/>
              </w:rPr>
            </w:pPr>
            <w:r>
              <w:rPr>
                <w:rFonts w:hint="eastAsia"/>
                <w:bCs/>
                <w:spacing w:val="-10"/>
                <w:szCs w:val="21"/>
              </w:rPr>
              <w:t>除尘器收集尘</w:t>
            </w:r>
          </w:p>
        </w:tc>
        <w:tc>
          <w:tcPr>
            <w:tcW w:w="1701" w:type="dxa"/>
            <w:vAlign w:val="center"/>
          </w:tcPr>
          <w:p w14:paraId="0F57C979">
            <w:pPr>
              <w:pStyle w:val="72"/>
              <w:rPr>
                <w:sz w:val="21"/>
                <w:szCs w:val="21"/>
              </w:rPr>
            </w:pPr>
            <w:r>
              <w:rPr>
                <w:rFonts w:hint="eastAsia"/>
                <w:sz w:val="21"/>
                <w:szCs w:val="21"/>
              </w:rPr>
              <w:t>0</w:t>
            </w:r>
          </w:p>
        </w:tc>
        <w:tc>
          <w:tcPr>
            <w:tcW w:w="1276" w:type="dxa"/>
            <w:vAlign w:val="center"/>
          </w:tcPr>
          <w:p w14:paraId="636AB83B">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39EDF616">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5674AE48">
            <w:pPr>
              <w:pStyle w:val="72"/>
              <w:rPr>
                <w:sz w:val="21"/>
                <w:szCs w:val="21"/>
              </w:rPr>
            </w:pPr>
            <w:r>
              <w:rPr>
                <w:rFonts w:hint="eastAsia"/>
                <w:sz w:val="21"/>
                <w:szCs w:val="21"/>
              </w:rPr>
              <w:t>58.68</w:t>
            </w:r>
          </w:p>
        </w:tc>
        <w:tc>
          <w:tcPr>
            <w:tcW w:w="1418" w:type="dxa"/>
            <w:vAlign w:val="center"/>
          </w:tcPr>
          <w:p w14:paraId="6948DD8E">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2A59073C">
            <w:pPr>
              <w:pStyle w:val="72"/>
              <w:rPr>
                <w:sz w:val="21"/>
                <w:szCs w:val="21"/>
              </w:rPr>
            </w:pPr>
            <w:r>
              <w:rPr>
                <w:rFonts w:hint="eastAsia"/>
                <w:sz w:val="21"/>
                <w:szCs w:val="21"/>
              </w:rPr>
              <w:t>56.10</w:t>
            </w:r>
          </w:p>
        </w:tc>
        <w:tc>
          <w:tcPr>
            <w:tcW w:w="1427" w:type="dxa"/>
            <w:vAlign w:val="center"/>
          </w:tcPr>
          <w:p w14:paraId="124CA7D7">
            <w:pPr>
              <w:pStyle w:val="72"/>
              <w:rPr>
                <w:sz w:val="21"/>
                <w:szCs w:val="21"/>
              </w:rPr>
            </w:pPr>
            <w:r>
              <w:rPr>
                <w:rFonts w:hint="eastAsia"/>
                <w:sz w:val="21"/>
                <w:szCs w:val="21"/>
              </w:rPr>
              <w:t>+58.68</w:t>
            </w:r>
          </w:p>
        </w:tc>
      </w:tr>
      <w:tr w14:paraId="02F13C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2EEBFD28">
            <w:pPr>
              <w:pStyle w:val="47"/>
              <w:spacing w:beforeLines="0" w:afterLines="0" w:line="240" w:lineRule="auto"/>
              <w:rPr>
                <w:rFonts w:ascii="Times New Roman"/>
                <w:b/>
                <w:snapToGrid w:val="0"/>
                <w:kern w:val="21"/>
                <w:szCs w:val="21"/>
              </w:rPr>
            </w:pPr>
          </w:p>
        </w:tc>
        <w:tc>
          <w:tcPr>
            <w:tcW w:w="1984" w:type="dxa"/>
            <w:vAlign w:val="center"/>
          </w:tcPr>
          <w:p w14:paraId="332A4ADE">
            <w:pPr>
              <w:adjustRightInd w:val="0"/>
              <w:snapToGrid w:val="0"/>
              <w:jc w:val="center"/>
              <w:rPr>
                <w:bCs/>
                <w:spacing w:val="-10"/>
                <w:szCs w:val="21"/>
              </w:rPr>
            </w:pPr>
            <w:r>
              <w:rPr>
                <w:rFonts w:hint="eastAsia"/>
                <w:bCs/>
                <w:spacing w:val="-10"/>
                <w:szCs w:val="21"/>
              </w:rPr>
              <w:t>废包装袋</w:t>
            </w:r>
          </w:p>
        </w:tc>
        <w:tc>
          <w:tcPr>
            <w:tcW w:w="1701" w:type="dxa"/>
            <w:vAlign w:val="center"/>
          </w:tcPr>
          <w:p w14:paraId="004FCE7A">
            <w:pPr>
              <w:pStyle w:val="72"/>
              <w:rPr>
                <w:sz w:val="21"/>
                <w:szCs w:val="21"/>
              </w:rPr>
            </w:pPr>
            <w:r>
              <w:rPr>
                <w:rFonts w:hint="eastAsia"/>
                <w:sz w:val="21"/>
                <w:szCs w:val="21"/>
              </w:rPr>
              <w:t>0</w:t>
            </w:r>
          </w:p>
        </w:tc>
        <w:tc>
          <w:tcPr>
            <w:tcW w:w="1276" w:type="dxa"/>
            <w:vAlign w:val="center"/>
          </w:tcPr>
          <w:p w14:paraId="18A729E1">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71FABEA5">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139959F6">
            <w:pPr>
              <w:pStyle w:val="72"/>
              <w:rPr>
                <w:sz w:val="21"/>
                <w:szCs w:val="21"/>
              </w:rPr>
            </w:pPr>
            <w:r>
              <w:rPr>
                <w:rFonts w:hint="eastAsia"/>
                <w:sz w:val="21"/>
                <w:szCs w:val="21"/>
              </w:rPr>
              <w:t>0.3</w:t>
            </w:r>
          </w:p>
        </w:tc>
        <w:tc>
          <w:tcPr>
            <w:tcW w:w="1418" w:type="dxa"/>
            <w:vAlign w:val="center"/>
          </w:tcPr>
          <w:p w14:paraId="73914A0D">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0F8D86F5">
            <w:pPr>
              <w:pStyle w:val="72"/>
              <w:rPr>
                <w:sz w:val="21"/>
                <w:szCs w:val="21"/>
              </w:rPr>
            </w:pPr>
            <w:r>
              <w:rPr>
                <w:rFonts w:hint="eastAsia"/>
                <w:sz w:val="21"/>
                <w:szCs w:val="21"/>
              </w:rPr>
              <w:t>0.3</w:t>
            </w:r>
          </w:p>
        </w:tc>
        <w:tc>
          <w:tcPr>
            <w:tcW w:w="1427" w:type="dxa"/>
            <w:vAlign w:val="center"/>
          </w:tcPr>
          <w:p w14:paraId="3BFE69C5">
            <w:pPr>
              <w:pStyle w:val="72"/>
              <w:rPr>
                <w:sz w:val="21"/>
                <w:szCs w:val="21"/>
              </w:rPr>
            </w:pPr>
            <w:r>
              <w:rPr>
                <w:rFonts w:hint="eastAsia"/>
                <w:sz w:val="21"/>
                <w:szCs w:val="21"/>
              </w:rPr>
              <w:t>+0.3</w:t>
            </w:r>
          </w:p>
        </w:tc>
      </w:tr>
      <w:tr w14:paraId="37567C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0B0EB9E6">
            <w:pPr>
              <w:pStyle w:val="47"/>
              <w:spacing w:beforeLines="0" w:afterLines="0" w:line="240" w:lineRule="auto"/>
              <w:rPr>
                <w:rFonts w:ascii="Times New Roman"/>
                <w:b/>
                <w:snapToGrid w:val="0"/>
                <w:kern w:val="21"/>
                <w:szCs w:val="21"/>
              </w:rPr>
            </w:pPr>
          </w:p>
        </w:tc>
        <w:tc>
          <w:tcPr>
            <w:tcW w:w="1984" w:type="dxa"/>
            <w:vAlign w:val="center"/>
          </w:tcPr>
          <w:p w14:paraId="1852E811">
            <w:pPr>
              <w:adjustRightInd w:val="0"/>
              <w:snapToGrid w:val="0"/>
              <w:jc w:val="center"/>
              <w:rPr>
                <w:bCs/>
                <w:spacing w:val="-10"/>
                <w:szCs w:val="21"/>
              </w:rPr>
            </w:pPr>
            <w:r>
              <w:rPr>
                <w:rFonts w:hint="eastAsia"/>
                <w:bCs/>
                <w:spacing w:val="-10"/>
                <w:szCs w:val="21"/>
              </w:rPr>
              <w:t>废布袋</w:t>
            </w:r>
          </w:p>
        </w:tc>
        <w:tc>
          <w:tcPr>
            <w:tcW w:w="1701" w:type="dxa"/>
            <w:vAlign w:val="center"/>
          </w:tcPr>
          <w:p w14:paraId="4D9EB986">
            <w:pPr>
              <w:pStyle w:val="72"/>
              <w:rPr>
                <w:sz w:val="21"/>
                <w:szCs w:val="21"/>
              </w:rPr>
            </w:pPr>
            <w:r>
              <w:rPr>
                <w:rFonts w:hint="eastAsia"/>
                <w:sz w:val="21"/>
                <w:szCs w:val="21"/>
              </w:rPr>
              <w:t>0</w:t>
            </w:r>
          </w:p>
        </w:tc>
        <w:tc>
          <w:tcPr>
            <w:tcW w:w="1276" w:type="dxa"/>
            <w:vAlign w:val="center"/>
          </w:tcPr>
          <w:p w14:paraId="57C7A712">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3CDD4062">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77A8F85F">
            <w:pPr>
              <w:pStyle w:val="72"/>
              <w:rPr>
                <w:sz w:val="21"/>
                <w:szCs w:val="21"/>
              </w:rPr>
            </w:pPr>
            <w:r>
              <w:rPr>
                <w:rFonts w:hint="eastAsia"/>
                <w:sz w:val="21"/>
                <w:szCs w:val="21"/>
              </w:rPr>
              <w:t>/</w:t>
            </w:r>
          </w:p>
        </w:tc>
        <w:tc>
          <w:tcPr>
            <w:tcW w:w="1418" w:type="dxa"/>
            <w:vAlign w:val="center"/>
          </w:tcPr>
          <w:p w14:paraId="206556D6">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25978BCA">
            <w:pPr>
              <w:pStyle w:val="72"/>
              <w:rPr>
                <w:sz w:val="21"/>
                <w:szCs w:val="21"/>
              </w:rPr>
            </w:pPr>
            <w:r>
              <w:rPr>
                <w:rFonts w:hint="eastAsia"/>
                <w:sz w:val="21"/>
                <w:szCs w:val="21"/>
              </w:rPr>
              <w:t>/</w:t>
            </w:r>
          </w:p>
        </w:tc>
        <w:tc>
          <w:tcPr>
            <w:tcW w:w="1427" w:type="dxa"/>
            <w:vAlign w:val="center"/>
          </w:tcPr>
          <w:p w14:paraId="40DD39C0">
            <w:pPr>
              <w:pStyle w:val="72"/>
              <w:rPr>
                <w:sz w:val="21"/>
                <w:szCs w:val="21"/>
              </w:rPr>
            </w:pPr>
            <w:r>
              <w:rPr>
                <w:rFonts w:hint="eastAsia"/>
                <w:sz w:val="21"/>
                <w:szCs w:val="21"/>
              </w:rPr>
              <w:t>/</w:t>
            </w:r>
          </w:p>
        </w:tc>
      </w:tr>
      <w:tr w14:paraId="66BB4F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140DC775">
            <w:pPr>
              <w:pStyle w:val="47"/>
              <w:spacing w:beforeLines="0" w:afterLines="0" w:line="240" w:lineRule="auto"/>
              <w:rPr>
                <w:rFonts w:ascii="Times New Roman"/>
                <w:b/>
                <w:snapToGrid w:val="0"/>
                <w:kern w:val="21"/>
                <w:szCs w:val="21"/>
              </w:rPr>
            </w:pPr>
          </w:p>
        </w:tc>
        <w:tc>
          <w:tcPr>
            <w:tcW w:w="1984" w:type="dxa"/>
            <w:vAlign w:val="center"/>
          </w:tcPr>
          <w:p w14:paraId="2959F61B">
            <w:pPr>
              <w:adjustRightInd w:val="0"/>
              <w:snapToGrid w:val="0"/>
              <w:jc w:val="center"/>
              <w:rPr>
                <w:bCs/>
                <w:spacing w:val="-10"/>
                <w:szCs w:val="21"/>
              </w:rPr>
            </w:pPr>
            <w:r>
              <w:rPr>
                <w:rFonts w:hint="eastAsia"/>
                <w:bCs/>
                <w:spacing w:val="-10"/>
                <w:szCs w:val="21"/>
              </w:rPr>
              <w:t>废润滑油</w:t>
            </w:r>
          </w:p>
        </w:tc>
        <w:tc>
          <w:tcPr>
            <w:tcW w:w="1701" w:type="dxa"/>
            <w:vAlign w:val="center"/>
          </w:tcPr>
          <w:p w14:paraId="160A4630">
            <w:pPr>
              <w:pStyle w:val="72"/>
              <w:rPr>
                <w:sz w:val="21"/>
                <w:szCs w:val="21"/>
              </w:rPr>
            </w:pPr>
            <w:r>
              <w:rPr>
                <w:rFonts w:hint="eastAsia"/>
                <w:sz w:val="21"/>
                <w:szCs w:val="21"/>
              </w:rPr>
              <w:t>0</w:t>
            </w:r>
          </w:p>
        </w:tc>
        <w:tc>
          <w:tcPr>
            <w:tcW w:w="1276" w:type="dxa"/>
            <w:vAlign w:val="center"/>
          </w:tcPr>
          <w:p w14:paraId="33B95E75">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06D0DF93">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62510381">
            <w:pPr>
              <w:pStyle w:val="72"/>
              <w:rPr>
                <w:sz w:val="21"/>
                <w:szCs w:val="21"/>
              </w:rPr>
            </w:pPr>
            <w:r>
              <w:rPr>
                <w:rFonts w:hint="eastAsia"/>
                <w:sz w:val="21"/>
                <w:szCs w:val="21"/>
              </w:rPr>
              <w:t>0.1</w:t>
            </w:r>
          </w:p>
        </w:tc>
        <w:tc>
          <w:tcPr>
            <w:tcW w:w="1418" w:type="dxa"/>
            <w:vAlign w:val="center"/>
          </w:tcPr>
          <w:p w14:paraId="28250994">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78F25625">
            <w:pPr>
              <w:pStyle w:val="72"/>
              <w:rPr>
                <w:sz w:val="21"/>
                <w:szCs w:val="21"/>
              </w:rPr>
            </w:pPr>
            <w:r>
              <w:rPr>
                <w:rFonts w:hint="eastAsia"/>
                <w:sz w:val="21"/>
                <w:szCs w:val="21"/>
              </w:rPr>
              <w:t>0.1</w:t>
            </w:r>
          </w:p>
        </w:tc>
        <w:tc>
          <w:tcPr>
            <w:tcW w:w="1427" w:type="dxa"/>
            <w:vAlign w:val="center"/>
          </w:tcPr>
          <w:p w14:paraId="3FFAE7E4">
            <w:pPr>
              <w:pStyle w:val="72"/>
              <w:rPr>
                <w:sz w:val="21"/>
                <w:szCs w:val="21"/>
              </w:rPr>
            </w:pPr>
            <w:r>
              <w:rPr>
                <w:rFonts w:hint="eastAsia"/>
                <w:sz w:val="21"/>
                <w:szCs w:val="21"/>
              </w:rPr>
              <w:t>+0.1</w:t>
            </w:r>
          </w:p>
        </w:tc>
      </w:tr>
      <w:tr w14:paraId="34894E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72A34E12">
            <w:pPr>
              <w:pStyle w:val="47"/>
              <w:spacing w:beforeLines="0" w:afterLines="0" w:line="240" w:lineRule="auto"/>
              <w:rPr>
                <w:rFonts w:ascii="Times New Roman"/>
                <w:b/>
                <w:snapToGrid w:val="0"/>
                <w:kern w:val="21"/>
                <w:szCs w:val="21"/>
              </w:rPr>
            </w:pPr>
          </w:p>
        </w:tc>
        <w:tc>
          <w:tcPr>
            <w:tcW w:w="1984" w:type="dxa"/>
            <w:vAlign w:val="center"/>
          </w:tcPr>
          <w:p w14:paraId="36EC20A8">
            <w:pPr>
              <w:adjustRightInd w:val="0"/>
              <w:snapToGrid w:val="0"/>
              <w:jc w:val="center"/>
              <w:rPr>
                <w:bCs/>
                <w:spacing w:val="-10"/>
                <w:szCs w:val="21"/>
              </w:rPr>
            </w:pPr>
            <w:r>
              <w:rPr>
                <w:rFonts w:hint="eastAsia"/>
                <w:bCs/>
                <w:spacing w:val="-10"/>
                <w:szCs w:val="21"/>
              </w:rPr>
              <w:t>废含油抹布及手套</w:t>
            </w:r>
          </w:p>
        </w:tc>
        <w:tc>
          <w:tcPr>
            <w:tcW w:w="1701" w:type="dxa"/>
            <w:vAlign w:val="center"/>
          </w:tcPr>
          <w:p w14:paraId="5FEA2EF0">
            <w:pPr>
              <w:pStyle w:val="72"/>
              <w:rPr>
                <w:sz w:val="21"/>
                <w:szCs w:val="21"/>
              </w:rPr>
            </w:pPr>
            <w:r>
              <w:rPr>
                <w:rFonts w:hint="eastAsia"/>
                <w:sz w:val="21"/>
                <w:szCs w:val="21"/>
              </w:rPr>
              <w:t>0</w:t>
            </w:r>
          </w:p>
        </w:tc>
        <w:tc>
          <w:tcPr>
            <w:tcW w:w="1276" w:type="dxa"/>
            <w:vAlign w:val="center"/>
          </w:tcPr>
          <w:p w14:paraId="01B7A49A">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4CD194D3">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6926CD73">
            <w:pPr>
              <w:pStyle w:val="72"/>
              <w:rPr>
                <w:sz w:val="21"/>
                <w:szCs w:val="21"/>
              </w:rPr>
            </w:pPr>
            <w:r>
              <w:rPr>
                <w:rFonts w:hint="eastAsia"/>
                <w:sz w:val="21"/>
                <w:szCs w:val="21"/>
              </w:rPr>
              <w:t>0.1</w:t>
            </w:r>
          </w:p>
        </w:tc>
        <w:tc>
          <w:tcPr>
            <w:tcW w:w="1418" w:type="dxa"/>
            <w:vAlign w:val="center"/>
          </w:tcPr>
          <w:p w14:paraId="6114CFC6">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783625BC">
            <w:pPr>
              <w:pStyle w:val="72"/>
              <w:rPr>
                <w:sz w:val="21"/>
                <w:szCs w:val="21"/>
              </w:rPr>
            </w:pPr>
            <w:r>
              <w:rPr>
                <w:rFonts w:hint="eastAsia"/>
                <w:sz w:val="21"/>
                <w:szCs w:val="21"/>
              </w:rPr>
              <w:t>0.1</w:t>
            </w:r>
          </w:p>
        </w:tc>
        <w:tc>
          <w:tcPr>
            <w:tcW w:w="1427" w:type="dxa"/>
            <w:vAlign w:val="center"/>
          </w:tcPr>
          <w:p w14:paraId="6FCB6F32">
            <w:pPr>
              <w:pStyle w:val="72"/>
              <w:rPr>
                <w:sz w:val="21"/>
                <w:szCs w:val="21"/>
              </w:rPr>
            </w:pPr>
            <w:r>
              <w:rPr>
                <w:rFonts w:hint="eastAsia"/>
                <w:sz w:val="21"/>
                <w:szCs w:val="21"/>
              </w:rPr>
              <w:t>+0.1</w:t>
            </w:r>
          </w:p>
        </w:tc>
      </w:tr>
      <w:tr w14:paraId="2114B4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21" w:type="dxa"/>
            <w:vMerge w:val="continue"/>
            <w:vAlign w:val="center"/>
          </w:tcPr>
          <w:p w14:paraId="71C3AE43">
            <w:pPr>
              <w:pStyle w:val="47"/>
              <w:spacing w:beforeLines="0" w:afterLines="0" w:line="240" w:lineRule="auto"/>
              <w:rPr>
                <w:rFonts w:ascii="Times New Roman"/>
                <w:b/>
                <w:snapToGrid w:val="0"/>
                <w:kern w:val="21"/>
                <w:szCs w:val="21"/>
              </w:rPr>
            </w:pPr>
          </w:p>
        </w:tc>
        <w:tc>
          <w:tcPr>
            <w:tcW w:w="1984" w:type="dxa"/>
            <w:vAlign w:val="center"/>
          </w:tcPr>
          <w:p w14:paraId="50C0DD69">
            <w:pPr>
              <w:adjustRightInd w:val="0"/>
              <w:snapToGrid w:val="0"/>
              <w:jc w:val="center"/>
              <w:rPr>
                <w:bCs/>
                <w:spacing w:val="-10"/>
                <w:szCs w:val="21"/>
              </w:rPr>
            </w:pPr>
            <w:r>
              <w:rPr>
                <w:bCs/>
                <w:spacing w:val="-10"/>
                <w:szCs w:val="21"/>
              </w:rPr>
              <w:t>生活垃圾</w:t>
            </w:r>
          </w:p>
        </w:tc>
        <w:tc>
          <w:tcPr>
            <w:tcW w:w="1701" w:type="dxa"/>
            <w:vAlign w:val="center"/>
          </w:tcPr>
          <w:p w14:paraId="2B5A7E17">
            <w:pPr>
              <w:pStyle w:val="72"/>
              <w:rPr>
                <w:sz w:val="21"/>
                <w:szCs w:val="21"/>
              </w:rPr>
            </w:pPr>
            <w:r>
              <w:rPr>
                <w:rFonts w:hint="eastAsia"/>
                <w:sz w:val="21"/>
                <w:szCs w:val="21"/>
              </w:rPr>
              <w:t>0</w:t>
            </w:r>
          </w:p>
        </w:tc>
        <w:tc>
          <w:tcPr>
            <w:tcW w:w="1276" w:type="dxa"/>
            <w:vAlign w:val="center"/>
          </w:tcPr>
          <w:p w14:paraId="2B93B109">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701" w:type="dxa"/>
            <w:vAlign w:val="center"/>
          </w:tcPr>
          <w:p w14:paraId="747CF710">
            <w:pPr>
              <w:pStyle w:val="47"/>
              <w:spacing w:beforeLines="0" w:afterLines="0" w:line="240" w:lineRule="auto"/>
              <w:rPr>
                <w:rFonts w:ascii="Times New Roman"/>
                <w:snapToGrid w:val="0"/>
                <w:kern w:val="21"/>
                <w:szCs w:val="21"/>
              </w:rPr>
            </w:pPr>
            <w:r>
              <w:rPr>
                <w:rFonts w:hint="eastAsia" w:ascii="Times New Roman"/>
                <w:snapToGrid w:val="0"/>
                <w:kern w:val="21"/>
                <w:szCs w:val="21"/>
              </w:rPr>
              <w:t>0</w:t>
            </w:r>
          </w:p>
        </w:tc>
        <w:tc>
          <w:tcPr>
            <w:tcW w:w="1559" w:type="dxa"/>
            <w:vAlign w:val="center"/>
          </w:tcPr>
          <w:p w14:paraId="1FF96EE4">
            <w:pPr>
              <w:pStyle w:val="72"/>
              <w:rPr>
                <w:sz w:val="21"/>
                <w:szCs w:val="21"/>
              </w:rPr>
            </w:pPr>
            <w:r>
              <w:rPr>
                <w:rFonts w:hint="eastAsia"/>
                <w:sz w:val="21"/>
                <w:szCs w:val="21"/>
              </w:rPr>
              <w:t>1.5</w:t>
            </w:r>
          </w:p>
        </w:tc>
        <w:tc>
          <w:tcPr>
            <w:tcW w:w="1418" w:type="dxa"/>
            <w:vAlign w:val="center"/>
          </w:tcPr>
          <w:p w14:paraId="09E382CE">
            <w:pPr>
              <w:pStyle w:val="47"/>
              <w:spacing w:beforeLines="0" w:afterLines="0" w:line="240" w:lineRule="auto"/>
              <w:rPr>
                <w:rFonts w:ascii="Times New Roman"/>
                <w:szCs w:val="21"/>
              </w:rPr>
            </w:pPr>
            <w:r>
              <w:rPr>
                <w:rFonts w:hint="eastAsia" w:ascii="Times New Roman"/>
                <w:szCs w:val="21"/>
              </w:rPr>
              <w:t>0</w:t>
            </w:r>
          </w:p>
        </w:tc>
        <w:tc>
          <w:tcPr>
            <w:tcW w:w="1701" w:type="dxa"/>
            <w:vAlign w:val="center"/>
          </w:tcPr>
          <w:p w14:paraId="6F0B2C41">
            <w:pPr>
              <w:pStyle w:val="72"/>
              <w:rPr>
                <w:sz w:val="21"/>
                <w:szCs w:val="21"/>
              </w:rPr>
            </w:pPr>
            <w:r>
              <w:rPr>
                <w:rFonts w:hint="eastAsia"/>
                <w:sz w:val="21"/>
                <w:szCs w:val="21"/>
              </w:rPr>
              <w:t>1.5</w:t>
            </w:r>
          </w:p>
        </w:tc>
        <w:tc>
          <w:tcPr>
            <w:tcW w:w="1427" w:type="dxa"/>
            <w:vAlign w:val="center"/>
          </w:tcPr>
          <w:p w14:paraId="0DFB65EF">
            <w:pPr>
              <w:pStyle w:val="72"/>
              <w:rPr>
                <w:sz w:val="21"/>
                <w:szCs w:val="21"/>
              </w:rPr>
            </w:pPr>
            <w:r>
              <w:rPr>
                <w:rFonts w:hint="eastAsia"/>
                <w:sz w:val="21"/>
                <w:szCs w:val="21"/>
              </w:rPr>
              <w:t>+1.5</w:t>
            </w:r>
          </w:p>
        </w:tc>
      </w:tr>
    </w:tbl>
    <w:p w14:paraId="2A3B6425">
      <w:pPr>
        <w:pStyle w:val="47"/>
        <w:spacing w:before="192" w:beforeLines="80" w:after="24"/>
        <w:jc w:val="left"/>
        <w:rPr>
          <w:rFonts w:hAnsi="宋体"/>
        </w:rPr>
      </w:pPr>
      <w:r>
        <w:rPr>
          <w:rFonts w:hAnsi="宋体"/>
          <w:snapToGrid w:val="0"/>
          <w:kern w:val="21"/>
          <w:szCs w:val="21"/>
        </w:rPr>
        <w:t>注：</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3 \* GB3 \* MERGEFORMAT </w:instrText>
      </w:r>
      <w:r>
        <w:rPr>
          <w:rFonts w:hAnsi="宋体"/>
          <w:snapToGrid w:val="0"/>
          <w:spacing w:val="-6"/>
          <w:kern w:val="21"/>
          <w:szCs w:val="21"/>
        </w:rPr>
        <w:fldChar w:fldCharType="separate"/>
      </w:r>
      <w:r>
        <w:rPr>
          <w:rFonts w:hint="eastAsia" w:hAnsi="宋体"/>
          <w:szCs w:val="21"/>
        </w:rPr>
        <w:t>③</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4 \* GB3 \* MERGEFORMAT </w:instrText>
      </w:r>
      <w:r>
        <w:rPr>
          <w:rFonts w:hAnsi="宋体"/>
          <w:snapToGrid w:val="0"/>
          <w:spacing w:val="-6"/>
          <w:kern w:val="21"/>
          <w:szCs w:val="21"/>
        </w:rPr>
        <w:fldChar w:fldCharType="separate"/>
      </w:r>
      <w:r>
        <w:rPr>
          <w:rFonts w:hint="eastAsia" w:hAnsi="宋体"/>
          <w:szCs w:val="21"/>
        </w:rPr>
        <w:t>④</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5 \* GB3 \* MERGEFORMAT </w:instrText>
      </w:r>
      <w:r>
        <w:rPr>
          <w:rFonts w:hAnsi="宋体"/>
          <w:snapToGrid w:val="0"/>
          <w:spacing w:val="-16"/>
          <w:kern w:val="21"/>
          <w:szCs w:val="21"/>
        </w:rPr>
        <w:fldChar w:fldCharType="separate"/>
      </w:r>
      <w:r>
        <w:rPr>
          <w:rFonts w:hint="eastAsia" w:hAnsi="宋体"/>
          <w:szCs w:val="21"/>
        </w:rPr>
        <w:t>⑤</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7 \* GB3 \* MERGEFORMAT </w:instrText>
      </w:r>
      <w:r>
        <w:rPr>
          <w:rFonts w:hAnsi="宋体"/>
          <w:snapToGrid w:val="0"/>
          <w:spacing w:val="-6"/>
          <w:kern w:val="21"/>
          <w:szCs w:val="21"/>
        </w:rPr>
        <w:fldChar w:fldCharType="separate"/>
      </w:r>
      <w:r>
        <w:rPr>
          <w:rFonts w:hint="eastAsia" w:hAnsi="宋体"/>
          <w:szCs w:val="21"/>
        </w:rPr>
        <w:t>⑦</w:t>
      </w:r>
      <w:r>
        <w:rPr>
          <w:rFonts w:hAnsi="宋体"/>
          <w:snapToGrid w:val="0"/>
          <w:spacing w:val="-6"/>
          <w:kern w:val="21"/>
          <w:szCs w:val="21"/>
        </w:rPr>
        <w:fldChar w:fldCharType="end"/>
      </w:r>
      <w:r>
        <w:rPr>
          <w:rFonts w:hAnsi="宋体"/>
          <w:snapToGrid w:val="0"/>
          <w:spacing w:val="-6"/>
          <w:kern w:val="21"/>
          <w:szCs w:val="21"/>
        </w:rPr>
        <w:t>=</w:t>
      </w:r>
      <w:r>
        <w:rPr>
          <w:rFonts w:hAnsi="宋体"/>
          <w:snapToGrid w:val="0"/>
          <w:spacing w:val="-16"/>
          <w:kern w:val="21"/>
          <w:szCs w:val="21"/>
        </w:rPr>
        <w:fldChar w:fldCharType="begin"/>
      </w:r>
      <w:r>
        <w:rPr>
          <w:rFonts w:hAnsi="宋体"/>
          <w:snapToGrid w:val="0"/>
          <w:spacing w:val="-16"/>
          <w:kern w:val="21"/>
          <w:szCs w:val="21"/>
        </w:rPr>
        <w:instrText xml:space="preserve"> = 6 \* GB3 \* MERGEFORMAT </w:instrText>
      </w:r>
      <w:r>
        <w:rPr>
          <w:rFonts w:hAnsi="宋体"/>
          <w:snapToGrid w:val="0"/>
          <w:spacing w:val="-16"/>
          <w:kern w:val="21"/>
          <w:szCs w:val="21"/>
        </w:rPr>
        <w:fldChar w:fldCharType="separate"/>
      </w:r>
      <w:r>
        <w:rPr>
          <w:rFonts w:hint="eastAsia" w:hAnsi="宋体"/>
          <w:szCs w:val="21"/>
        </w:rPr>
        <w:t>⑥</w:t>
      </w:r>
      <w:r>
        <w:rPr>
          <w:rFonts w:hAnsi="宋体"/>
          <w:snapToGrid w:val="0"/>
          <w:spacing w:val="-16"/>
          <w:kern w:val="21"/>
          <w:szCs w:val="21"/>
        </w:rPr>
        <w:fldChar w:fldCharType="end"/>
      </w:r>
      <w:r>
        <w:rPr>
          <w:rFonts w:hAnsi="宋体"/>
          <w:snapToGrid w:val="0"/>
          <w:spacing w:val="-16"/>
          <w:kern w:val="21"/>
          <w:szCs w:val="21"/>
        </w:rPr>
        <w:t>-</w:t>
      </w:r>
      <w:r>
        <w:rPr>
          <w:rFonts w:hAnsi="宋体"/>
          <w:snapToGrid w:val="0"/>
          <w:spacing w:val="-6"/>
          <w:kern w:val="21"/>
          <w:szCs w:val="21"/>
        </w:rPr>
        <w:fldChar w:fldCharType="begin"/>
      </w:r>
      <w:r>
        <w:rPr>
          <w:rFonts w:hAnsi="宋体"/>
          <w:snapToGrid w:val="0"/>
          <w:spacing w:val="-6"/>
          <w:kern w:val="21"/>
          <w:szCs w:val="21"/>
        </w:rPr>
        <w:instrText xml:space="preserve"> = 1 \* GB3 \* MERGEFORMAT </w:instrText>
      </w:r>
      <w:r>
        <w:rPr>
          <w:rFonts w:hAnsi="宋体"/>
          <w:snapToGrid w:val="0"/>
          <w:spacing w:val="-6"/>
          <w:kern w:val="21"/>
          <w:szCs w:val="21"/>
        </w:rPr>
        <w:fldChar w:fldCharType="separate"/>
      </w:r>
      <w:r>
        <w:rPr>
          <w:rFonts w:hint="eastAsia" w:hAnsi="宋体"/>
          <w:szCs w:val="21"/>
        </w:rPr>
        <w:t>①</w:t>
      </w:r>
      <w:r>
        <w:rPr>
          <w:rFonts w:hAnsi="宋体"/>
          <w:snapToGrid w:val="0"/>
          <w:spacing w:val="-6"/>
          <w:kern w:val="21"/>
          <w:szCs w:val="21"/>
        </w:rPr>
        <w:fldChar w:fldCharType="end"/>
      </w:r>
      <w:r>
        <w:rPr>
          <w:rFonts w:hint="eastAsia" w:hAnsi="宋体"/>
          <w:snapToGrid w:val="0"/>
          <w:spacing w:val="-6"/>
          <w:kern w:val="21"/>
          <w:szCs w:val="21"/>
        </w:rPr>
        <w:t>。</w:t>
      </w:r>
    </w:p>
    <w:sectPr>
      <w:footerReference r:id="rId6"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803050406030204"/>
    <w:charset w:val="00"/>
    <w:family w:val="roman"/>
    <w:pitch w:val="default"/>
    <w:sig w:usb0="E00002FF" w:usb1="4000045F" w:usb2="00000000"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TimesNewRomanPSMT">
    <w:altName w:val="等线"/>
    <w:panose1 w:val="00000000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Cambria Math">
    <w:altName w:val="DejaVu Math TeX Gyre"/>
    <w:panose1 w:val="02040503050406030204"/>
    <w:charset w:val="00"/>
    <w:family w:val="roman"/>
    <w:pitch w:val="default"/>
    <w:sig w:usb0="00000000" w:usb1="00000000" w:usb2="02000000" w:usb3="00000000" w:csb0="0000019F" w:csb1="0000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39389">
    <w:pPr>
      <w:pStyle w:val="2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61B35">
    <w:pPr>
      <w:pStyle w:val="29"/>
      <w:framePr w:wrap="around" w:vAnchor="text" w:hAnchor="margin" w:xAlign="center" w:y="1"/>
      <w:rPr>
        <w:rStyle w:val="39"/>
      </w:rPr>
    </w:pPr>
    <w:r>
      <w:fldChar w:fldCharType="begin"/>
    </w:r>
    <w:r>
      <w:rPr>
        <w:rStyle w:val="39"/>
      </w:rPr>
      <w:instrText xml:space="preserve">PAGE  </w:instrText>
    </w:r>
    <w:r>
      <w:fldChar w:fldCharType="end"/>
    </w:r>
  </w:p>
  <w:p w14:paraId="140AD640">
    <w:pPr>
      <w:pStyle w:val="2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15E93">
    <w:pPr>
      <w:pStyle w:val="29"/>
      <w:jc w:val="center"/>
    </w:pPr>
    <w:r>
      <w:fldChar w:fldCharType="begin"/>
    </w:r>
    <w:r>
      <w:instrText xml:space="preserve">PAGE   \* MERGEFORMAT</w:instrText>
    </w:r>
    <w:r>
      <w:fldChar w:fldCharType="separate"/>
    </w:r>
    <w:r>
      <w:rPr>
        <w:lang w:val="zh-CN"/>
      </w:rPr>
      <w:t>2</w:t>
    </w:r>
    <w:r>
      <w:rPr>
        <w:lang w:val="zh-CN"/>
      </w:rPr>
      <w:fldChar w:fldCharType="end"/>
    </w:r>
  </w:p>
  <w:p w14:paraId="2AAA0A44">
    <w:pPr>
      <w:pStyle w:val="29"/>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729FE">
    <w:pPr>
      <w:pStyle w:val="29"/>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4B1F78"/>
    <w:multiLevelType w:val="multilevel"/>
    <w:tmpl w:val="454B1F78"/>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1002"/>
        </w:tabs>
        <w:ind w:left="1002" w:hanging="576"/>
      </w:pPr>
    </w:lvl>
    <w:lvl w:ilvl="2" w:tentative="0">
      <w:start w:val="1"/>
      <w:numFmt w:val="decimal"/>
      <w:lvlText w:val="%1.%2.%3"/>
      <w:lvlJc w:val="left"/>
      <w:pPr>
        <w:tabs>
          <w:tab w:val="left" w:pos="1288"/>
        </w:tabs>
        <w:ind w:left="1288" w:hanging="720"/>
      </w:pPr>
      <w:rPr>
        <w:sz w:val="24"/>
        <w:szCs w:val="24"/>
      </w:rPr>
    </w:lvl>
    <w:lvl w:ilvl="3" w:tentative="0">
      <w:start w:val="1"/>
      <w:numFmt w:val="decimal"/>
      <w:pStyle w:val="11"/>
      <w:lvlText w:val="%1.%2.%3.%4"/>
      <w:lvlJc w:val="left"/>
      <w:pPr>
        <w:tabs>
          <w:tab w:val="left" w:pos="1574"/>
        </w:tabs>
        <w:ind w:left="1574" w:hanging="864"/>
      </w:pPr>
      <w:rPr>
        <w:rFonts w:hint="default" w:ascii="Times New Roman" w:hAnsi="Times New Roman" w:cs="Times New Roman"/>
        <w:sz w:val="24"/>
        <w:szCs w:val="24"/>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attachedTemplate r:id="rId1"/>
  <w:documentProtection w:edit="readOnly"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4ZTM4N2RlNzc5YWNhNDg0ZjQ5MTdhZDMxYjI4MjMifQ=="/>
  </w:docVars>
  <w:rsids>
    <w:rsidRoot w:val="00A14947"/>
    <w:rsid w:val="00000BC1"/>
    <w:rsid w:val="00001C61"/>
    <w:rsid w:val="000022F8"/>
    <w:rsid w:val="000031AB"/>
    <w:rsid w:val="00004009"/>
    <w:rsid w:val="00004285"/>
    <w:rsid w:val="000045E3"/>
    <w:rsid w:val="0000496F"/>
    <w:rsid w:val="00004FEA"/>
    <w:rsid w:val="00005485"/>
    <w:rsid w:val="00005B7E"/>
    <w:rsid w:val="000060B3"/>
    <w:rsid w:val="000075E8"/>
    <w:rsid w:val="00007EAB"/>
    <w:rsid w:val="0001021C"/>
    <w:rsid w:val="00010480"/>
    <w:rsid w:val="00010611"/>
    <w:rsid w:val="00010C4B"/>
    <w:rsid w:val="000112A6"/>
    <w:rsid w:val="0001217B"/>
    <w:rsid w:val="000127AA"/>
    <w:rsid w:val="00012939"/>
    <w:rsid w:val="00012995"/>
    <w:rsid w:val="00013F7F"/>
    <w:rsid w:val="00015646"/>
    <w:rsid w:val="00016AA9"/>
    <w:rsid w:val="00016C00"/>
    <w:rsid w:val="0001725E"/>
    <w:rsid w:val="000172B8"/>
    <w:rsid w:val="00017F38"/>
    <w:rsid w:val="00020B64"/>
    <w:rsid w:val="00020E06"/>
    <w:rsid w:val="00021938"/>
    <w:rsid w:val="00022523"/>
    <w:rsid w:val="000225B2"/>
    <w:rsid w:val="000228E0"/>
    <w:rsid w:val="000232E9"/>
    <w:rsid w:val="0002376C"/>
    <w:rsid w:val="000237ED"/>
    <w:rsid w:val="00024DE2"/>
    <w:rsid w:val="0002559C"/>
    <w:rsid w:val="00026C19"/>
    <w:rsid w:val="00031B73"/>
    <w:rsid w:val="00031D3B"/>
    <w:rsid w:val="000324D7"/>
    <w:rsid w:val="000342D0"/>
    <w:rsid w:val="000345FB"/>
    <w:rsid w:val="00034C5A"/>
    <w:rsid w:val="00035BA1"/>
    <w:rsid w:val="000366F3"/>
    <w:rsid w:val="000367C8"/>
    <w:rsid w:val="00036863"/>
    <w:rsid w:val="000372D6"/>
    <w:rsid w:val="00037668"/>
    <w:rsid w:val="00037D1E"/>
    <w:rsid w:val="00040322"/>
    <w:rsid w:val="00041BF1"/>
    <w:rsid w:val="00041E8B"/>
    <w:rsid w:val="00042B45"/>
    <w:rsid w:val="000433FA"/>
    <w:rsid w:val="0004364B"/>
    <w:rsid w:val="00043CB8"/>
    <w:rsid w:val="00043D37"/>
    <w:rsid w:val="00043E9B"/>
    <w:rsid w:val="00044261"/>
    <w:rsid w:val="0004455C"/>
    <w:rsid w:val="00044877"/>
    <w:rsid w:val="000448CE"/>
    <w:rsid w:val="00045313"/>
    <w:rsid w:val="0004693D"/>
    <w:rsid w:val="000472EA"/>
    <w:rsid w:val="0004755D"/>
    <w:rsid w:val="00047906"/>
    <w:rsid w:val="00047E05"/>
    <w:rsid w:val="00050589"/>
    <w:rsid w:val="00050B1B"/>
    <w:rsid w:val="00050BC0"/>
    <w:rsid w:val="00051423"/>
    <w:rsid w:val="00052D27"/>
    <w:rsid w:val="00052F5A"/>
    <w:rsid w:val="0005461E"/>
    <w:rsid w:val="00054F78"/>
    <w:rsid w:val="000560D6"/>
    <w:rsid w:val="0005746C"/>
    <w:rsid w:val="00061B1F"/>
    <w:rsid w:val="00062AB8"/>
    <w:rsid w:val="00063883"/>
    <w:rsid w:val="000640E5"/>
    <w:rsid w:val="000653BC"/>
    <w:rsid w:val="0006558E"/>
    <w:rsid w:val="00065E2A"/>
    <w:rsid w:val="00067A61"/>
    <w:rsid w:val="0007111B"/>
    <w:rsid w:val="00071A25"/>
    <w:rsid w:val="0007216A"/>
    <w:rsid w:val="00072371"/>
    <w:rsid w:val="00072D39"/>
    <w:rsid w:val="000733C4"/>
    <w:rsid w:val="00074060"/>
    <w:rsid w:val="00074783"/>
    <w:rsid w:val="00076B5F"/>
    <w:rsid w:val="00076F82"/>
    <w:rsid w:val="00077B29"/>
    <w:rsid w:val="00077D6B"/>
    <w:rsid w:val="0008070B"/>
    <w:rsid w:val="000810AC"/>
    <w:rsid w:val="00081A02"/>
    <w:rsid w:val="00082231"/>
    <w:rsid w:val="000822AF"/>
    <w:rsid w:val="00082ACC"/>
    <w:rsid w:val="00082BA6"/>
    <w:rsid w:val="00082BCE"/>
    <w:rsid w:val="00082E1F"/>
    <w:rsid w:val="0008313C"/>
    <w:rsid w:val="000836AF"/>
    <w:rsid w:val="00083BB2"/>
    <w:rsid w:val="00083D87"/>
    <w:rsid w:val="00084333"/>
    <w:rsid w:val="00084B86"/>
    <w:rsid w:val="000858FB"/>
    <w:rsid w:val="000864AF"/>
    <w:rsid w:val="00086C4A"/>
    <w:rsid w:val="00086FAC"/>
    <w:rsid w:val="0008718D"/>
    <w:rsid w:val="000879AB"/>
    <w:rsid w:val="00087B8A"/>
    <w:rsid w:val="00087CB1"/>
    <w:rsid w:val="00091853"/>
    <w:rsid w:val="0009267A"/>
    <w:rsid w:val="00092BD9"/>
    <w:rsid w:val="00092D38"/>
    <w:rsid w:val="0009377B"/>
    <w:rsid w:val="00094B78"/>
    <w:rsid w:val="00095095"/>
    <w:rsid w:val="00095E10"/>
    <w:rsid w:val="00095FCF"/>
    <w:rsid w:val="000966CA"/>
    <w:rsid w:val="00096FCF"/>
    <w:rsid w:val="000974B6"/>
    <w:rsid w:val="000A05E2"/>
    <w:rsid w:val="000A1B4F"/>
    <w:rsid w:val="000A20C9"/>
    <w:rsid w:val="000A28B6"/>
    <w:rsid w:val="000A2A98"/>
    <w:rsid w:val="000A3FFF"/>
    <w:rsid w:val="000A40A9"/>
    <w:rsid w:val="000A4C6C"/>
    <w:rsid w:val="000A50C7"/>
    <w:rsid w:val="000A514E"/>
    <w:rsid w:val="000A6291"/>
    <w:rsid w:val="000A6DE6"/>
    <w:rsid w:val="000A75EA"/>
    <w:rsid w:val="000A7AE8"/>
    <w:rsid w:val="000B0574"/>
    <w:rsid w:val="000B058F"/>
    <w:rsid w:val="000B4147"/>
    <w:rsid w:val="000B4467"/>
    <w:rsid w:val="000B4DB9"/>
    <w:rsid w:val="000B6222"/>
    <w:rsid w:val="000B658F"/>
    <w:rsid w:val="000B686B"/>
    <w:rsid w:val="000B6B81"/>
    <w:rsid w:val="000B6C91"/>
    <w:rsid w:val="000B7D76"/>
    <w:rsid w:val="000B7DDC"/>
    <w:rsid w:val="000B7FBB"/>
    <w:rsid w:val="000C09AC"/>
    <w:rsid w:val="000C0B78"/>
    <w:rsid w:val="000C21B2"/>
    <w:rsid w:val="000C317E"/>
    <w:rsid w:val="000C31AB"/>
    <w:rsid w:val="000C5000"/>
    <w:rsid w:val="000C5D1D"/>
    <w:rsid w:val="000C6F99"/>
    <w:rsid w:val="000C74D4"/>
    <w:rsid w:val="000C767F"/>
    <w:rsid w:val="000D02CB"/>
    <w:rsid w:val="000D0670"/>
    <w:rsid w:val="000D1AF2"/>
    <w:rsid w:val="000D2B71"/>
    <w:rsid w:val="000D2F5C"/>
    <w:rsid w:val="000D44C7"/>
    <w:rsid w:val="000D46B3"/>
    <w:rsid w:val="000D578C"/>
    <w:rsid w:val="000D5A44"/>
    <w:rsid w:val="000D66B3"/>
    <w:rsid w:val="000D7D1C"/>
    <w:rsid w:val="000E02A2"/>
    <w:rsid w:val="000E0357"/>
    <w:rsid w:val="000E0A2C"/>
    <w:rsid w:val="000E0CE6"/>
    <w:rsid w:val="000E10DC"/>
    <w:rsid w:val="000E1D9A"/>
    <w:rsid w:val="000E1F37"/>
    <w:rsid w:val="000E2D71"/>
    <w:rsid w:val="000E30D7"/>
    <w:rsid w:val="000E34AE"/>
    <w:rsid w:val="000E361E"/>
    <w:rsid w:val="000E37EB"/>
    <w:rsid w:val="000E3A8A"/>
    <w:rsid w:val="000E3E7A"/>
    <w:rsid w:val="000E3ED2"/>
    <w:rsid w:val="000E4612"/>
    <w:rsid w:val="000E56A9"/>
    <w:rsid w:val="000E5EA0"/>
    <w:rsid w:val="000E6188"/>
    <w:rsid w:val="000E69A1"/>
    <w:rsid w:val="000E6E81"/>
    <w:rsid w:val="000E7EF0"/>
    <w:rsid w:val="000F014D"/>
    <w:rsid w:val="000F1832"/>
    <w:rsid w:val="000F1B9E"/>
    <w:rsid w:val="000F1C81"/>
    <w:rsid w:val="000F1CB8"/>
    <w:rsid w:val="000F1CE6"/>
    <w:rsid w:val="000F2174"/>
    <w:rsid w:val="000F21DB"/>
    <w:rsid w:val="000F2ECB"/>
    <w:rsid w:val="000F45C2"/>
    <w:rsid w:val="000F4BD2"/>
    <w:rsid w:val="000F5E8A"/>
    <w:rsid w:val="000F680C"/>
    <w:rsid w:val="000F6EC3"/>
    <w:rsid w:val="000F73D0"/>
    <w:rsid w:val="000F7A96"/>
    <w:rsid w:val="00101731"/>
    <w:rsid w:val="00101832"/>
    <w:rsid w:val="00101B4A"/>
    <w:rsid w:val="00101F8E"/>
    <w:rsid w:val="0010248E"/>
    <w:rsid w:val="00102891"/>
    <w:rsid w:val="001035CB"/>
    <w:rsid w:val="00103A0A"/>
    <w:rsid w:val="00103B0A"/>
    <w:rsid w:val="00103DDF"/>
    <w:rsid w:val="00104CE8"/>
    <w:rsid w:val="00104E25"/>
    <w:rsid w:val="0010739F"/>
    <w:rsid w:val="00107558"/>
    <w:rsid w:val="00112BE9"/>
    <w:rsid w:val="001132BE"/>
    <w:rsid w:val="00113DDA"/>
    <w:rsid w:val="001140C2"/>
    <w:rsid w:val="001145B1"/>
    <w:rsid w:val="0011492F"/>
    <w:rsid w:val="001155CA"/>
    <w:rsid w:val="00115659"/>
    <w:rsid w:val="0011578A"/>
    <w:rsid w:val="00116227"/>
    <w:rsid w:val="001176BF"/>
    <w:rsid w:val="00117F0F"/>
    <w:rsid w:val="00120947"/>
    <w:rsid w:val="00122288"/>
    <w:rsid w:val="00122F39"/>
    <w:rsid w:val="0012356D"/>
    <w:rsid w:val="00123721"/>
    <w:rsid w:val="0012509B"/>
    <w:rsid w:val="00125805"/>
    <w:rsid w:val="00127F52"/>
    <w:rsid w:val="001301FB"/>
    <w:rsid w:val="00130FF5"/>
    <w:rsid w:val="00131204"/>
    <w:rsid w:val="00131528"/>
    <w:rsid w:val="00131F42"/>
    <w:rsid w:val="00131FF5"/>
    <w:rsid w:val="00132098"/>
    <w:rsid w:val="0013299B"/>
    <w:rsid w:val="00132A2A"/>
    <w:rsid w:val="00132AE3"/>
    <w:rsid w:val="001330EC"/>
    <w:rsid w:val="00133F7E"/>
    <w:rsid w:val="0013455E"/>
    <w:rsid w:val="001357F1"/>
    <w:rsid w:val="00135B07"/>
    <w:rsid w:val="00135E11"/>
    <w:rsid w:val="00136100"/>
    <w:rsid w:val="0013719D"/>
    <w:rsid w:val="00137F5E"/>
    <w:rsid w:val="00140735"/>
    <w:rsid w:val="00140FA8"/>
    <w:rsid w:val="001410E8"/>
    <w:rsid w:val="0014141E"/>
    <w:rsid w:val="00141E2F"/>
    <w:rsid w:val="0014204B"/>
    <w:rsid w:val="001422F3"/>
    <w:rsid w:val="00142FEB"/>
    <w:rsid w:val="00143A2D"/>
    <w:rsid w:val="00144800"/>
    <w:rsid w:val="00144D52"/>
    <w:rsid w:val="001451CF"/>
    <w:rsid w:val="00145A41"/>
    <w:rsid w:val="001468A2"/>
    <w:rsid w:val="00147AC0"/>
    <w:rsid w:val="00147C1C"/>
    <w:rsid w:val="00150180"/>
    <w:rsid w:val="00150935"/>
    <w:rsid w:val="00150F8D"/>
    <w:rsid w:val="00151034"/>
    <w:rsid w:val="0015158A"/>
    <w:rsid w:val="00151675"/>
    <w:rsid w:val="00151BAA"/>
    <w:rsid w:val="00151BEE"/>
    <w:rsid w:val="00151C74"/>
    <w:rsid w:val="00152BEC"/>
    <w:rsid w:val="00152D09"/>
    <w:rsid w:val="00152ED7"/>
    <w:rsid w:val="00153526"/>
    <w:rsid w:val="001544DA"/>
    <w:rsid w:val="00154BE3"/>
    <w:rsid w:val="00154C3B"/>
    <w:rsid w:val="00155E75"/>
    <w:rsid w:val="0015709B"/>
    <w:rsid w:val="00157435"/>
    <w:rsid w:val="00157A4C"/>
    <w:rsid w:val="00157C55"/>
    <w:rsid w:val="00157D93"/>
    <w:rsid w:val="001601AF"/>
    <w:rsid w:val="00160EB7"/>
    <w:rsid w:val="00161990"/>
    <w:rsid w:val="001623CC"/>
    <w:rsid w:val="0016266C"/>
    <w:rsid w:val="00162ED9"/>
    <w:rsid w:val="00163051"/>
    <w:rsid w:val="001651E1"/>
    <w:rsid w:val="001706FB"/>
    <w:rsid w:val="001710F4"/>
    <w:rsid w:val="00172E24"/>
    <w:rsid w:val="00173C0A"/>
    <w:rsid w:val="00174A54"/>
    <w:rsid w:val="0017504D"/>
    <w:rsid w:val="00175182"/>
    <w:rsid w:val="0017523B"/>
    <w:rsid w:val="0017671A"/>
    <w:rsid w:val="0017723D"/>
    <w:rsid w:val="00177422"/>
    <w:rsid w:val="0018049A"/>
    <w:rsid w:val="00180625"/>
    <w:rsid w:val="00180AB8"/>
    <w:rsid w:val="00180AFB"/>
    <w:rsid w:val="00180C06"/>
    <w:rsid w:val="00181640"/>
    <w:rsid w:val="00182B13"/>
    <w:rsid w:val="00182C91"/>
    <w:rsid w:val="001844E4"/>
    <w:rsid w:val="00184590"/>
    <w:rsid w:val="001851B1"/>
    <w:rsid w:val="00185C7D"/>
    <w:rsid w:val="00186269"/>
    <w:rsid w:val="001863EE"/>
    <w:rsid w:val="001870D1"/>
    <w:rsid w:val="0018781E"/>
    <w:rsid w:val="001900CC"/>
    <w:rsid w:val="0019262D"/>
    <w:rsid w:val="00193325"/>
    <w:rsid w:val="00193C38"/>
    <w:rsid w:val="00193D55"/>
    <w:rsid w:val="0019526B"/>
    <w:rsid w:val="00195379"/>
    <w:rsid w:val="00195AB3"/>
    <w:rsid w:val="00195C9E"/>
    <w:rsid w:val="00197BAC"/>
    <w:rsid w:val="001A0243"/>
    <w:rsid w:val="001A058C"/>
    <w:rsid w:val="001A0BC1"/>
    <w:rsid w:val="001A1164"/>
    <w:rsid w:val="001A1B35"/>
    <w:rsid w:val="001A1D19"/>
    <w:rsid w:val="001A2743"/>
    <w:rsid w:val="001A275B"/>
    <w:rsid w:val="001A369D"/>
    <w:rsid w:val="001A3A93"/>
    <w:rsid w:val="001A48A2"/>
    <w:rsid w:val="001A4DBB"/>
    <w:rsid w:val="001A5D52"/>
    <w:rsid w:val="001A6385"/>
    <w:rsid w:val="001A6F61"/>
    <w:rsid w:val="001A700D"/>
    <w:rsid w:val="001A7CA7"/>
    <w:rsid w:val="001B0FFD"/>
    <w:rsid w:val="001B16D3"/>
    <w:rsid w:val="001B305C"/>
    <w:rsid w:val="001B5405"/>
    <w:rsid w:val="001B72B8"/>
    <w:rsid w:val="001C02CC"/>
    <w:rsid w:val="001C067F"/>
    <w:rsid w:val="001C1B13"/>
    <w:rsid w:val="001C21F1"/>
    <w:rsid w:val="001C27CF"/>
    <w:rsid w:val="001C2F02"/>
    <w:rsid w:val="001C33F5"/>
    <w:rsid w:val="001C3C55"/>
    <w:rsid w:val="001C5152"/>
    <w:rsid w:val="001C60F0"/>
    <w:rsid w:val="001C667C"/>
    <w:rsid w:val="001C69B3"/>
    <w:rsid w:val="001C6E05"/>
    <w:rsid w:val="001D0B2E"/>
    <w:rsid w:val="001D1226"/>
    <w:rsid w:val="001D1468"/>
    <w:rsid w:val="001D3112"/>
    <w:rsid w:val="001D32DC"/>
    <w:rsid w:val="001D344F"/>
    <w:rsid w:val="001D4D06"/>
    <w:rsid w:val="001D530D"/>
    <w:rsid w:val="001D5595"/>
    <w:rsid w:val="001D6D7F"/>
    <w:rsid w:val="001D75E5"/>
    <w:rsid w:val="001D785D"/>
    <w:rsid w:val="001D7874"/>
    <w:rsid w:val="001D7F22"/>
    <w:rsid w:val="001E06EE"/>
    <w:rsid w:val="001E22BF"/>
    <w:rsid w:val="001E2638"/>
    <w:rsid w:val="001E2AD3"/>
    <w:rsid w:val="001E2CA5"/>
    <w:rsid w:val="001E2E65"/>
    <w:rsid w:val="001E3958"/>
    <w:rsid w:val="001E39E6"/>
    <w:rsid w:val="001E3E03"/>
    <w:rsid w:val="001E4155"/>
    <w:rsid w:val="001E44AB"/>
    <w:rsid w:val="001E47DC"/>
    <w:rsid w:val="001E5CB7"/>
    <w:rsid w:val="001E65E2"/>
    <w:rsid w:val="001E71F9"/>
    <w:rsid w:val="001F0105"/>
    <w:rsid w:val="001F0BBC"/>
    <w:rsid w:val="001F0D10"/>
    <w:rsid w:val="001F0F17"/>
    <w:rsid w:val="001F1058"/>
    <w:rsid w:val="001F2159"/>
    <w:rsid w:val="001F3347"/>
    <w:rsid w:val="001F4B01"/>
    <w:rsid w:val="001F4C2B"/>
    <w:rsid w:val="001F4F53"/>
    <w:rsid w:val="001F5459"/>
    <w:rsid w:val="001F58B7"/>
    <w:rsid w:val="001F5E2D"/>
    <w:rsid w:val="001F69E4"/>
    <w:rsid w:val="001F6CD9"/>
    <w:rsid w:val="001F7229"/>
    <w:rsid w:val="001F75EB"/>
    <w:rsid w:val="00200D2A"/>
    <w:rsid w:val="00200EB4"/>
    <w:rsid w:val="00201B43"/>
    <w:rsid w:val="00202C40"/>
    <w:rsid w:val="00202E83"/>
    <w:rsid w:val="00203150"/>
    <w:rsid w:val="002031A1"/>
    <w:rsid w:val="002048C1"/>
    <w:rsid w:val="002049CF"/>
    <w:rsid w:val="002052CB"/>
    <w:rsid w:val="00205C7B"/>
    <w:rsid w:val="00205FAF"/>
    <w:rsid w:val="0020692D"/>
    <w:rsid w:val="00206AF4"/>
    <w:rsid w:val="00207C01"/>
    <w:rsid w:val="00210861"/>
    <w:rsid w:val="00211DCC"/>
    <w:rsid w:val="002125B4"/>
    <w:rsid w:val="00212C39"/>
    <w:rsid w:val="00213592"/>
    <w:rsid w:val="002142B3"/>
    <w:rsid w:val="002147AB"/>
    <w:rsid w:val="00214A0C"/>
    <w:rsid w:val="002154F2"/>
    <w:rsid w:val="002155B8"/>
    <w:rsid w:val="00215ACA"/>
    <w:rsid w:val="00216C3E"/>
    <w:rsid w:val="00220443"/>
    <w:rsid w:val="002208B9"/>
    <w:rsid w:val="00221C5B"/>
    <w:rsid w:val="00221FD8"/>
    <w:rsid w:val="002224CA"/>
    <w:rsid w:val="00222F56"/>
    <w:rsid w:val="00222FBC"/>
    <w:rsid w:val="002231ED"/>
    <w:rsid w:val="00223DE0"/>
    <w:rsid w:val="00223ED3"/>
    <w:rsid w:val="00224839"/>
    <w:rsid w:val="002249B2"/>
    <w:rsid w:val="00226566"/>
    <w:rsid w:val="00226574"/>
    <w:rsid w:val="00226FD0"/>
    <w:rsid w:val="002278EC"/>
    <w:rsid w:val="00227E5B"/>
    <w:rsid w:val="00230253"/>
    <w:rsid w:val="00230697"/>
    <w:rsid w:val="00230B62"/>
    <w:rsid w:val="00230D15"/>
    <w:rsid w:val="00231DF0"/>
    <w:rsid w:val="00231F57"/>
    <w:rsid w:val="0023280E"/>
    <w:rsid w:val="00232BE6"/>
    <w:rsid w:val="00232C02"/>
    <w:rsid w:val="0023324B"/>
    <w:rsid w:val="002334BB"/>
    <w:rsid w:val="00234AB1"/>
    <w:rsid w:val="00235DF6"/>
    <w:rsid w:val="00236D64"/>
    <w:rsid w:val="0023714D"/>
    <w:rsid w:val="002377D1"/>
    <w:rsid w:val="00237F89"/>
    <w:rsid w:val="00240D6C"/>
    <w:rsid w:val="00241664"/>
    <w:rsid w:val="00241CC9"/>
    <w:rsid w:val="00242118"/>
    <w:rsid w:val="002425AC"/>
    <w:rsid w:val="00242851"/>
    <w:rsid w:val="00242BA5"/>
    <w:rsid w:val="00242F4A"/>
    <w:rsid w:val="00243B94"/>
    <w:rsid w:val="00243C3E"/>
    <w:rsid w:val="00243E9F"/>
    <w:rsid w:val="00245ADB"/>
    <w:rsid w:val="00246B28"/>
    <w:rsid w:val="00246C41"/>
    <w:rsid w:val="00246DAC"/>
    <w:rsid w:val="00246FAA"/>
    <w:rsid w:val="00247042"/>
    <w:rsid w:val="002478DF"/>
    <w:rsid w:val="002479F7"/>
    <w:rsid w:val="00247EAD"/>
    <w:rsid w:val="00247ED6"/>
    <w:rsid w:val="00247F05"/>
    <w:rsid w:val="002506BC"/>
    <w:rsid w:val="002511E0"/>
    <w:rsid w:val="002514FC"/>
    <w:rsid w:val="0025254F"/>
    <w:rsid w:val="002526A4"/>
    <w:rsid w:val="00254345"/>
    <w:rsid w:val="00254B9E"/>
    <w:rsid w:val="00256E04"/>
    <w:rsid w:val="002571F7"/>
    <w:rsid w:val="002573FB"/>
    <w:rsid w:val="0025768E"/>
    <w:rsid w:val="002613D7"/>
    <w:rsid w:val="0026189F"/>
    <w:rsid w:val="00261A3D"/>
    <w:rsid w:val="002624DF"/>
    <w:rsid w:val="00263005"/>
    <w:rsid w:val="00263573"/>
    <w:rsid w:val="00263FC9"/>
    <w:rsid w:val="00264522"/>
    <w:rsid w:val="00264557"/>
    <w:rsid w:val="00264757"/>
    <w:rsid w:val="002670A8"/>
    <w:rsid w:val="002707B2"/>
    <w:rsid w:val="0027166C"/>
    <w:rsid w:val="00271ACA"/>
    <w:rsid w:val="00271B4D"/>
    <w:rsid w:val="00271FFC"/>
    <w:rsid w:val="00272DD9"/>
    <w:rsid w:val="00273BB6"/>
    <w:rsid w:val="002746BB"/>
    <w:rsid w:val="00274C99"/>
    <w:rsid w:val="00274CA6"/>
    <w:rsid w:val="00276368"/>
    <w:rsid w:val="0027682F"/>
    <w:rsid w:val="00277082"/>
    <w:rsid w:val="00277485"/>
    <w:rsid w:val="00277553"/>
    <w:rsid w:val="00277C1C"/>
    <w:rsid w:val="00280300"/>
    <w:rsid w:val="002805AB"/>
    <w:rsid w:val="00280CFF"/>
    <w:rsid w:val="00281C4A"/>
    <w:rsid w:val="00281EA7"/>
    <w:rsid w:val="0028232E"/>
    <w:rsid w:val="0028260E"/>
    <w:rsid w:val="002826D3"/>
    <w:rsid w:val="00282AF8"/>
    <w:rsid w:val="00282F50"/>
    <w:rsid w:val="0028323D"/>
    <w:rsid w:val="002836B8"/>
    <w:rsid w:val="00284204"/>
    <w:rsid w:val="00284513"/>
    <w:rsid w:val="002852F7"/>
    <w:rsid w:val="002862B9"/>
    <w:rsid w:val="0028726A"/>
    <w:rsid w:val="0028733C"/>
    <w:rsid w:val="0028757A"/>
    <w:rsid w:val="00290545"/>
    <w:rsid w:val="00291393"/>
    <w:rsid w:val="00291773"/>
    <w:rsid w:val="00291856"/>
    <w:rsid w:val="002918AD"/>
    <w:rsid w:val="00292659"/>
    <w:rsid w:val="002935BD"/>
    <w:rsid w:val="002939A2"/>
    <w:rsid w:val="00294941"/>
    <w:rsid w:val="00294A5F"/>
    <w:rsid w:val="00294C8E"/>
    <w:rsid w:val="0029535E"/>
    <w:rsid w:val="00295C87"/>
    <w:rsid w:val="00296318"/>
    <w:rsid w:val="002965FD"/>
    <w:rsid w:val="00296C5B"/>
    <w:rsid w:val="00297046"/>
    <w:rsid w:val="002A168C"/>
    <w:rsid w:val="002A1B1E"/>
    <w:rsid w:val="002A1D72"/>
    <w:rsid w:val="002A3DC7"/>
    <w:rsid w:val="002A4AAF"/>
    <w:rsid w:val="002A4FA5"/>
    <w:rsid w:val="002A5110"/>
    <w:rsid w:val="002A5B72"/>
    <w:rsid w:val="002A5EA6"/>
    <w:rsid w:val="002A6CAB"/>
    <w:rsid w:val="002A7C17"/>
    <w:rsid w:val="002B061C"/>
    <w:rsid w:val="002B0BF0"/>
    <w:rsid w:val="002B0D24"/>
    <w:rsid w:val="002B12C8"/>
    <w:rsid w:val="002B3793"/>
    <w:rsid w:val="002B40B4"/>
    <w:rsid w:val="002B4582"/>
    <w:rsid w:val="002B46E8"/>
    <w:rsid w:val="002B4761"/>
    <w:rsid w:val="002B49E2"/>
    <w:rsid w:val="002B4BCD"/>
    <w:rsid w:val="002B5734"/>
    <w:rsid w:val="002B669D"/>
    <w:rsid w:val="002B672D"/>
    <w:rsid w:val="002B7861"/>
    <w:rsid w:val="002B7B00"/>
    <w:rsid w:val="002B7C44"/>
    <w:rsid w:val="002B7DF0"/>
    <w:rsid w:val="002C0D20"/>
    <w:rsid w:val="002C0EBD"/>
    <w:rsid w:val="002C1985"/>
    <w:rsid w:val="002C23BE"/>
    <w:rsid w:val="002C2632"/>
    <w:rsid w:val="002C2B17"/>
    <w:rsid w:val="002C2FB9"/>
    <w:rsid w:val="002C50C6"/>
    <w:rsid w:val="002C557E"/>
    <w:rsid w:val="002D0596"/>
    <w:rsid w:val="002D088A"/>
    <w:rsid w:val="002D17A2"/>
    <w:rsid w:val="002D23D6"/>
    <w:rsid w:val="002D3DD0"/>
    <w:rsid w:val="002D3E9C"/>
    <w:rsid w:val="002D4980"/>
    <w:rsid w:val="002D4D3D"/>
    <w:rsid w:val="002D5027"/>
    <w:rsid w:val="002D65C9"/>
    <w:rsid w:val="002D6D97"/>
    <w:rsid w:val="002D6E83"/>
    <w:rsid w:val="002E11E8"/>
    <w:rsid w:val="002E1239"/>
    <w:rsid w:val="002E1AB5"/>
    <w:rsid w:val="002E1F3A"/>
    <w:rsid w:val="002E298A"/>
    <w:rsid w:val="002E2D99"/>
    <w:rsid w:val="002E3E2E"/>
    <w:rsid w:val="002E3F6F"/>
    <w:rsid w:val="002E3F95"/>
    <w:rsid w:val="002E41D7"/>
    <w:rsid w:val="002E5961"/>
    <w:rsid w:val="002E601B"/>
    <w:rsid w:val="002E70D3"/>
    <w:rsid w:val="002E7171"/>
    <w:rsid w:val="002F04D9"/>
    <w:rsid w:val="002F0A09"/>
    <w:rsid w:val="002F0B5D"/>
    <w:rsid w:val="002F0C2A"/>
    <w:rsid w:val="002F1527"/>
    <w:rsid w:val="002F1918"/>
    <w:rsid w:val="002F1B88"/>
    <w:rsid w:val="002F2D13"/>
    <w:rsid w:val="002F32E1"/>
    <w:rsid w:val="002F357D"/>
    <w:rsid w:val="002F3E5A"/>
    <w:rsid w:val="002F4A0A"/>
    <w:rsid w:val="002F5352"/>
    <w:rsid w:val="002F574B"/>
    <w:rsid w:val="002F68A9"/>
    <w:rsid w:val="002F6DBF"/>
    <w:rsid w:val="00300168"/>
    <w:rsid w:val="00300625"/>
    <w:rsid w:val="00300F6A"/>
    <w:rsid w:val="0030173D"/>
    <w:rsid w:val="00301865"/>
    <w:rsid w:val="00301978"/>
    <w:rsid w:val="003020AF"/>
    <w:rsid w:val="0030332C"/>
    <w:rsid w:val="0030376C"/>
    <w:rsid w:val="00303C52"/>
    <w:rsid w:val="00303FD1"/>
    <w:rsid w:val="00304AAB"/>
    <w:rsid w:val="00304FF4"/>
    <w:rsid w:val="003051C2"/>
    <w:rsid w:val="00305657"/>
    <w:rsid w:val="003062CB"/>
    <w:rsid w:val="0030638B"/>
    <w:rsid w:val="0031118D"/>
    <w:rsid w:val="00311D84"/>
    <w:rsid w:val="00312296"/>
    <w:rsid w:val="00312C39"/>
    <w:rsid w:val="00312E67"/>
    <w:rsid w:val="00313198"/>
    <w:rsid w:val="00313695"/>
    <w:rsid w:val="0031402C"/>
    <w:rsid w:val="00314041"/>
    <w:rsid w:val="00314B6B"/>
    <w:rsid w:val="00314F0E"/>
    <w:rsid w:val="003157FF"/>
    <w:rsid w:val="00315C3A"/>
    <w:rsid w:val="00316EFA"/>
    <w:rsid w:val="0031769C"/>
    <w:rsid w:val="00317706"/>
    <w:rsid w:val="00317EB5"/>
    <w:rsid w:val="00320919"/>
    <w:rsid w:val="00320C20"/>
    <w:rsid w:val="00321D8E"/>
    <w:rsid w:val="00322697"/>
    <w:rsid w:val="00322777"/>
    <w:rsid w:val="003243C2"/>
    <w:rsid w:val="00324668"/>
    <w:rsid w:val="003248CC"/>
    <w:rsid w:val="00324D22"/>
    <w:rsid w:val="0032506C"/>
    <w:rsid w:val="00325673"/>
    <w:rsid w:val="00325928"/>
    <w:rsid w:val="00325D9C"/>
    <w:rsid w:val="0032687F"/>
    <w:rsid w:val="00326C75"/>
    <w:rsid w:val="00326F97"/>
    <w:rsid w:val="00327199"/>
    <w:rsid w:val="003274A7"/>
    <w:rsid w:val="0033118C"/>
    <w:rsid w:val="00331564"/>
    <w:rsid w:val="00332863"/>
    <w:rsid w:val="0033371D"/>
    <w:rsid w:val="00334060"/>
    <w:rsid w:val="00334CE6"/>
    <w:rsid w:val="00335999"/>
    <w:rsid w:val="0033684D"/>
    <w:rsid w:val="00336BDE"/>
    <w:rsid w:val="00337B42"/>
    <w:rsid w:val="00341B42"/>
    <w:rsid w:val="00341B7D"/>
    <w:rsid w:val="0034256D"/>
    <w:rsid w:val="00342DAE"/>
    <w:rsid w:val="0034348F"/>
    <w:rsid w:val="0034365E"/>
    <w:rsid w:val="0034397C"/>
    <w:rsid w:val="00343A21"/>
    <w:rsid w:val="0034478C"/>
    <w:rsid w:val="003448A2"/>
    <w:rsid w:val="003449F1"/>
    <w:rsid w:val="00344E5A"/>
    <w:rsid w:val="0034688B"/>
    <w:rsid w:val="003468BC"/>
    <w:rsid w:val="003478F7"/>
    <w:rsid w:val="00347BE4"/>
    <w:rsid w:val="00347EA6"/>
    <w:rsid w:val="00347FFD"/>
    <w:rsid w:val="00351262"/>
    <w:rsid w:val="0035153A"/>
    <w:rsid w:val="00351730"/>
    <w:rsid w:val="00351F4C"/>
    <w:rsid w:val="00352805"/>
    <w:rsid w:val="0035344A"/>
    <w:rsid w:val="00353B23"/>
    <w:rsid w:val="00354011"/>
    <w:rsid w:val="003540DE"/>
    <w:rsid w:val="003557F5"/>
    <w:rsid w:val="00355844"/>
    <w:rsid w:val="00355BC0"/>
    <w:rsid w:val="00356653"/>
    <w:rsid w:val="003567BA"/>
    <w:rsid w:val="003568C3"/>
    <w:rsid w:val="003570FB"/>
    <w:rsid w:val="0035743F"/>
    <w:rsid w:val="003574A8"/>
    <w:rsid w:val="00357BE2"/>
    <w:rsid w:val="00360614"/>
    <w:rsid w:val="00360650"/>
    <w:rsid w:val="003609DC"/>
    <w:rsid w:val="00360FAC"/>
    <w:rsid w:val="0036170C"/>
    <w:rsid w:val="003623C4"/>
    <w:rsid w:val="00362F31"/>
    <w:rsid w:val="00363847"/>
    <w:rsid w:val="003651CD"/>
    <w:rsid w:val="00365C4A"/>
    <w:rsid w:val="00366587"/>
    <w:rsid w:val="00366E0F"/>
    <w:rsid w:val="00367413"/>
    <w:rsid w:val="00367983"/>
    <w:rsid w:val="00372DD3"/>
    <w:rsid w:val="00373696"/>
    <w:rsid w:val="0037475F"/>
    <w:rsid w:val="003761BA"/>
    <w:rsid w:val="00376F68"/>
    <w:rsid w:val="003774A5"/>
    <w:rsid w:val="0037797C"/>
    <w:rsid w:val="00380AD7"/>
    <w:rsid w:val="00381A72"/>
    <w:rsid w:val="00381C94"/>
    <w:rsid w:val="003831A9"/>
    <w:rsid w:val="003832C6"/>
    <w:rsid w:val="003834D3"/>
    <w:rsid w:val="0038453A"/>
    <w:rsid w:val="00384676"/>
    <w:rsid w:val="00385036"/>
    <w:rsid w:val="0038514C"/>
    <w:rsid w:val="003861C4"/>
    <w:rsid w:val="00386552"/>
    <w:rsid w:val="00386778"/>
    <w:rsid w:val="00386C01"/>
    <w:rsid w:val="00386CB6"/>
    <w:rsid w:val="00387848"/>
    <w:rsid w:val="00387A42"/>
    <w:rsid w:val="00387E37"/>
    <w:rsid w:val="00390857"/>
    <w:rsid w:val="00391056"/>
    <w:rsid w:val="003919B6"/>
    <w:rsid w:val="0039319E"/>
    <w:rsid w:val="003949D9"/>
    <w:rsid w:val="00395664"/>
    <w:rsid w:val="00395A5E"/>
    <w:rsid w:val="00396A78"/>
    <w:rsid w:val="003973D5"/>
    <w:rsid w:val="003A1938"/>
    <w:rsid w:val="003A1972"/>
    <w:rsid w:val="003A22D9"/>
    <w:rsid w:val="003A22E7"/>
    <w:rsid w:val="003A2C89"/>
    <w:rsid w:val="003A2DA4"/>
    <w:rsid w:val="003A2DF5"/>
    <w:rsid w:val="003A2E51"/>
    <w:rsid w:val="003A2FDE"/>
    <w:rsid w:val="003A3290"/>
    <w:rsid w:val="003A32DB"/>
    <w:rsid w:val="003A36AE"/>
    <w:rsid w:val="003A4343"/>
    <w:rsid w:val="003A4B6F"/>
    <w:rsid w:val="003A4BF3"/>
    <w:rsid w:val="003A4EC9"/>
    <w:rsid w:val="003A663B"/>
    <w:rsid w:val="003A6760"/>
    <w:rsid w:val="003A69F1"/>
    <w:rsid w:val="003A77A8"/>
    <w:rsid w:val="003A7EC9"/>
    <w:rsid w:val="003B0218"/>
    <w:rsid w:val="003B184B"/>
    <w:rsid w:val="003B2284"/>
    <w:rsid w:val="003B2DDF"/>
    <w:rsid w:val="003B32F6"/>
    <w:rsid w:val="003B39EC"/>
    <w:rsid w:val="003B420D"/>
    <w:rsid w:val="003B4FDB"/>
    <w:rsid w:val="003B5336"/>
    <w:rsid w:val="003B5A19"/>
    <w:rsid w:val="003B5F95"/>
    <w:rsid w:val="003B6BD4"/>
    <w:rsid w:val="003B6DE5"/>
    <w:rsid w:val="003B7793"/>
    <w:rsid w:val="003B7CB8"/>
    <w:rsid w:val="003C0514"/>
    <w:rsid w:val="003C1785"/>
    <w:rsid w:val="003C20E4"/>
    <w:rsid w:val="003C22B8"/>
    <w:rsid w:val="003C239B"/>
    <w:rsid w:val="003C25C4"/>
    <w:rsid w:val="003C26A6"/>
    <w:rsid w:val="003C28B8"/>
    <w:rsid w:val="003C2BAF"/>
    <w:rsid w:val="003C2D7F"/>
    <w:rsid w:val="003C2DFC"/>
    <w:rsid w:val="003C2FA6"/>
    <w:rsid w:val="003C39DF"/>
    <w:rsid w:val="003C4B95"/>
    <w:rsid w:val="003C4C91"/>
    <w:rsid w:val="003C55EF"/>
    <w:rsid w:val="003C5E11"/>
    <w:rsid w:val="003C6C16"/>
    <w:rsid w:val="003C7C34"/>
    <w:rsid w:val="003D081A"/>
    <w:rsid w:val="003D0D82"/>
    <w:rsid w:val="003D0E0A"/>
    <w:rsid w:val="003D11CB"/>
    <w:rsid w:val="003D1202"/>
    <w:rsid w:val="003D1896"/>
    <w:rsid w:val="003D42F7"/>
    <w:rsid w:val="003D490E"/>
    <w:rsid w:val="003D4C02"/>
    <w:rsid w:val="003D520F"/>
    <w:rsid w:val="003D5CA4"/>
    <w:rsid w:val="003D5DF9"/>
    <w:rsid w:val="003D794D"/>
    <w:rsid w:val="003E08A1"/>
    <w:rsid w:val="003E0A48"/>
    <w:rsid w:val="003E0DBA"/>
    <w:rsid w:val="003E1043"/>
    <w:rsid w:val="003E1D48"/>
    <w:rsid w:val="003E1F79"/>
    <w:rsid w:val="003E3058"/>
    <w:rsid w:val="003E3193"/>
    <w:rsid w:val="003E393C"/>
    <w:rsid w:val="003E417E"/>
    <w:rsid w:val="003E45EA"/>
    <w:rsid w:val="003E61E8"/>
    <w:rsid w:val="003E73F1"/>
    <w:rsid w:val="003E76A9"/>
    <w:rsid w:val="003E7EE9"/>
    <w:rsid w:val="003F02F9"/>
    <w:rsid w:val="003F0467"/>
    <w:rsid w:val="003F0809"/>
    <w:rsid w:val="003F1DD8"/>
    <w:rsid w:val="003F3013"/>
    <w:rsid w:val="003F4EC2"/>
    <w:rsid w:val="003F5270"/>
    <w:rsid w:val="003F5363"/>
    <w:rsid w:val="003F6291"/>
    <w:rsid w:val="003F66BE"/>
    <w:rsid w:val="003F6A8C"/>
    <w:rsid w:val="003F755C"/>
    <w:rsid w:val="003F7562"/>
    <w:rsid w:val="00400631"/>
    <w:rsid w:val="00400A40"/>
    <w:rsid w:val="00401788"/>
    <w:rsid w:val="0040228F"/>
    <w:rsid w:val="0040239D"/>
    <w:rsid w:val="00402B88"/>
    <w:rsid w:val="0040498C"/>
    <w:rsid w:val="00405107"/>
    <w:rsid w:val="004053F9"/>
    <w:rsid w:val="004069CA"/>
    <w:rsid w:val="00406ABA"/>
    <w:rsid w:val="00406F01"/>
    <w:rsid w:val="0041085C"/>
    <w:rsid w:val="00411D2E"/>
    <w:rsid w:val="004146E4"/>
    <w:rsid w:val="0041494E"/>
    <w:rsid w:val="00415A9C"/>
    <w:rsid w:val="0041642B"/>
    <w:rsid w:val="00416D50"/>
    <w:rsid w:val="00416FD5"/>
    <w:rsid w:val="00417772"/>
    <w:rsid w:val="00417AC2"/>
    <w:rsid w:val="0042012E"/>
    <w:rsid w:val="00420D68"/>
    <w:rsid w:val="00420E6A"/>
    <w:rsid w:val="00421014"/>
    <w:rsid w:val="00421043"/>
    <w:rsid w:val="0042199B"/>
    <w:rsid w:val="00423301"/>
    <w:rsid w:val="00423AC2"/>
    <w:rsid w:val="00424171"/>
    <w:rsid w:val="004245B1"/>
    <w:rsid w:val="00424C51"/>
    <w:rsid w:val="004250AC"/>
    <w:rsid w:val="004255E6"/>
    <w:rsid w:val="00425A9E"/>
    <w:rsid w:val="00425DAC"/>
    <w:rsid w:val="00426D6B"/>
    <w:rsid w:val="00426FC2"/>
    <w:rsid w:val="00427115"/>
    <w:rsid w:val="00427C3A"/>
    <w:rsid w:val="00430ECA"/>
    <w:rsid w:val="004318EE"/>
    <w:rsid w:val="00431E6C"/>
    <w:rsid w:val="004331CB"/>
    <w:rsid w:val="004332B2"/>
    <w:rsid w:val="00433CE7"/>
    <w:rsid w:val="00434AD3"/>
    <w:rsid w:val="00436BCF"/>
    <w:rsid w:val="00437920"/>
    <w:rsid w:val="00440761"/>
    <w:rsid w:val="0044149C"/>
    <w:rsid w:val="00441ECA"/>
    <w:rsid w:val="004421A6"/>
    <w:rsid w:val="004422BC"/>
    <w:rsid w:val="004427B7"/>
    <w:rsid w:val="0044286A"/>
    <w:rsid w:val="00443807"/>
    <w:rsid w:val="004438E5"/>
    <w:rsid w:val="00444B06"/>
    <w:rsid w:val="00445EA2"/>
    <w:rsid w:val="00446A52"/>
    <w:rsid w:val="00446B0E"/>
    <w:rsid w:val="0044744D"/>
    <w:rsid w:val="00447A29"/>
    <w:rsid w:val="004517AD"/>
    <w:rsid w:val="00451F51"/>
    <w:rsid w:val="00452523"/>
    <w:rsid w:val="00452738"/>
    <w:rsid w:val="00452EEA"/>
    <w:rsid w:val="004547EC"/>
    <w:rsid w:val="00454916"/>
    <w:rsid w:val="00454CEF"/>
    <w:rsid w:val="004557D9"/>
    <w:rsid w:val="00456091"/>
    <w:rsid w:val="00456736"/>
    <w:rsid w:val="00456C71"/>
    <w:rsid w:val="0045702C"/>
    <w:rsid w:val="0045758E"/>
    <w:rsid w:val="00457C2B"/>
    <w:rsid w:val="00460778"/>
    <w:rsid w:val="00461C31"/>
    <w:rsid w:val="00461CD4"/>
    <w:rsid w:val="0046383D"/>
    <w:rsid w:val="00463A4C"/>
    <w:rsid w:val="00463A53"/>
    <w:rsid w:val="0046410A"/>
    <w:rsid w:val="00464E54"/>
    <w:rsid w:val="0046532D"/>
    <w:rsid w:val="00465746"/>
    <w:rsid w:val="00466321"/>
    <w:rsid w:val="00466D18"/>
    <w:rsid w:val="00467847"/>
    <w:rsid w:val="004678C0"/>
    <w:rsid w:val="00470342"/>
    <w:rsid w:val="00470A1F"/>
    <w:rsid w:val="00471F00"/>
    <w:rsid w:val="00471F83"/>
    <w:rsid w:val="00472004"/>
    <w:rsid w:val="00472BD5"/>
    <w:rsid w:val="00472F7A"/>
    <w:rsid w:val="00474743"/>
    <w:rsid w:val="00474EE4"/>
    <w:rsid w:val="00476A8B"/>
    <w:rsid w:val="00476E28"/>
    <w:rsid w:val="004802CD"/>
    <w:rsid w:val="0048065D"/>
    <w:rsid w:val="00480E83"/>
    <w:rsid w:val="0048115C"/>
    <w:rsid w:val="00481780"/>
    <w:rsid w:val="00482557"/>
    <w:rsid w:val="00483B59"/>
    <w:rsid w:val="00484B9B"/>
    <w:rsid w:val="004855F6"/>
    <w:rsid w:val="00485B53"/>
    <w:rsid w:val="00485DAB"/>
    <w:rsid w:val="00485F23"/>
    <w:rsid w:val="0048661E"/>
    <w:rsid w:val="00486D4B"/>
    <w:rsid w:val="00486FB8"/>
    <w:rsid w:val="00486FFC"/>
    <w:rsid w:val="004904FD"/>
    <w:rsid w:val="0049151C"/>
    <w:rsid w:val="004915CA"/>
    <w:rsid w:val="00491BB0"/>
    <w:rsid w:val="00491CA7"/>
    <w:rsid w:val="00491CFD"/>
    <w:rsid w:val="00491F30"/>
    <w:rsid w:val="0049302F"/>
    <w:rsid w:val="00494670"/>
    <w:rsid w:val="00496A76"/>
    <w:rsid w:val="0049753F"/>
    <w:rsid w:val="004A08B3"/>
    <w:rsid w:val="004A104A"/>
    <w:rsid w:val="004A1512"/>
    <w:rsid w:val="004A1CD2"/>
    <w:rsid w:val="004A2649"/>
    <w:rsid w:val="004A2BB4"/>
    <w:rsid w:val="004A3094"/>
    <w:rsid w:val="004A3466"/>
    <w:rsid w:val="004A3823"/>
    <w:rsid w:val="004A40AF"/>
    <w:rsid w:val="004A6350"/>
    <w:rsid w:val="004A67B2"/>
    <w:rsid w:val="004A7D10"/>
    <w:rsid w:val="004B1CE6"/>
    <w:rsid w:val="004B288B"/>
    <w:rsid w:val="004B39F3"/>
    <w:rsid w:val="004B3B56"/>
    <w:rsid w:val="004B3E38"/>
    <w:rsid w:val="004B3EB4"/>
    <w:rsid w:val="004B4900"/>
    <w:rsid w:val="004B4CAC"/>
    <w:rsid w:val="004B5E8D"/>
    <w:rsid w:val="004B6659"/>
    <w:rsid w:val="004B6965"/>
    <w:rsid w:val="004B7665"/>
    <w:rsid w:val="004B76D4"/>
    <w:rsid w:val="004B7B6F"/>
    <w:rsid w:val="004B7D23"/>
    <w:rsid w:val="004C0081"/>
    <w:rsid w:val="004C03CA"/>
    <w:rsid w:val="004C0575"/>
    <w:rsid w:val="004C0893"/>
    <w:rsid w:val="004C0906"/>
    <w:rsid w:val="004C0F02"/>
    <w:rsid w:val="004C2067"/>
    <w:rsid w:val="004C2331"/>
    <w:rsid w:val="004C36CD"/>
    <w:rsid w:val="004C4DC8"/>
    <w:rsid w:val="004C4E3C"/>
    <w:rsid w:val="004C6376"/>
    <w:rsid w:val="004C6CFE"/>
    <w:rsid w:val="004D01CC"/>
    <w:rsid w:val="004D1D82"/>
    <w:rsid w:val="004D2B05"/>
    <w:rsid w:val="004D3D55"/>
    <w:rsid w:val="004D4236"/>
    <w:rsid w:val="004D43F1"/>
    <w:rsid w:val="004D5746"/>
    <w:rsid w:val="004D5958"/>
    <w:rsid w:val="004D5B0D"/>
    <w:rsid w:val="004D650C"/>
    <w:rsid w:val="004D65C3"/>
    <w:rsid w:val="004D7324"/>
    <w:rsid w:val="004D7521"/>
    <w:rsid w:val="004E2475"/>
    <w:rsid w:val="004E2592"/>
    <w:rsid w:val="004E2AB6"/>
    <w:rsid w:val="004E3232"/>
    <w:rsid w:val="004E35C1"/>
    <w:rsid w:val="004E3B76"/>
    <w:rsid w:val="004E3B98"/>
    <w:rsid w:val="004E47AA"/>
    <w:rsid w:val="004E5BB0"/>
    <w:rsid w:val="004E629B"/>
    <w:rsid w:val="004E6946"/>
    <w:rsid w:val="004E74C5"/>
    <w:rsid w:val="004E76EC"/>
    <w:rsid w:val="004F108E"/>
    <w:rsid w:val="004F158F"/>
    <w:rsid w:val="004F189C"/>
    <w:rsid w:val="004F1AD8"/>
    <w:rsid w:val="004F2F85"/>
    <w:rsid w:val="004F33E6"/>
    <w:rsid w:val="004F3486"/>
    <w:rsid w:val="004F3663"/>
    <w:rsid w:val="004F4176"/>
    <w:rsid w:val="004F54DA"/>
    <w:rsid w:val="004F60D1"/>
    <w:rsid w:val="004F6AAD"/>
    <w:rsid w:val="0050015B"/>
    <w:rsid w:val="00501703"/>
    <w:rsid w:val="005017D6"/>
    <w:rsid w:val="005039CB"/>
    <w:rsid w:val="00504B02"/>
    <w:rsid w:val="00504C04"/>
    <w:rsid w:val="0050558F"/>
    <w:rsid w:val="00505DD7"/>
    <w:rsid w:val="00505DEA"/>
    <w:rsid w:val="00506286"/>
    <w:rsid w:val="005077A4"/>
    <w:rsid w:val="00507C21"/>
    <w:rsid w:val="00507FA9"/>
    <w:rsid w:val="00510605"/>
    <w:rsid w:val="005106D9"/>
    <w:rsid w:val="00510813"/>
    <w:rsid w:val="00511990"/>
    <w:rsid w:val="00511DE0"/>
    <w:rsid w:val="0051212C"/>
    <w:rsid w:val="0051285B"/>
    <w:rsid w:val="005128F5"/>
    <w:rsid w:val="00512F47"/>
    <w:rsid w:val="005133F1"/>
    <w:rsid w:val="00513F12"/>
    <w:rsid w:val="00514870"/>
    <w:rsid w:val="00514B9B"/>
    <w:rsid w:val="00515357"/>
    <w:rsid w:val="005159BF"/>
    <w:rsid w:val="0051682F"/>
    <w:rsid w:val="00517589"/>
    <w:rsid w:val="00517F02"/>
    <w:rsid w:val="0052048F"/>
    <w:rsid w:val="00520BAC"/>
    <w:rsid w:val="00522F95"/>
    <w:rsid w:val="005232A2"/>
    <w:rsid w:val="00524303"/>
    <w:rsid w:val="005246F9"/>
    <w:rsid w:val="005258A2"/>
    <w:rsid w:val="00527654"/>
    <w:rsid w:val="00527BA9"/>
    <w:rsid w:val="0053001B"/>
    <w:rsid w:val="005304F6"/>
    <w:rsid w:val="00530CE1"/>
    <w:rsid w:val="00531D1B"/>
    <w:rsid w:val="00533029"/>
    <w:rsid w:val="00533C67"/>
    <w:rsid w:val="00533D8A"/>
    <w:rsid w:val="00533E8C"/>
    <w:rsid w:val="00535557"/>
    <w:rsid w:val="005356D1"/>
    <w:rsid w:val="00536DEE"/>
    <w:rsid w:val="005371F1"/>
    <w:rsid w:val="00537DB0"/>
    <w:rsid w:val="005401AE"/>
    <w:rsid w:val="00540414"/>
    <w:rsid w:val="005406B3"/>
    <w:rsid w:val="00541A4C"/>
    <w:rsid w:val="00541CE0"/>
    <w:rsid w:val="00542602"/>
    <w:rsid w:val="00542D72"/>
    <w:rsid w:val="00542E07"/>
    <w:rsid w:val="00542F2F"/>
    <w:rsid w:val="00543A46"/>
    <w:rsid w:val="00543C6B"/>
    <w:rsid w:val="00544CD5"/>
    <w:rsid w:val="00545424"/>
    <w:rsid w:val="00545504"/>
    <w:rsid w:val="0054574E"/>
    <w:rsid w:val="00546C49"/>
    <w:rsid w:val="00547272"/>
    <w:rsid w:val="00550B1F"/>
    <w:rsid w:val="00553A1C"/>
    <w:rsid w:val="00553FBC"/>
    <w:rsid w:val="0055441C"/>
    <w:rsid w:val="00554A7B"/>
    <w:rsid w:val="0055572C"/>
    <w:rsid w:val="0055618D"/>
    <w:rsid w:val="005564E7"/>
    <w:rsid w:val="0055685A"/>
    <w:rsid w:val="00557178"/>
    <w:rsid w:val="00557383"/>
    <w:rsid w:val="0056063B"/>
    <w:rsid w:val="0056106A"/>
    <w:rsid w:val="00561583"/>
    <w:rsid w:val="005616BC"/>
    <w:rsid w:val="0056458E"/>
    <w:rsid w:val="00564669"/>
    <w:rsid w:val="005652AF"/>
    <w:rsid w:val="00565B21"/>
    <w:rsid w:val="00566069"/>
    <w:rsid w:val="0056659E"/>
    <w:rsid w:val="00566A91"/>
    <w:rsid w:val="0056742C"/>
    <w:rsid w:val="0056754F"/>
    <w:rsid w:val="005677B9"/>
    <w:rsid w:val="00570299"/>
    <w:rsid w:val="00570CE6"/>
    <w:rsid w:val="00571C36"/>
    <w:rsid w:val="005720AE"/>
    <w:rsid w:val="005729EB"/>
    <w:rsid w:val="00572A06"/>
    <w:rsid w:val="00573227"/>
    <w:rsid w:val="00574645"/>
    <w:rsid w:val="00575256"/>
    <w:rsid w:val="00575FB4"/>
    <w:rsid w:val="00576589"/>
    <w:rsid w:val="005768A9"/>
    <w:rsid w:val="00576BE5"/>
    <w:rsid w:val="00576CAB"/>
    <w:rsid w:val="00576F16"/>
    <w:rsid w:val="00577208"/>
    <w:rsid w:val="0057776A"/>
    <w:rsid w:val="00577F33"/>
    <w:rsid w:val="0058062F"/>
    <w:rsid w:val="0058173E"/>
    <w:rsid w:val="005827F0"/>
    <w:rsid w:val="00582EE0"/>
    <w:rsid w:val="00582FB5"/>
    <w:rsid w:val="0058308E"/>
    <w:rsid w:val="00583269"/>
    <w:rsid w:val="00583338"/>
    <w:rsid w:val="0058338A"/>
    <w:rsid w:val="00583AEF"/>
    <w:rsid w:val="005844E8"/>
    <w:rsid w:val="005846C9"/>
    <w:rsid w:val="005854D3"/>
    <w:rsid w:val="0058552B"/>
    <w:rsid w:val="00586D41"/>
    <w:rsid w:val="00587565"/>
    <w:rsid w:val="0058762E"/>
    <w:rsid w:val="00590122"/>
    <w:rsid w:val="005903EA"/>
    <w:rsid w:val="005907FE"/>
    <w:rsid w:val="00590F19"/>
    <w:rsid w:val="0059223F"/>
    <w:rsid w:val="005922E8"/>
    <w:rsid w:val="00592CC0"/>
    <w:rsid w:val="00592FA5"/>
    <w:rsid w:val="0059346B"/>
    <w:rsid w:val="005934B4"/>
    <w:rsid w:val="00594717"/>
    <w:rsid w:val="00594C85"/>
    <w:rsid w:val="00594D77"/>
    <w:rsid w:val="00595600"/>
    <w:rsid w:val="00596947"/>
    <w:rsid w:val="005969E4"/>
    <w:rsid w:val="005979E2"/>
    <w:rsid w:val="00597CC4"/>
    <w:rsid w:val="00597D43"/>
    <w:rsid w:val="005A06B7"/>
    <w:rsid w:val="005A08C2"/>
    <w:rsid w:val="005A0DC2"/>
    <w:rsid w:val="005A129E"/>
    <w:rsid w:val="005A1504"/>
    <w:rsid w:val="005A1759"/>
    <w:rsid w:val="005A1F72"/>
    <w:rsid w:val="005A2232"/>
    <w:rsid w:val="005A2605"/>
    <w:rsid w:val="005A2FEB"/>
    <w:rsid w:val="005A32E5"/>
    <w:rsid w:val="005A4046"/>
    <w:rsid w:val="005A4F2C"/>
    <w:rsid w:val="005A5678"/>
    <w:rsid w:val="005A65ED"/>
    <w:rsid w:val="005A68A7"/>
    <w:rsid w:val="005A7017"/>
    <w:rsid w:val="005A74EC"/>
    <w:rsid w:val="005A78BB"/>
    <w:rsid w:val="005A7B94"/>
    <w:rsid w:val="005B0171"/>
    <w:rsid w:val="005B037B"/>
    <w:rsid w:val="005B0469"/>
    <w:rsid w:val="005B1483"/>
    <w:rsid w:val="005B1BEC"/>
    <w:rsid w:val="005B1D52"/>
    <w:rsid w:val="005B3B37"/>
    <w:rsid w:val="005B3BE5"/>
    <w:rsid w:val="005B3F7C"/>
    <w:rsid w:val="005B4014"/>
    <w:rsid w:val="005B5838"/>
    <w:rsid w:val="005B60C4"/>
    <w:rsid w:val="005B6103"/>
    <w:rsid w:val="005B641E"/>
    <w:rsid w:val="005B6701"/>
    <w:rsid w:val="005B6747"/>
    <w:rsid w:val="005B70C6"/>
    <w:rsid w:val="005C00FF"/>
    <w:rsid w:val="005C0758"/>
    <w:rsid w:val="005C0834"/>
    <w:rsid w:val="005C08F6"/>
    <w:rsid w:val="005C1298"/>
    <w:rsid w:val="005C2A41"/>
    <w:rsid w:val="005C376C"/>
    <w:rsid w:val="005C383A"/>
    <w:rsid w:val="005C412B"/>
    <w:rsid w:val="005C55B7"/>
    <w:rsid w:val="005C5DF7"/>
    <w:rsid w:val="005C60EA"/>
    <w:rsid w:val="005C7EE1"/>
    <w:rsid w:val="005D0874"/>
    <w:rsid w:val="005D2B0C"/>
    <w:rsid w:val="005D36AB"/>
    <w:rsid w:val="005D3D41"/>
    <w:rsid w:val="005D40D6"/>
    <w:rsid w:val="005D57CD"/>
    <w:rsid w:val="005D5CC6"/>
    <w:rsid w:val="005D65DC"/>
    <w:rsid w:val="005D71F6"/>
    <w:rsid w:val="005D73D3"/>
    <w:rsid w:val="005D7568"/>
    <w:rsid w:val="005D7D78"/>
    <w:rsid w:val="005E0A36"/>
    <w:rsid w:val="005E13A5"/>
    <w:rsid w:val="005E1434"/>
    <w:rsid w:val="005E16F1"/>
    <w:rsid w:val="005E1C55"/>
    <w:rsid w:val="005E2996"/>
    <w:rsid w:val="005E412D"/>
    <w:rsid w:val="005E6BE3"/>
    <w:rsid w:val="005E7318"/>
    <w:rsid w:val="005E7699"/>
    <w:rsid w:val="005E7AB6"/>
    <w:rsid w:val="005E7FBE"/>
    <w:rsid w:val="005F07BA"/>
    <w:rsid w:val="005F08EB"/>
    <w:rsid w:val="005F0F73"/>
    <w:rsid w:val="005F2293"/>
    <w:rsid w:val="005F23C9"/>
    <w:rsid w:val="005F3322"/>
    <w:rsid w:val="005F386C"/>
    <w:rsid w:val="005F390E"/>
    <w:rsid w:val="005F3FD8"/>
    <w:rsid w:val="005F41CC"/>
    <w:rsid w:val="005F4605"/>
    <w:rsid w:val="005F5AEB"/>
    <w:rsid w:val="005F5CAC"/>
    <w:rsid w:val="005F6A51"/>
    <w:rsid w:val="005F6FDC"/>
    <w:rsid w:val="006024FF"/>
    <w:rsid w:val="00602550"/>
    <w:rsid w:val="0060273C"/>
    <w:rsid w:val="00602B04"/>
    <w:rsid w:val="006035D5"/>
    <w:rsid w:val="006060E9"/>
    <w:rsid w:val="006062A6"/>
    <w:rsid w:val="006071F6"/>
    <w:rsid w:val="00607A92"/>
    <w:rsid w:val="006105FE"/>
    <w:rsid w:val="006109C9"/>
    <w:rsid w:val="00610CE5"/>
    <w:rsid w:val="00611290"/>
    <w:rsid w:val="00612927"/>
    <w:rsid w:val="00612A3F"/>
    <w:rsid w:val="00612D2F"/>
    <w:rsid w:val="006134C7"/>
    <w:rsid w:val="0061353B"/>
    <w:rsid w:val="0061452E"/>
    <w:rsid w:val="00614B8F"/>
    <w:rsid w:val="00614CFD"/>
    <w:rsid w:val="00615092"/>
    <w:rsid w:val="006154EA"/>
    <w:rsid w:val="00615803"/>
    <w:rsid w:val="00616099"/>
    <w:rsid w:val="00616873"/>
    <w:rsid w:val="00617CC3"/>
    <w:rsid w:val="00617D2D"/>
    <w:rsid w:val="00620397"/>
    <w:rsid w:val="00620DEA"/>
    <w:rsid w:val="0062108C"/>
    <w:rsid w:val="006216B7"/>
    <w:rsid w:val="00621AC8"/>
    <w:rsid w:val="00622544"/>
    <w:rsid w:val="006233E8"/>
    <w:rsid w:val="006243F4"/>
    <w:rsid w:val="00625457"/>
    <w:rsid w:val="00625983"/>
    <w:rsid w:val="0062607E"/>
    <w:rsid w:val="0062636D"/>
    <w:rsid w:val="00626898"/>
    <w:rsid w:val="006272F7"/>
    <w:rsid w:val="00627498"/>
    <w:rsid w:val="00627CC1"/>
    <w:rsid w:val="006300D2"/>
    <w:rsid w:val="00630764"/>
    <w:rsid w:val="00630A9A"/>
    <w:rsid w:val="00632C3E"/>
    <w:rsid w:val="006340C4"/>
    <w:rsid w:val="0063508D"/>
    <w:rsid w:val="006377A6"/>
    <w:rsid w:val="00637A3D"/>
    <w:rsid w:val="006405EC"/>
    <w:rsid w:val="006411EF"/>
    <w:rsid w:val="00641E5A"/>
    <w:rsid w:val="00643AC8"/>
    <w:rsid w:val="00643E59"/>
    <w:rsid w:val="00643E89"/>
    <w:rsid w:val="006443AE"/>
    <w:rsid w:val="006453D3"/>
    <w:rsid w:val="00645470"/>
    <w:rsid w:val="006465CE"/>
    <w:rsid w:val="0064686D"/>
    <w:rsid w:val="00646E75"/>
    <w:rsid w:val="00647316"/>
    <w:rsid w:val="006478DB"/>
    <w:rsid w:val="00650A9B"/>
    <w:rsid w:val="00650CEE"/>
    <w:rsid w:val="00650FDD"/>
    <w:rsid w:val="00652336"/>
    <w:rsid w:val="00652B7D"/>
    <w:rsid w:val="00652E03"/>
    <w:rsid w:val="00653548"/>
    <w:rsid w:val="00654AD6"/>
    <w:rsid w:val="0065683D"/>
    <w:rsid w:val="00656B7B"/>
    <w:rsid w:val="00656EF3"/>
    <w:rsid w:val="0066008E"/>
    <w:rsid w:val="006606FA"/>
    <w:rsid w:val="00662939"/>
    <w:rsid w:val="00663147"/>
    <w:rsid w:val="00663878"/>
    <w:rsid w:val="00664075"/>
    <w:rsid w:val="006643A3"/>
    <w:rsid w:val="006646A2"/>
    <w:rsid w:val="006651D6"/>
    <w:rsid w:val="006654B6"/>
    <w:rsid w:val="00665FE4"/>
    <w:rsid w:val="0066612D"/>
    <w:rsid w:val="006664B2"/>
    <w:rsid w:val="0066790D"/>
    <w:rsid w:val="00667BB9"/>
    <w:rsid w:val="00667CB3"/>
    <w:rsid w:val="0067038F"/>
    <w:rsid w:val="00670777"/>
    <w:rsid w:val="006707B6"/>
    <w:rsid w:val="0067084A"/>
    <w:rsid w:val="006708C9"/>
    <w:rsid w:val="00670A89"/>
    <w:rsid w:val="0067127E"/>
    <w:rsid w:val="006714DC"/>
    <w:rsid w:val="00672162"/>
    <w:rsid w:val="006732F2"/>
    <w:rsid w:val="0067425C"/>
    <w:rsid w:val="006748B8"/>
    <w:rsid w:val="00675183"/>
    <w:rsid w:val="0067597C"/>
    <w:rsid w:val="006760E3"/>
    <w:rsid w:val="006775C3"/>
    <w:rsid w:val="00680CD4"/>
    <w:rsid w:val="006812BA"/>
    <w:rsid w:val="00682036"/>
    <w:rsid w:val="006830F3"/>
    <w:rsid w:val="0068497E"/>
    <w:rsid w:val="00685812"/>
    <w:rsid w:val="00686E6B"/>
    <w:rsid w:val="006900FA"/>
    <w:rsid w:val="006904A4"/>
    <w:rsid w:val="0069070A"/>
    <w:rsid w:val="00690B68"/>
    <w:rsid w:val="00690F04"/>
    <w:rsid w:val="00691233"/>
    <w:rsid w:val="0069264D"/>
    <w:rsid w:val="0069290A"/>
    <w:rsid w:val="0069471A"/>
    <w:rsid w:val="00694D4D"/>
    <w:rsid w:val="00695A2A"/>
    <w:rsid w:val="00696C08"/>
    <w:rsid w:val="00696C50"/>
    <w:rsid w:val="0069775A"/>
    <w:rsid w:val="00697813"/>
    <w:rsid w:val="00697952"/>
    <w:rsid w:val="00697BCB"/>
    <w:rsid w:val="00697DC9"/>
    <w:rsid w:val="006A052D"/>
    <w:rsid w:val="006A0DCA"/>
    <w:rsid w:val="006A2916"/>
    <w:rsid w:val="006A29E5"/>
    <w:rsid w:val="006A3977"/>
    <w:rsid w:val="006A3EE8"/>
    <w:rsid w:val="006A5250"/>
    <w:rsid w:val="006A5865"/>
    <w:rsid w:val="006A6967"/>
    <w:rsid w:val="006A72BF"/>
    <w:rsid w:val="006A7D34"/>
    <w:rsid w:val="006B021B"/>
    <w:rsid w:val="006B03F2"/>
    <w:rsid w:val="006B0537"/>
    <w:rsid w:val="006B0819"/>
    <w:rsid w:val="006B0F50"/>
    <w:rsid w:val="006B1779"/>
    <w:rsid w:val="006B17A2"/>
    <w:rsid w:val="006B1C9B"/>
    <w:rsid w:val="006B37DC"/>
    <w:rsid w:val="006B38B1"/>
    <w:rsid w:val="006B3D4F"/>
    <w:rsid w:val="006B4490"/>
    <w:rsid w:val="006B4F68"/>
    <w:rsid w:val="006B51A3"/>
    <w:rsid w:val="006B5AB6"/>
    <w:rsid w:val="006B72A5"/>
    <w:rsid w:val="006C026E"/>
    <w:rsid w:val="006C032E"/>
    <w:rsid w:val="006C0592"/>
    <w:rsid w:val="006C0687"/>
    <w:rsid w:val="006C09EE"/>
    <w:rsid w:val="006C18CF"/>
    <w:rsid w:val="006C1D2C"/>
    <w:rsid w:val="006C2138"/>
    <w:rsid w:val="006C272E"/>
    <w:rsid w:val="006C292B"/>
    <w:rsid w:val="006C2B16"/>
    <w:rsid w:val="006C2B56"/>
    <w:rsid w:val="006C43A3"/>
    <w:rsid w:val="006C46C8"/>
    <w:rsid w:val="006C4C22"/>
    <w:rsid w:val="006C5450"/>
    <w:rsid w:val="006C5479"/>
    <w:rsid w:val="006C5D4C"/>
    <w:rsid w:val="006C5DD3"/>
    <w:rsid w:val="006C75C8"/>
    <w:rsid w:val="006C7C78"/>
    <w:rsid w:val="006D0561"/>
    <w:rsid w:val="006D13B5"/>
    <w:rsid w:val="006D17E1"/>
    <w:rsid w:val="006D1E8E"/>
    <w:rsid w:val="006D239E"/>
    <w:rsid w:val="006D2C0F"/>
    <w:rsid w:val="006D2C1D"/>
    <w:rsid w:val="006D37F3"/>
    <w:rsid w:val="006D38B4"/>
    <w:rsid w:val="006D3BA7"/>
    <w:rsid w:val="006D42A4"/>
    <w:rsid w:val="006D4625"/>
    <w:rsid w:val="006D47FC"/>
    <w:rsid w:val="006D4D4F"/>
    <w:rsid w:val="006D4E75"/>
    <w:rsid w:val="006D4FB6"/>
    <w:rsid w:val="006D5692"/>
    <w:rsid w:val="006D57C8"/>
    <w:rsid w:val="006D5D62"/>
    <w:rsid w:val="006D631D"/>
    <w:rsid w:val="006D7932"/>
    <w:rsid w:val="006E02E8"/>
    <w:rsid w:val="006E05D3"/>
    <w:rsid w:val="006E12FF"/>
    <w:rsid w:val="006E13C4"/>
    <w:rsid w:val="006E1509"/>
    <w:rsid w:val="006E298D"/>
    <w:rsid w:val="006E2E3D"/>
    <w:rsid w:val="006E2F76"/>
    <w:rsid w:val="006E51A1"/>
    <w:rsid w:val="006E5B7C"/>
    <w:rsid w:val="006E607E"/>
    <w:rsid w:val="006E6631"/>
    <w:rsid w:val="006E66AE"/>
    <w:rsid w:val="006E6A92"/>
    <w:rsid w:val="006E6E8C"/>
    <w:rsid w:val="006E70AE"/>
    <w:rsid w:val="006F0C2C"/>
    <w:rsid w:val="006F0DC1"/>
    <w:rsid w:val="006F0F5D"/>
    <w:rsid w:val="006F1572"/>
    <w:rsid w:val="006F1604"/>
    <w:rsid w:val="006F1938"/>
    <w:rsid w:val="006F2D1D"/>
    <w:rsid w:val="006F3042"/>
    <w:rsid w:val="006F3E42"/>
    <w:rsid w:val="006F5D5E"/>
    <w:rsid w:val="006F671D"/>
    <w:rsid w:val="006F6C60"/>
    <w:rsid w:val="006F752E"/>
    <w:rsid w:val="006F75E6"/>
    <w:rsid w:val="006F7AA5"/>
    <w:rsid w:val="007000DB"/>
    <w:rsid w:val="007015E2"/>
    <w:rsid w:val="00703101"/>
    <w:rsid w:val="0070349F"/>
    <w:rsid w:val="00704E65"/>
    <w:rsid w:val="0070602D"/>
    <w:rsid w:val="00706C5D"/>
    <w:rsid w:val="00707F62"/>
    <w:rsid w:val="007112A1"/>
    <w:rsid w:val="007114FF"/>
    <w:rsid w:val="00711EB9"/>
    <w:rsid w:val="007131FE"/>
    <w:rsid w:val="007132DB"/>
    <w:rsid w:val="007138D8"/>
    <w:rsid w:val="00714687"/>
    <w:rsid w:val="00715540"/>
    <w:rsid w:val="007157CB"/>
    <w:rsid w:val="007160A5"/>
    <w:rsid w:val="00716361"/>
    <w:rsid w:val="007169B8"/>
    <w:rsid w:val="00716BAF"/>
    <w:rsid w:val="00717ABC"/>
    <w:rsid w:val="00720BCB"/>
    <w:rsid w:val="00721ABD"/>
    <w:rsid w:val="00721AEE"/>
    <w:rsid w:val="00722CE3"/>
    <w:rsid w:val="007241DA"/>
    <w:rsid w:val="0072447F"/>
    <w:rsid w:val="007256C5"/>
    <w:rsid w:val="0072639E"/>
    <w:rsid w:val="0072694C"/>
    <w:rsid w:val="00726C32"/>
    <w:rsid w:val="00727106"/>
    <w:rsid w:val="007271FE"/>
    <w:rsid w:val="00727BAF"/>
    <w:rsid w:val="00731948"/>
    <w:rsid w:val="00732922"/>
    <w:rsid w:val="007335AF"/>
    <w:rsid w:val="00733783"/>
    <w:rsid w:val="00734724"/>
    <w:rsid w:val="0073553B"/>
    <w:rsid w:val="0073668D"/>
    <w:rsid w:val="0074052B"/>
    <w:rsid w:val="0074061F"/>
    <w:rsid w:val="00740AAA"/>
    <w:rsid w:val="00741280"/>
    <w:rsid w:val="00741880"/>
    <w:rsid w:val="00742065"/>
    <w:rsid w:val="00742443"/>
    <w:rsid w:val="00742E9B"/>
    <w:rsid w:val="00744FFA"/>
    <w:rsid w:val="0074561E"/>
    <w:rsid w:val="00745B7A"/>
    <w:rsid w:val="0074799D"/>
    <w:rsid w:val="007504B6"/>
    <w:rsid w:val="0075162E"/>
    <w:rsid w:val="007516CC"/>
    <w:rsid w:val="00751D41"/>
    <w:rsid w:val="00752939"/>
    <w:rsid w:val="00752C01"/>
    <w:rsid w:val="00752E84"/>
    <w:rsid w:val="00753E7F"/>
    <w:rsid w:val="00754034"/>
    <w:rsid w:val="007549D6"/>
    <w:rsid w:val="00754BD8"/>
    <w:rsid w:val="007558ED"/>
    <w:rsid w:val="00755E99"/>
    <w:rsid w:val="00756556"/>
    <w:rsid w:val="00757190"/>
    <w:rsid w:val="00757272"/>
    <w:rsid w:val="00757E29"/>
    <w:rsid w:val="007600DB"/>
    <w:rsid w:val="00761162"/>
    <w:rsid w:val="007616D6"/>
    <w:rsid w:val="007618C4"/>
    <w:rsid w:val="00761AE1"/>
    <w:rsid w:val="00761F6F"/>
    <w:rsid w:val="007633CC"/>
    <w:rsid w:val="00763766"/>
    <w:rsid w:val="00763F3F"/>
    <w:rsid w:val="00764515"/>
    <w:rsid w:val="00766111"/>
    <w:rsid w:val="00766AF7"/>
    <w:rsid w:val="00766C57"/>
    <w:rsid w:val="0076704F"/>
    <w:rsid w:val="0076705E"/>
    <w:rsid w:val="007675DD"/>
    <w:rsid w:val="00767980"/>
    <w:rsid w:val="00767EA3"/>
    <w:rsid w:val="00770360"/>
    <w:rsid w:val="00770B19"/>
    <w:rsid w:val="007712AB"/>
    <w:rsid w:val="00771A14"/>
    <w:rsid w:val="00771E22"/>
    <w:rsid w:val="00771EC0"/>
    <w:rsid w:val="00773B13"/>
    <w:rsid w:val="00773CB8"/>
    <w:rsid w:val="0077463F"/>
    <w:rsid w:val="00774CAE"/>
    <w:rsid w:val="007750ED"/>
    <w:rsid w:val="007754F5"/>
    <w:rsid w:val="00775A69"/>
    <w:rsid w:val="00777D63"/>
    <w:rsid w:val="00777F39"/>
    <w:rsid w:val="00781277"/>
    <w:rsid w:val="00781B16"/>
    <w:rsid w:val="00781D13"/>
    <w:rsid w:val="007824B9"/>
    <w:rsid w:val="00782569"/>
    <w:rsid w:val="0078256F"/>
    <w:rsid w:val="00783108"/>
    <w:rsid w:val="007836EA"/>
    <w:rsid w:val="00783A95"/>
    <w:rsid w:val="00783BFC"/>
    <w:rsid w:val="00784CDA"/>
    <w:rsid w:val="00784D9D"/>
    <w:rsid w:val="00785116"/>
    <w:rsid w:val="007853B0"/>
    <w:rsid w:val="00786504"/>
    <w:rsid w:val="0078748D"/>
    <w:rsid w:val="00787B85"/>
    <w:rsid w:val="007906C4"/>
    <w:rsid w:val="00791585"/>
    <w:rsid w:val="0079369A"/>
    <w:rsid w:val="00793802"/>
    <w:rsid w:val="00793984"/>
    <w:rsid w:val="007940EA"/>
    <w:rsid w:val="007943FE"/>
    <w:rsid w:val="0079449E"/>
    <w:rsid w:val="00794525"/>
    <w:rsid w:val="007946DF"/>
    <w:rsid w:val="007967E8"/>
    <w:rsid w:val="00796AF6"/>
    <w:rsid w:val="007A0790"/>
    <w:rsid w:val="007A12B7"/>
    <w:rsid w:val="007A1FCE"/>
    <w:rsid w:val="007A2170"/>
    <w:rsid w:val="007A22BF"/>
    <w:rsid w:val="007A2B43"/>
    <w:rsid w:val="007A2FE2"/>
    <w:rsid w:val="007A3323"/>
    <w:rsid w:val="007A4119"/>
    <w:rsid w:val="007A4AA4"/>
    <w:rsid w:val="007A555C"/>
    <w:rsid w:val="007A5D19"/>
    <w:rsid w:val="007A6026"/>
    <w:rsid w:val="007A6346"/>
    <w:rsid w:val="007A766C"/>
    <w:rsid w:val="007A7CC9"/>
    <w:rsid w:val="007B0A31"/>
    <w:rsid w:val="007B1348"/>
    <w:rsid w:val="007B36BE"/>
    <w:rsid w:val="007B48AB"/>
    <w:rsid w:val="007B4E87"/>
    <w:rsid w:val="007B60EA"/>
    <w:rsid w:val="007B69D8"/>
    <w:rsid w:val="007B72B8"/>
    <w:rsid w:val="007B7650"/>
    <w:rsid w:val="007B7A58"/>
    <w:rsid w:val="007B7C58"/>
    <w:rsid w:val="007C09A0"/>
    <w:rsid w:val="007C1324"/>
    <w:rsid w:val="007C17AC"/>
    <w:rsid w:val="007C21B5"/>
    <w:rsid w:val="007C34A4"/>
    <w:rsid w:val="007C38EF"/>
    <w:rsid w:val="007C3F5B"/>
    <w:rsid w:val="007C5181"/>
    <w:rsid w:val="007D100D"/>
    <w:rsid w:val="007D206F"/>
    <w:rsid w:val="007D2AFE"/>
    <w:rsid w:val="007D3464"/>
    <w:rsid w:val="007D3D65"/>
    <w:rsid w:val="007D4204"/>
    <w:rsid w:val="007D4C0C"/>
    <w:rsid w:val="007D4DFD"/>
    <w:rsid w:val="007D4FF7"/>
    <w:rsid w:val="007D6441"/>
    <w:rsid w:val="007D6A99"/>
    <w:rsid w:val="007D6EC9"/>
    <w:rsid w:val="007D7281"/>
    <w:rsid w:val="007D7635"/>
    <w:rsid w:val="007D787F"/>
    <w:rsid w:val="007D7B6A"/>
    <w:rsid w:val="007D7F6B"/>
    <w:rsid w:val="007E002A"/>
    <w:rsid w:val="007E0CD0"/>
    <w:rsid w:val="007E0E09"/>
    <w:rsid w:val="007E272F"/>
    <w:rsid w:val="007E2F39"/>
    <w:rsid w:val="007E4349"/>
    <w:rsid w:val="007E4BD2"/>
    <w:rsid w:val="007E5B88"/>
    <w:rsid w:val="007E7624"/>
    <w:rsid w:val="007E77CC"/>
    <w:rsid w:val="007F06A6"/>
    <w:rsid w:val="007F19A3"/>
    <w:rsid w:val="007F1EC5"/>
    <w:rsid w:val="007F4837"/>
    <w:rsid w:val="007F4B32"/>
    <w:rsid w:val="007F4BB2"/>
    <w:rsid w:val="007F69F5"/>
    <w:rsid w:val="007F6BC2"/>
    <w:rsid w:val="007F6F1F"/>
    <w:rsid w:val="007F73AA"/>
    <w:rsid w:val="007F7544"/>
    <w:rsid w:val="007F7B66"/>
    <w:rsid w:val="007F7BFA"/>
    <w:rsid w:val="008009FA"/>
    <w:rsid w:val="00800D9D"/>
    <w:rsid w:val="00801393"/>
    <w:rsid w:val="00801874"/>
    <w:rsid w:val="008018F0"/>
    <w:rsid w:val="00801F71"/>
    <w:rsid w:val="00802397"/>
    <w:rsid w:val="00802A4F"/>
    <w:rsid w:val="00802F88"/>
    <w:rsid w:val="008038CD"/>
    <w:rsid w:val="00804140"/>
    <w:rsid w:val="0080426F"/>
    <w:rsid w:val="008051C1"/>
    <w:rsid w:val="00805CA0"/>
    <w:rsid w:val="00807CCE"/>
    <w:rsid w:val="008109B4"/>
    <w:rsid w:val="008111C6"/>
    <w:rsid w:val="008113DF"/>
    <w:rsid w:val="00811B06"/>
    <w:rsid w:val="00811E35"/>
    <w:rsid w:val="008120C6"/>
    <w:rsid w:val="0081293E"/>
    <w:rsid w:val="0081383E"/>
    <w:rsid w:val="008149CB"/>
    <w:rsid w:val="00814BB6"/>
    <w:rsid w:val="00815465"/>
    <w:rsid w:val="00815F02"/>
    <w:rsid w:val="00816299"/>
    <w:rsid w:val="00816C17"/>
    <w:rsid w:val="00817A6D"/>
    <w:rsid w:val="00817E9A"/>
    <w:rsid w:val="00817FA4"/>
    <w:rsid w:val="00820673"/>
    <w:rsid w:val="00820713"/>
    <w:rsid w:val="00821572"/>
    <w:rsid w:val="00822E9A"/>
    <w:rsid w:val="00823620"/>
    <w:rsid w:val="008237AC"/>
    <w:rsid w:val="00824CD9"/>
    <w:rsid w:val="00826751"/>
    <w:rsid w:val="00826943"/>
    <w:rsid w:val="00826CA6"/>
    <w:rsid w:val="00826ED0"/>
    <w:rsid w:val="00827643"/>
    <w:rsid w:val="00827A50"/>
    <w:rsid w:val="00830539"/>
    <w:rsid w:val="008306BD"/>
    <w:rsid w:val="00830808"/>
    <w:rsid w:val="00830F52"/>
    <w:rsid w:val="00831A80"/>
    <w:rsid w:val="00832224"/>
    <w:rsid w:val="008322C1"/>
    <w:rsid w:val="00832A9F"/>
    <w:rsid w:val="00832C68"/>
    <w:rsid w:val="00833512"/>
    <w:rsid w:val="00833743"/>
    <w:rsid w:val="00833DCA"/>
    <w:rsid w:val="008340A4"/>
    <w:rsid w:val="00834DC4"/>
    <w:rsid w:val="0083542D"/>
    <w:rsid w:val="00835513"/>
    <w:rsid w:val="008359FB"/>
    <w:rsid w:val="00836205"/>
    <w:rsid w:val="00837F58"/>
    <w:rsid w:val="0084050A"/>
    <w:rsid w:val="0084065B"/>
    <w:rsid w:val="0084283A"/>
    <w:rsid w:val="008441E1"/>
    <w:rsid w:val="0084434E"/>
    <w:rsid w:val="008453CF"/>
    <w:rsid w:val="00845CA0"/>
    <w:rsid w:val="008463BB"/>
    <w:rsid w:val="0084651F"/>
    <w:rsid w:val="008470AD"/>
    <w:rsid w:val="008472A5"/>
    <w:rsid w:val="008501D9"/>
    <w:rsid w:val="0085097C"/>
    <w:rsid w:val="00850C05"/>
    <w:rsid w:val="00851F5D"/>
    <w:rsid w:val="008522F9"/>
    <w:rsid w:val="00852571"/>
    <w:rsid w:val="00852937"/>
    <w:rsid w:val="00852D41"/>
    <w:rsid w:val="00852EE0"/>
    <w:rsid w:val="00854978"/>
    <w:rsid w:val="00854F72"/>
    <w:rsid w:val="0085511D"/>
    <w:rsid w:val="008564D6"/>
    <w:rsid w:val="00856D8A"/>
    <w:rsid w:val="00857089"/>
    <w:rsid w:val="0085738A"/>
    <w:rsid w:val="008606EC"/>
    <w:rsid w:val="00860A99"/>
    <w:rsid w:val="0086105E"/>
    <w:rsid w:val="00861DF5"/>
    <w:rsid w:val="008647AE"/>
    <w:rsid w:val="008648BC"/>
    <w:rsid w:val="008657EA"/>
    <w:rsid w:val="00867F17"/>
    <w:rsid w:val="0087135F"/>
    <w:rsid w:val="008717E3"/>
    <w:rsid w:val="008717EB"/>
    <w:rsid w:val="0087187C"/>
    <w:rsid w:val="00872830"/>
    <w:rsid w:val="008728E5"/>
    <w:rsid w:val="00872AA1"/>
    <w:rsid w:val="00872D94"/>
    <w:rsid w:val="00872DA5"/>
    <w:rsid w:val="00872DB3"/>
    <w:rsid w:val="00873895"/>
    <w:rsid w:val="0087429A"/>
    <w:rsid w:val="00875AB3"/>
    <w:rsid w:val="008765FB"/>
    <w:rsid w:val="0087690E"/>
    <w:rsid w:val="00877D99"/>
    <w:rsid w:val="00880230"/>
    <w:rsid w:val="00880364"/>
    <w:rsid w:val="00881503"/>
    <w:rsid w:val="0088233A"/>
    <w:rsid w:val="00882435"/>
    <w:rsid w:val="00882B4E"/>
    <w:rsid w:val="00884439"/>
    <w:rsid w:val="00884ABF"/>
    <w:rsid w:val="00884FC5"/>
    <w:rsid w:val="00885049"/>
    <w:rsid w:val="00885D77"/>
    <w:rsid w:val="008863D0"/>
    <w:rsid w:val="00886AD8"/>
    <w:rsid w:val="0088702A"/>
    <w:rsid w:val="00887034"/>
    <w:rsid w:val="008871FC"/>
    <w:rsid w:val="008900C6"/>
    <w:rsid w:val="00890772"/>
    <w:rsid w:val="00890894"/>
    <w:rsid w:val="00890E84"/>
    <w:rsid w:val="0089127F"/>
    <w:rsid w:val="00891592"/>
    <w:rsid w:val="00891A24"/>
    <w:rsid w:val="00891A81"/>
    <w:rsid w:val="00891E9E"/>
    <w:rsid w:val="00893413"/>
    <w:rsid w:val="008946F6"/>
    <w:rsid w:val="008949B0"/>
    <w:rsid w:val="00894E9F"/>
    <w:rsid w:val="00895717"/>
    <w:rsid w:val="008959D1"/>
    <w:rsid w:val="00896A78"/>
    <w:rsid w:val="008973BE"/>
    <w:rsid w:val="00897AB2"/>
    <w:rsid w:val="00897B43"/>
    <w:rsid w:val="00897E33"/>
    <w:rsid w:val="008A02C3"/>
    <w:rsid w:val="008A0B78"/>
    <w:rsid w:val="008A1343"/>
    <w:rsid w:val="008A2F68"/>
    <w:rsid w:val="008A30D9"/>
    <w:rsid w:val="008A46E9"/>
    <w:rsid w:val="008A47B3"/>
    <w:rsid w:val="008A5E2A"/>
    <w:rsid w:val="008A6989"/>
    <w:rsid w:val="008A7FFC"/>
    <w:rsid w:val="008B0256"/>
    <w:rsid w:val="008B1909"/>
    <w:rsid w:val="008B1A79"/>
    <w:rsid w:val="008B22E4"/>
    <w:rsid w:val="008B354A"/>
    <w:rsid w:val="008B4344"/>
    <w:rsid w:val="008B460F"/>
    <w:rsid w:val="008B4FA6"/>
    <w:rsid w:val="008B5282"/>
    <w:rsid w:val="008B565E"/>
    <w:rsid w:val="008B5F50"/>
    <w:rsid w:val="008B5FA4"/>
    <w:rsid w:val="008B61A1"/>
    <w:rsid w:val="008B6E4C"/>
    <w:rsid w:val="008B74FF"/>
    <w:rsid w:val="008B7C17"/>
    <w:rsid w:val="008B7D62"/>
    <w:rsid w:val="008C2D01"/>
    <w:rsid w:val="008C3258"/>
    <w:rsid w:val="008C40E6"/>
    <w:rsid w:val="008C49C0"/>
    <w:rsid w:val="008C661D"/>
    <w:rsid w:val="008C7384"/>
    <w:rsid w:val="008C7460"/>
    <w:rsid w:val="008D03DE"/>
    <w:rsid w:val="008D0AC0"/>
    <w:rsid w:val="008D0F7A"/>
    <w:rsid w:val="008D1F00"/>
    <w:rsid w:val="008D2D92"/>
    <w:rsid w:val="008D2FBE"/>
    <w:rsid w:val="008D3279"/>
    <w:rsid w:val="008D3294"/>
    <w:rsid w:val="008D3F75"/>
    <w:rsid w:val="008D47E1"/>
    <w:rsid w:val="008D5450"/>
    <w:rsid w:val="008D552E"/>
    <w:rsid w:val="008D68E4"/>
    <w:rsid w:val="008D7F96"/>
    <w:rsid w:val="008E00E9"/>
    <w:rsid w:val="008E0506"/>
    <w:rsid w:val="008E0CFF"/>
    <w:rsid w:val="008E0F3F"/>
    <w:rsid w:val="008E1CF4"/>
    <w:rsid w:val="008E23F8"/>
    <w:rsid w:val="008E25BC"/>
    <w:rsid w:val="008E3ABA"/>
    <w:rsid w:val="008E3CF5"/>
    <w:rsid w:val="008E40D5"/>
    <w:rsid w:val="008E44E0"/>
    <w:rsid w:val="008E48E0"/>
    <w:rsid w:val="008E48F9"/>
    <w:rsid w:val="008E5538"/>
    <w:rsid w:val="008E5541"/>
    <w:rsid w:val="008E570C"/>
    <w:rsid w:val="008E584B"/>
    <w:rsid w:val="008E5CD6"/>
    <w:rsid w:val="008E5D6B"/>
    <w:rsid w:val="008E6CAD"/>
    <w:rsid w:val="008E727B"/>
    <w:rsid w:val="008E76F0"/>
    <w:rsid w:val="008E7BC0"/>
    <w:rsid w:val="008E7CD6"/>
    <w:rsid w:val="008F04E5"/>
    <w:rsid w:val="008F0A23"/>
    <w:rsid w:val="008F0E8A"/>
    <w:rsid w:val="008F15FE"/>
    <w:rsid w:val="008F164E"/>
    <w:rsid w:val="008F210C"/>
    <w:rsid w:val="008F2D29"/>
    <w:rsid w:val="008F3BAE"/>
    <w:rsid w:val="008F46A2"/>
    <w:rsid w:val="008F4D82"/>
    <w:rsid w:val="008F5187"/>
    <w:rsid w:val="008F5818"/>
    <w:rsid w:val="008F5B64"/>
    <w:rsid w:val="008F5E2C"/>
    <w:rsid w:val="008F60D8"/>
    <w:rsid w:val="008F6CB0"/>
    <w:rsid w:val="009009E8"/>
    <w:rsid w:val="00900B0F"/>
    <w:rsid w:val="00901980"/>
    <w:rsid w:val="00901F24"/>
    <w:rsid w:val="00902727"/>
    <w:rsid w:val="0090312B"/>
    <w:rsid w:val="009035DF"/>
    <w:rsid w:val="00903751"/>
    <w:rsid w:val="00903783"/>
    <w:rsid w:val="009048B9"/>
    <w:rsid w:val="00904AE9"/>
    <w:rsid w:val="009064B6"/>
    <w:rsid w:val="00906A1A"/>
    <w:rsid w:val="00906A90"/>
    <w:rsid w:val="009072FC"/>
    <w:rsid w:val="00910104"/>
    <w:rsid w:val="0091045D"/>
    <w:rsid w:val="009115E5"/>
    <w:rsid w:val="00911B85"/>
    <w:rsid w:val="00912390"/>
    <w:rsid w:val="00913395"/>
    <w:rsid w:val="0091369F"/>
    <w:rsid w:val="009143C0"/>
    <w:rsid w:val="00914575"/>
    <w:rsid w:val="00915E5F"/>
    <w:rsid w:val="00915ED6"/>
    <w:rsid w:val="0091736D"/>
    <w:rsid w:val="00917AB4"/>
    <w:rsid w:val="009204CE"/>
    <w:rsid w:val="00920CB2"/>
    <w:rsid w:val="009216A2"/>
    <w:rsid w:val="00921E7B"/>
    <w:rsid w:val="00921F86"/>
    <w:rsid w:val="009225C5"/>
    <w:rsid w:val="00922A2A"/>
    <w:rsid w:val="00923326"/>
    <w:rsid w:val="009245BD"/>
    <w:rsid w:val="009251D9"/>
    <w:rsid w:val="00925465"/>
    <w:rsid w:val="00926958"/>
    <w:rsid w:val="00926C6E"/>
    <w:rsid w:val="009279AD"/>
    <w:rsid w:val="00927F57"/>
    <w:rsid w:val="0093037A"/>
    <w:rsid w:val="00930620"/>
    <w:rsid w:val="00932647"/>
    <w:rsid w:val="009332BE"/>
    <w:rsid w:val="00933B5D"/>
    <w:rsid w:val="00933DA7"/>
    <w:rsid w:val="00933DCD"/>
    <w:rsid w:val="00935A6A"/>
    <w:rsid w:val="00935E45"/>
    <w:rsid w:val="00936C91"/>
    <w:rsid w:val="00940136"/>
    <w:rsid w:val="009406DA"/>
    <w:rsid w:val="00941368"/>
    <w:rsid w:val="0094154D"/>
    <w:rsid w:val="00941664"/>
    <w:rsid w:val="00941A1C"/>
    <w:rsid w:val="009441E4"/>
    <w:rsid w:val="0094444C"/>
    <w:rsid w:val="00945518"/>
    <w:rsid w:val="009503C6"/>
    <w:rsid w:val="00950942"/>
    <w:rsid w:val="0095098D"/>
    <w:rsid w:val="00950AFF"/>
    <w:rsid w:val="0095155F"/>
    <w:rsid w:val="00952CB4"/>
    <w:rsid w:val="00952CD0"/>
    <w:rsid w:val="0095352F"/>
    <w:rsid w:val="00954429"/>
    <w:rsid w:val="00954F91"/>
    <w:rsid w:val="009563CE"/>
    <w:rsid w:val="009565E8"/>
    <w:rsid w:val="00956DE2"/>
    <w:rsid w:val="00956F16"/>
    <w:rsid w:val="00957289"/>
    <w:rsid w:val="00957F56"/>
    <w:rsid w:val="00961645"/>
    <w:rsid w:val="0096248F"/>
    <w:rsid w:val="00962AF4"/>
    <w:rsid w:val="00962B7E"/>
    <w:rsid w:val="0096363B"/>
    <w:rsid w:val="009636C4"/>
    <w:rsid w:val="009639EA"/>
    <w:rsid w:val="00964A3C"/>
    <w:rsid w:val="00964E8E"/>
    <w:rsid w:val="009658F6"/>
    <w:rsid w:val="00965C8D"/>
    <w:rsid w:val="0096602C"/>
    <w:rsid w:val="009662F3"/>
    <w:rsid w:val="00970EA2"/>
    <w:rsid w:val="009711D2"/>
    <w:rsid w:val="00971245"/>
    <w:rsid w:val="009716AB"/>
    <w:rsid w:val="00971B31"/>
    <w:rsid w:val="00972118"/>
    <w:rsid w:val="00974360"/>
    <w:rsid w:val="00976328"/>
    <w:rsid w:val="0097680D"/>
    <w:rsid w:val="00976849"/>
    <w:rsid w:val="00976D55"/>
    <w:rsid w:val="00977237"/>
    <w:rsid w:val="00977273"/>
    <w:rsid w:val="0097751F"/>
    <w:rsid w:val="00980AB4"/>
    <w:rsid w:val="00980F75"/>
    <w:rsid w:val="00981309"/>
    <w:rsid w:val="00981C4D"/>
    <w:rsid w:val="00981D04"/>
    <w:rsid w:val="00982438"/>
    <w:rsid w:val="0098404C"/>
    <w:rsid w:val="009842CD"/>
    <w:rsid w:val="00984BEB"/>
    <w:rsid w:val="00984D2C"/>
    <w:rsid w:val="00985283"/>
    <w:rsid w:val="009857CC"/>
    <w:rsid w:val="00985DA4"/>
    <w:rsid w:val="009861DC"/>
    <w:rsid w:val="00986C4A"/>
    <w:rsid w:val="00986C64"/>
    <w:rsid w:val="009872E4"/>
    <w:rsid w:val="0098781B"/>
    <w:rsid w:val="00990083"/>
    <w:rsid w:val="00990CBD"/>
    <w:rsid w:val="0099214F"/>
    <w:rsid w:val="009931BD"/>
    <w:rsid w:val="009942CE"/>
    <w:rsid w:val="00994F98"/>
    <w:rsid w:val="0099564C"/>
    <w:rsid w:val="00995992"/>
    <w:rsid w:val="009A0010"/>
    <w:rsid w:val="009A023C"/>
    <w:rsid w:val="009A03E5"/>
    <w:rsid w:val="009A0AC0"/>
    <w:rsid w:val="009A0B4F"/>
    <w:rsid w:val="009A0F3B"/>
    <w:rsid w:val="009A167A"/>
    <w:rsid w:val="009A1BB4"/>
    <w:rsid w:val="009A1C9E"/>
    <w:rsid w:val="009A258C"/>
    <w:rsid w:val="009A2628"/>
    <w:rsid w:val="009A2833"/>
    <w:rsid w:val="009A2C13"/>
    <w:rsid w:val="009A3200"/>
    <w:rsid w:val="009A3F4B"/>
    <w:rsid w:val="009A404E"/>
    <w:rsid w:val="009A45E8"/>
    <w:rsid w:val="009A469C"/>
    <w:rsid w:val="009A46EA"/>
    <w:rsid w:val="009A4AA0"/>
    <w:rsid w:val="009A65C5"/>
    <w:rsid w:val="009A757E"/>
    <w:rsid w:val="009B07F6"/>
    <w:rsid w:val="009B0897"/>
    <w:rsid w:val="009B12D9"/>
    <w:rsid w:val="009B1C1B"/>
    <w:rsid w:val="009B293A"/>
    <w:rsid w:val="009B3639"/>
    <w:rsid w:val="009B3E7F"/>
    <w:rsid w:val="009B4BC2"/>
    <w:rsid w:val="009B56A7"/>
    <w:rsid w:val="009B5AAA"/>
    <w:rsid w:val="009B5B69"/>
    <w:rsid w:val="009B7092"/>
    <w:rsid w:val="009B7BD9"/>
    <w:rsid w:val="009C1311"/>
    <w:rsid w:val="009C157C"/>
    <w:rsid w:val="009C19A7"/>
    <w:rsid w:val="009C3788"/>
    <w:rsid w:val="009C4AE6"/>
    <w:rsid w:val="009C546A"/>
    <w:rsid w:val="009C5705"/>
    <w:rsid w:val="009C7DD5"/>
    <w:rsid w:val="009D02D3"/>
    <w:rsid w:val="009D259B"/>
    <w:rsid w:val="009D2CC1"/>
    <w:rsid w:val="009D31BE"/>
    <w:rsid w:val="009D48B3"/>
    <w:rsid w:val="009D5023"/>
    <w:rsid w:val="009D6D0E"/>
    <w:rsid w:val="009E0552"/>
    <w:rsid w:val="009E0C77"/>
    <w:rsid w:val="009E0E37"/>
    <w:rsid w:val="009E12B9"/>
    <w:rsid w:val="009E197C"/>
    <w:rsid w:val="009E227D"/>
    <w:rsid w:val="009E3213"/>
    <w:rsid w:val="009E3585"/>
    <w:rsid w:val="009E4F87"/>
    <w:rsid w:val="009E5019"/>
    <w:rsid w:val="009E5879"/>
    <w:rsid w:val="009E6B3F"/>
    <w:rsid w:val="009E74BB"/>
    <w:rsid w:val="009E7B5D"/>
    <w:rsid w:val="009F0144"/>
    <w:rsid w:val="009F037F"/>
    <w:rsid w:val="009F335B"/>
    <w:rsid w:val="009F4C1E"/>
    <w:rsid w:val="009F5212"/>
    <w:rsid w:val="009F5D0E"/>
    <w:rsid w:val="009F5D71"/>
    <w:rsid w:val="009F654A"/>
    <w:rsid w:val="009F6699"/>
    <w:rsid w:val="009F676F"/>
    <w:rsid w:val="009F7B01"/>
    <w:rsid w:val="009F7F71"/>
    <w:rsid w:val="00A020F7"/>
    <w:rsid w:val="00A02B42"/>
    <w:rsid w:val="00A02E48"/>
    <w:rsid w:val="00A03E4A"/>
    <w:rsid w:val="00A04184"/>
    <w:rsid w:val="00A04E72"/>
    <w:rsid w:val="00A04F1B"/>
    <w:rsid w:val="00A0501B"/>
    <w:rsid w:val="00A05053"/>
    <w:rsid w:val="00A05168"/>
    <w:rsid w:val="00A052CB"/>
    <w:rsid w:val="00A0533A"/>
    <w:rsid w:val="00A05768"/>
    <w:rsid w:val="00A061C2"/>
    <w:rsid w:val="00A065A1"/>
    <w:rsid w:val="00A069E7"/>
    <w:rsid w:val="00A072C0"/>
    <w:rsid w:val="00A0776B"/>
    <w:rsid w:val="00A11084"/>
    <w:rsid w:val="00A12128"/>
    <w:rsid w:val="00A125AA"/>
    <w:rsid w:val="00A1284C"/>
    <w:rsid w:val="00A130F0"/>
    <w:rsid w:val="00A1339C"/>
    <w:rsid w:val="00A1469F"/>
    <w:rsid w:val="00A14782"/>
    <w:rsid w:val="00A1479E"/>
    <w:rsid w:val="00A14947"/>
    <w:rsid w:val="00A150F0"/>
    <w:rsid w:val="00A15264"/>
    <w:rsid w:val="00A1555F"/>
    <w:rsid w:val="00A16360"/>
    <w:rsid w:val="00A16BA2"/>
    <w:rsid w:val="00A17550"/>
    <w:rsid w:val="00A17EC3"/>
    <w:rsid w:val="00A206BA"/>
    <w:rsid w:val="00A20992"/>
    <w:rsid w:val="00A21447"/>
    <w:rsid w:val="00A21777"/>
    <w:rsid w:val="00A21A50"/>
    <w:rsid w:val="00A22BAE"/>
    <w:rsid w:val="00A22EA0"/>
    <w:rsid w:val="00A26363"/>
    <w:rsid w:val="00A277F2"/>
    <w:rsid w:val="00A2789B"/>
    <w:rsid w:val="00A27F89"/>
    <w:rsid w:val="00A305AE"/>
    <w:rsid w:val="00A30A23"/>
    <w:rsid w:val="00A32A83"/>
    <w:rsid w:val="00A33895"/>
    <w:rsid w:val="00A34E07"/>
    <w:rsid w:val="00A35058"/>
    <w:rsid w:val="00A3512B"/>
    <w:rsid w:val="00A35EEC"/>
    <w:rsid w:val="00A368DB"/>
    <w:rsid w:val="00A36DBF"/>
    <w:rsid w:val="00A36FA4"/>
    <w:rsid w:val="00A402EB"/>
    <w:rsid w:val="00A40511"/>
    <w:rsid w:val="00A41177"/>
    <w:rsid w:val="00A411C0"/>
    <w:rsid w:val="00A418C2"/>
    <w:rsid w:val="00A41AB6"/>
    <w:rsid w:val="00A41B9F"/>
    <w:rsid w:val="00A423AA"/>
    <w:rsid w:val="00A42A72"/>
    <w:rsid w:val="00A42D9F"/>
    <w:rsid w:val="00A43816"/>
    <w:rsid w:val="00A4424D"/>
    <w:rsid w:val="00A4437A"/>
    <w:rsid w:val="00A45CFE"/>
    <w:rsid w:val="00A45D32"/>
    <w:rsid w:val="00A45EE1"/>
    <w:rsid w:val="00A4629E"/>
    <w:rsid w:val="00A4656C"/>
    <w:rsid w:val="00A471E7"/>
    <w:rsid w:val="00A50B93"/>
    <w:rsid w:val="00A51100"/>
    <w:rsid w:val="00A51464"/>
    <w:rsid w:val="00A5189F"/>
    <w:rsid w:val="00A519C9"/>
    <w:rsid w:val="00A529CA"/>
    <w:rsid w:val="00A52F55"/>
    <w:rsid w:val="00A539C8"/>
    <w:rsid w:val="00A53EC6"/>
    <w:rsid w:val="00A53FF5"/>
    <w:rsid w:val="00A542D6"/>
    <w:rsid w:val="00A54349"/>
    <w:rsid w:val="00A54F15"/>
    <w:rsid w:val="00A5555D"/>
    <w:rsid w:val="00A55C0F"/>
    <w:rsid w:val="00A5694B"/>
    <w:rsid w:val="00A56BE3"/>
    <w:rsid w:val="00A602C2"/>
    <w:rsid w:val="00A605F3"/>
    <w:rsid w:val="00A6134C"/>
    <w:rsid w:val="00A62167"/>
    <w:rsid w:val="00A62292"/>
    <w:rsid w:val="00A62758"/>
    <w:rsid w:val="00A630A8"/>
    <w:rsid w:val="00A631BB"/>
    <w:rsid w:val="00A63A5F"/>
    <w:rsid w:val="00A63CC0"/>
    <w:rsid w:val="00A64B7E"/>
    <w:rsid w:val="00A6522B"/>
    <w:rsid w:val="00A65486"/>
    <w:rsid w:val="00A65494"/>
    <w:rsid w:val="00A659CA"/>
    <w:rsid w:val="00A67E54"/>
    <w:rsid w:val="00A71055"/>
    <w:rsid w:val="00A71162"/>
    <w:rsid w:val="00A715C1"/>
    <w:rsid w:val="00A719B2"/>
    <w:rsid w:val="00A724A3"/>
    <w:rsid w:val="00A726F6"/>
    <w:rsid w:val="00A72BCA"/>
    <w:rsid w:val="00A72BF5"/>
    <w:rsid w:val="00A731AF"/>
    <w:rsid w:val="00A73C59"/>
    <w:rsid w:val="00A74015"/>
    <w:rsid w:val="00A741CC"/>
    <w:rsid w:val="00A76335"/>
    <w:rsid w:val="00A77E7C"/>
    <w:rsid w:val="00A801F1"/>
    <w:rsid w:val="00A803D9"/>
    <w:rsid w:val="00A8046A"/>
    <w:rsid w:val="00A80CC8"/>
    <w:rsid w:val="00A81C5F"/>
    <w:rsid w:val="00A81D99"/>
    <w:rsid w:val="00A81E34"/>
    <w:rsid w:val="00A82170"/>
    <w:rsid w:val="00A85D8E"/>
    <w:rsid w:val="00A86FD3"/>
    <w:rsid w:val="00A86FDF"/>
    <w:rsid w:val="00A8713F"/>
    <w:rsid w:val="00A9080C"/>
    <w:rsid w:val="00A90847"/>
    <w:rsid w:val="00A90BA1"/>
    <w:rsid w:val="00A9127D"/>
    <w:rsid w:val="00A9158A"/>
    <w:rsid w:val="00A92037"/>
    <w:rsid w:val="00A92433"/>
    <w:rsid w:val="00A92881"/>
    <w:rsid w:val="00A92BD3"/>
    <w:rsid w:val="00A93460"/>
    <w:rsid w:val="00A97519"/>
    <w:rsid w:val="00A976F9"/>
    <w:rsid w:val="00A97A9A"/>
    <w:rsid w:val="00A97AE3"/>
    <w:rsid w:val="00AA0397"/>
    <w:rsid w:val="00AA0671"/>
    <w:rsid w:val="00AA0A48"/>
    <w:rsid w:val="00AA1801"/>
    <w:rsid w:val="00AA2160"/>
    <w:rsid w:val="00AA2531"/>
    <w:rsid w:val="00AA2C53"/>
    <w:rsid w:val="00AA3B8D"/>
    <w:rsid w:val="00AA3CF1"/>
    <w:rsid w:val="00AA4D1E"/>
    <w:rsid w:val="00AA52C5"/>
    <w:rsid w:val="00AA5C82"/>
    <w:rsid w:val="00AA66EF"/>
    <w:rsid w:val="00AA6ECD"/>
    <w:rsid w:val="00AA7CA3"/>
    <w:rsid w:val="00AB03A4"/>
    <w:rsid w:val="00AB05D6"/>
    <w:rsid w:val="00AB1CCA"/>
    <w:rsid w:val="00AB1E09"/>
    <w:rsid w:val="00AB1E2C"/>
    <w:rsid w:val="00AB2530"/>
    <w:rsid w:val="00AB33F3"/>
    <w:rsid w:val="00AB350A"/>
    <w:rsid w:val="00AB3A66"/>
    <w:rsid w:val="00AB4462"/>
    <w:rsid w:val="00AB45C3"/>
    <w:rsid w:val="00AB529C"/>
    <w:rsid w:val="00AB5330"/>
    <w:rsid w:val="00AB6314"/>
    <w:rsid w:val="00AB6EC2"/>
    <w:rsid w:val="00AB7487"/>
    <w:rsid w:val="00AB7747"/>
    <w:rsid w:val="00AC0B36"/>
    <w:rsid w:val="00AC0ED5"/>
    <w:rsid w:val="00AC14CE"/>
    <w:rsid w:val="00AC23EF"/>
    <w:rsid w:val="00AC24C7"/>
    <w:rsid w:val="00AC2A38"/>
    <w:rsid w:val="00AC2A56"/>
    <w:rsid w:val="00AC2D26"/>
    <w:rsid w:val="00AC2F3B"/>
    <w:rsid w:val="00AC459A"/>
    <w:rsid w:val="00AC59B5"/>
    <w:rsid w:val="00AC5C6B"/>
    <w:rsid w:val="00AC699B"/>
    <w:rsid w:val="00AC75C3"/>
    <w:rsid w:val="00AC7DFB"/>
    <w:rsid w:val="00AD002E"/>
    <w:rsid w:val="00AD055E"/>
    <w:rsid w:val="00AD07B3"/>
    <w:rsid w:val="00AD409D"/>
    <w:rsid w:val="00AD47A7"/>
    <w:rsid w:val="00AD708D"/>
    <w:rsid w:val="00AD70F3"/>
    <w:rsid w:val="00AD7170"/>
    <w:rsid w:val="00AD74A4"/>
    <w:rsid w:val="00AD76E5"/>
    <w:rsid w:val="00AD7AC4"/>
    <w:rsid w:val="00AE0672"/>
    <w:rsid w:val="00AE09C4"/>
    <w:rsid w:val="00AE11CA"/>
    <w:rsid w:val="00AE1461"/>
    <w:rsid w:val="00AE2057"/>
    <w:rsid w:val="00AE2AF1"/>
    <w:rsid w:val="00AE310F"/>
    <w:rsid w:val="00AE39F0"/>
    <w:rsid w:val="00AE4E20"/>
    <w:rsid w:val="00AE4F7E"/>
    <w:rsid w:val="00AE5CEA"/>
    <w:rsid w:val="00AE7DC4"/>
    <w:rsid w:val="00AF007B"/>
    <w:rsid w:val="00AF0CBF"/>
    <w:rsid w:val="00AF0D43"/>
    <w:rsid w:val="00AF17DE"/>
    <w:rsid w:val="00AF249A"/>
    <w:rsid w:val="00AF24E3"/>
    <w:rsid w:val="00AF257F"/>
    <w:rsid w:val="00AF33CF"/>
    <w:rsid w:val="00AF3947"/>
    <w:rsid w:val="00AF3DDF"/>
    <w:rsid w:val="00AF411B"/>
    <w:rsid w:val="00AF4D50"/>
    <w:rsid w:val="00AF52B0"/>
    <w:rsid w:val="00AF5826"/>
    <w:rsid w:val="00AF611C"/>
    <w:rsid w:val="00AF6152"/>
    <w:rsid w:val="00AF6179"/>
    <w:rsid w:val="00AF7F19"/>
    <w:rsid w:val="00B0193C"/>
    <w:rsid w:val="00B02CA5"/>
    <w:rsid w:val="00B02D89"/>
    <w:rsid w:val="00B0378E"/>
    <w:rsid w:val="00B03F1F"/>
    <w:rsid w:val="00B045D4"/>
    <w:rsid w:val="00B05164"/>
    <w:rsid w:val="00B065B0"/>
    <w:rsid w:val="00B075A0"/>
    <w:rsid w:val="00B07BCA"/>
    <w:rsid w:val="00B12338"/>
    <w:rsid w:val="00B12375"/>
    <w:rsid w:val="00B1295A"/>
    <w:rsid w:val="00B14993"/>
    <w:rsid w:val="00B154C0"/>
    <w:rsid w:val="00B169A7"/>
    <w:rsid w:val="00B1731A"/>
    <w:rsid w:val="00B17975"/>
    <w:rsid w:val="00B20725"/>
    <w:rsid w:val="00B209B6"/>
    <w:rsid w:val="00B20A45"/>
    <w:rsid w:val="00B2175A"/>
    <w:rsid w:val="00B22032"/>
    <w:rsid w:val="00B222B6"/>
    <w:rsid w:val="00B22BAC"/>
    <w:rsid w:val="00B22C5C"/>
    <w:rsid w:val="00B22DE3"/>
    <w:rsid w:val="00B24C1A"/>
    <w:rsid w:val="00B24F30"/>
    <w:rsid w:val="00B26C2C"/>
    <w:rsid w:val="00B2715D"/>
    <w:rsid w:val="00B30805"/>
    <w:rsid w:val="00B30949"/>
    <w:rsid w:val="00B30D68"/>
    <w:rsid w:val="00B31ABF"/>
    <w:rsid w:val="00B31CAF"/>
    <w:rsid w:val="00B3328C"/>
    <w:rsid w:val="00B3344E"/>
    <w:rsid w:val="00B33BE3"/>
    <w:rsid w:val="00B3400F"/>
    <w:rsid w:val="00B35603"/>
    <w:rsid w:val="00B3574D"/>
    <w:rsid w:val="00B35B50"/>
    <w:rsid w:val="00B3633A"/>
    <w:rsid w:val="00B36720"/>
    <w:rsid w:val="00B36E87"/>
    <w:rsid w:val="00B37CBB"/>
    <w:rsid w:val="00B37DC8"/>
    <w:rsid w:val="00B4075C"/>
    <w:rsid w:val="00B42372"/>
    <w:rsid w:val="00B427B5"/>
    <w:rsid w:val="00B4313E"/>
    <w:rsid w:val="00B43B7C"/>
    <w:rsid w:val="00B441D4"/>
    <w:rsid w:val="00B45E57"/>
    <w:rsid w:val="00B468D4"/>
    <w:rsid w:val="00B47061"/>
    <w:rsid w:val="00B47B6D"/>
    <w:rsid w:val="00B47D8F"/>
    <w:rsid w:val="00B47E0A"/>
    <w:rsid w:val="00B50800"/>
    <w:rsid w:val="00B509BA"/>
    <w:rsid w:val="00B513C2"/>
    <w:rsid w:val="00B51E99"/>
    <w:rsid w:val="00B52630"/>
    <w:rsid w:val="00B53B5D"/>
    <w:rsid w:val="00B54862"/>
    <w:rsid w:val="00B550CC"/>
    <w:rsid w:val="00B551E8"/>
    <w:rsid w:val="00B552E7"/>
    <w:rsid w:val="00B557AA"/>
    <w:rsid w:val="00B563F7"/>
    <w:rsid w:val="00B5647A"/>
    <w:rsid w:val="00B567FF"/>
    <w:rsid w:val="00B57379"/>
    <w:rsid w:val="00B6055E"/>
    <w:rsid w:val="00B616CA"/>
    <w:rsid w:val="00B6317D"/>
    <w:rsid w:val="00B63C05"/>
    <w:rsid w:val="00B64832"/>
    <w:rsid w:val="00B655E3"/>
    <w:rsid w:val="00B65CF5"/>
    <w:rsid w:val="00B65D66"/>
    <w:rsid w:val="00B6627B"/>
    <w:rsid w:val="00B675DD"/>
    <w:rsid w:val="00B7088A"/>
    <w:rsid w:val="00B71550"/>
    <w:rsid w:val="00B718C1"/>
    <w:rsid w:val="00B72F65"/>
    <w:rsid w:val="00B73874"/>
    <w:rsid w:val="00B74B2B"/>
    <w:rsid w:val="00B74D1B"/>
    <w:rsid w:val="00B7723F"/>
    <w:rsid w:val="00B77A20"/>
    <w:rsid w:val="00B80534"/>
    <w:rsid w:val="00B8210B"/>
    <w:rsid w:val="00B824C3"/>
    <w:rsid w:val="00B82DCE"/>
    <w:rsid w:val="00B82E3E"/>
    <w:rsid w:val="00B83039"/>
    <w:rsid w:val="00B830BC"/>
    <w:rsid w:val="00B835E8"/>
    <w:rsid w:val="00B83681"/>
    <w:rsid w:val="00B83A6D"/>
    <w:rsid w:val="00B8433C"/>
    <w:rsid w:val="00B84997"/>
    <w:rsid w:val="00B84A84"/>
    <w:rsid w:val="00B84F6F"/>
    <w:rsid w:val="00B8521F"/>
    <w:rsid w:val="00B85943"/>
    <w:rsid w:val="00B85AB9"/>
    <w:rsid w:val="00B8613B"/>
    <w:rsid w:val="00B87491"/>
    <w:rsid w:val="00B87C4E"/>
    <w:rsid w:val="00B90062"/>
    <w:rsid w:val="00B90549"/>
    <w:rsid w:val="00B90603"/>
    <w:rsid w:val="00B92B4A"/>
    <w:rsid w:val="00B94F37"/>
    <w:rsid w:val="00B96246"/>
    <w:rsid w:val="00B964EC"/>
    <w:rsid w:val="00B97235"/>
    <w:rsid w:val="00B97A46"/>
    <w:rsid w:val="00BA00C7"/>
    <w:rsid w:val="00BA061B"/>
    <w:rsid w:val="00BA09EC"/>
    <w:rsid w:val="00BA0EF7"/>
    <w:rsid w:val="00BA13A8"/>
    <w:rsid w:val="00BA16CF"/>
    <w:rsid w:val="00BA1958"/>
    <w:rsid w:val="00BA29E9"/>
    <w:rsid w:val="00BA2A85"/>
    <w:rsid w:val="00BA2E0D"/>
    <w:rsid w:val="00BA3916"/>
    <w:rsid w:val="00BA41A3"/>
    <w:rsid w:val="00BA4688"/>
    <w:rsid w:val="00BA607D"/>
    <w:rsid w:val="00BA69BD"/>
    <w:rsid w:val="00BA6C53"/>
    <w:rsid w:val="00BA7142"/>
    <w:rsid w:val="00BA7487"/>
    <w:rsid w:val="00BA7FE4"/>
    <w:rsid w:val="00BB1101"/>
    <w:rsid w:val="00BB15B2"/>
    <w:rsid w:val="00BB1A15"/>
    <w:rsid w:val="00BB1C7A"/>
    <w:rsid w:val="00BB2116"/>
    <w:rsid w:val="00BB21D2"/>
    <w:rsid w:val="00BB237C"/>
    <w:rsid w:val="00BB41A3"/>
    <w:rsid w:val="00BB4E44"/>
    <w:rsid w:val="00BB53B4"/>
    <w:rsid w:val="00BB5FE0"/>
    <w:rsid w:val="00BB62F0"/>
    <w:rsid w:val="00BB75A4"/>
    <w:rsid w:val="00BB77C0"/>
    <w:rsid w:val="00BB7C9B"/>
    <w:rsid w:val="00BC0CA4"/>
    <w:rsid w:val="00BC1E62"/>
    <w:rsid w:val="00BC257C"/>
    <w:rsid w:val="00BC26DD"/>
    <w:rsid w:val="00BC32DC"/>
    <w:rsid w:val="00BC332D"/>
    <w:rsid w:val="00BC35B6"/>
    <w:rsid w:val="00BC3870"/>
    <w:rsid w:val="00BC3BBD"/>
    <w:rsid w:val="00BC3D1D"/>
    <w:rsid w:val="00BC4BD9"/>
    <w:rsid w:val="00BC530D"/>
    <w:rsid w:val="00BC5669"/>
    <w:rsid w:val="00BC5FD9"/>
    <w:rsid w:val="00BC62DA"/>
    <w:rsid w:val="00BD0584"/>
    <w:rsid w:val="00BD1B51"/>
    <w:rsid w:val="00BD2360"/>
    <w:rsid w:val="00BD253C"/>
    <w:rsid w:val="00BD2A44"/>
    <w:rsid w:val="00BD2CBB"/>
    <w:rsid w:val="00BD2F20"/>
    <w:rsid w:val="00BD2FD6"/>
    <w:rsid w:val="00BD4596"/>
    <w:rsid w:val="00BD486C"/>
    <w:rsid w:val="00BD49B0"/>
    <w:rsid w:val="00BD5051"/>
    <w:rsid w:val="00BD574B"/>
    <w:rsid w:val="00BD64A5"/>
    <w:rsid w:val="00BD6D3F"/>
    <w:rsid w:val="00BD744E"/>
    <w:rsid w:val="00BD769B"/>
    <w:rsid w:val="00BE096A"/>
    <w:rsid w:val="00BE10AC"/>
    <w:rsid w:val="00BE1405"/>
    <w:rsid w:val="00BE1479"/>
    <w:rsid w:val="00BE292E"/>
    <w:rsid w:val="00BE312D"/>
    <w:rsid w:val="00BE3582"/>
    <w:rsid w:val="00BE494D"/>
    <w:rsid w:val="00BE49ED"/>
    <w:rsid w:val="00BE4DD4"/>
    <w:rsid w:val="00BE4F43"/>
    <w:rsid w:val="00BE696F"/>
    <w:rsid w:val="00BF0C27"/>
    <w:rsid w:val="00BF0E63"/>
    <w:rsid w:val="00BF12D7"/>
    <w:rsid w:val="00BF1AEC"/>
    <w:rsid w:val="00BF1C20"/>
    <w:rsid w:val="00BF2E15"/>
    <w:rsid w:val="00BF351B"/>
    <w:rsid w:val="00BF382E"/>
    <w:rsid w:val="00BF3DA5"/>
    <w:rsid w:val="00BF444F"/>
    <w:rsid w:val="00BF4696"/>
    <w:rsid w:val="00BF569E"/>
    <w:rsid w:val="00BF57E7"/>
    <w:rsid w:val="00BF6E97"/>
    <w:rsid w:val="00BF7037"/>
    <w:rsid w:val="00BF7A9C"/>
    <w:rsid w:val="00BF7B3E"/>
    <w:rsid w:val="00BF7EDA"/>
    <w:rsid w:val="00C00295"/>
    <w:rsid w:val="00C00373"/>
    <w:rsid w:val="00C006E1"/>
    <w:rsid w:val="00C01AB3"/>
    <w:rsid w:val="00C022F3"/>
    <w:rsid w:val="00C03065"/>
    <w:rsid w:val="00C030CD"/>
    <w:rsid w:val="00C03543"/>
    <w:rsid w:val="00C03A7B"/>
    <w:rsid w:val="00C03B43"/>
    <w:rsid w:val="00C05125"/>
    <w:rsid w:val="00C0534F"/>
    <w:rsid w:val="00C0573D"/>
    <w:rsid w:val="00C05BB2"/>
    <w:rsid w:val="00C06149"/>
    <w:rsid w:val="00C065D0"/>
    <w:rsid w:val="00C06AF2"/>
    <w:rsid w:val="00C06B33"/>
    <w:rsid w:val="00C06D31"/>
    <w:rsid w:val="00C07BF5"/>
    <w:rsid w:val="00C07D43"/>
    <w:rsid w:val="00C07E93"/>
    <w:rsid w:val="00C10578"/>
    <w:rsid w:val="00C12117"/>
    <w:rsid w:val="00C12872"/>
    <w:rsid w:val="00C12AA9"/>
    <w:rsid w:val="00C131DB"/>
    <w:rsid w:val="00C135BC"/>
    <w:rsid w:val="00C13BEF"/>
    <w:rsid w:val="00C1503A"/>
    <w:rsid w:val="00C15C95"/>
    <w:rsid w:val="00C1622A"/>
    <w:rsid w:val="00C178A8"/>
    <w:rsid w:val="00C2107B"/>
    <w:rsid w:val="00C2170B"/>
    <w:rsid w:val="00C21A77"/>
    <w:rsid w:val="00C21BC3"/>
    <w:rsid w:val="00C21E43"/>
    <w:rsid w:val="00C22E25"/>
    <w:rsid w:val="00C23DF1"/>
    <w:rsid w:val="00C2596A"/>
    <w:rsid w:val="00C25A7D"/>
    <w:rsid w:val="00C26863"/>
    <w:rsid w:val="00C27537"/>
    <w:rsid w:val="00C2769A"/>
    <w:rsid w:val="00C30ADD"/>
    <w:rsid w:val="00C31087"/>
    <w:rsid w:val="00C31223"/>
    <w:rsid w:val="00C3133F"/>
    <w:rsid w:val="00C31E6E"/>
    <w:rsid w:val="00C31EF9"/>
    <w:rsid w:val="00C320E0"/>
    <w:rsid w:val="00C324A9"/>
    <w:rsid w:val="00C328FE"/>
    <w:rsid w:val="00C33159"/>
    <w:rsid w:val="00C33507"/>
    <w:rsid w:val="00C3387B"/>
    <w:rsid w:val="00C33D96"/>
    <w:rsid w:val="00C34237"/>
    <w:rsid w:val="00C34FD0"/>
    <w:rsid w:val="00C35BA8"/>
    <w:rsid w:val="00C36E95"/>
    <w:rsid w:val="00C3702D"/>
    <w:rsid w:val="00C37367"/>
    <w:rsid w:val="00C37AA0"/>
    <w:rsid w:val="00C416E9"/>
    <w:rsid w:val="00C417B4"/>
    <w:rsid w:val="00C41801"/>
    <w:rsid w:val="00C41A5A"/>
    <w:rsid w:val="00C41D0B"/>
    <w:rsid w:val="00C4234B"/>
    <w:rsid w:val="00C4270A"/>
    <w:rsid w:val="00C4308C"/>
    <w:rsid w:val="00C4335E"/>
    <w:rsid w:val="00C4409D"/>
    <w:rsid w:val="00C448C9"/>
    <w:rsid w:val="00C44A06"/>
    <w:rsid w:val="00C44E72"/>
    <w:rsid w:val="00C45270"/>
    <w:rsid w:val="00C45A06"/>
    <w:rsid w:val="00C45A37"/>
    <w:rsid w:val="00C45B35"/>
    <w:rsid w:val="00C47360"/>
    <w:rsid w:val="00C47371"/>
    <w:rsid w:val="00C47E16"/>
    <w:rsid w:val="00C47E5B"/>
    <w:rsid w:val="00C50C7C"/>
    <w:rsid w:val="00C51194"/>
    <w:rsid w:val="00C54552"/>
    <w:rsid w:val="00C550FD"/>
    <w:rsid w:val="00C5558A"/>
    <w:rsid w:val="00C5608B"/>
    <w:rsid w:val="00C56B39"/>
    <w:rsid w:val="00C56D34"/>
    <w:rsid w:val="00C57076"/>
    <w:rsid w:val="00C5792E"/>
    <w:rsid w:val="00C601AC"/>
    <w:rsid w:val="00C6030F"/>
    <w:rsid w:val="00C60EB9"/>
    <w:rsid w:val="00C614C2"/>
    <w:rsid w:val="00C61E4B"/>
    <w:rsid w:val="00C6272D"/>
    <w:rsid w:val="00C62B8D"/>
    <w:rsid w:val="00C6337C"/>
    <w:rsid w:val="00C63E32"/>
    <w:rsid w:val="00C640F4"/>
    <w:rsid w:val="00C64BFF"/>
    <w:rsid w:val="00C654D8"/>
    <w:rsid w:val="00C704E9"/>
    <w:rsid w:val="00C70865"/>
    <w:rsid w:val="00C70C73"/>
    <w:rsid w:val="00C70E54"/>
    <w:rsid w:val="00C711A6"/>
    <w:rsid w:val="00C715B9"/>
    <w:rsid w:val="00C718D9"/>
    <w:rsid w:val="00C725ED"/>
    <w:rsid w:val="00C728C0"/>
    <w:rsid w:val="00C73A1A"/>
    <w:rsid w:val="00C73EE3"/>
    <w:rsid w:val="00C74435"/>
    <w:rsid w:val="00C75564"/>
    <w:rsid w:val="00C7573A"/>
    <w:rsid w:val="00C758D7"/>
    <w:rsid w:val="00C763C9"/>
    <w:rsid w:val="00C76695"/>
    <w:rsid w:val="00C77820"/>
    <w:rsid w:val="00C77F27"/>
    <w:rsid w:val="00C80057"/>
    <w:rsid w:val="00C8037D"/>
    <w:rsid w:val="00C807A6"/>
    <w:rsid w:val="00C80DA0"/>
    <w:rsid w:val="00C82232"/>
    <w:rsid w:val="00C82582"/>
    <w:rsid w:val="00C82708"/>
    <w:rsid w:val="00C82913"/>
    <w:rsid w:val="00C82BCD"/>
    <w:rsid w:val="00C8359C"/>
    <w:rsid w:val="00C835E8"/>
    <w:rsid w:val="00C837F9"/>
    <w:rsid w:val="00C83C18"/>
    <w:rsid w:val="00C83ECC"/>
    <w:rsid w:val="00C84654"/>
    <w:rsid w:val="00C8497F"/>
    <w:rsid w:val="00C85BE3"/>
    <w:rsid w:val="00C86AD5"/>
    <w:rsid w:val="00C87690"/>
    <w:rsid w:val="00C87966"/>
    <w:rsid w:val="00C907D9"/>
    <w:rsid w:val="00C907F5"/>
    <w:rsid w:val="00C912EA"/>
    <w:rsid w:val="00C92FF1"/>
    <w:rsid w:val="00C93500"/>
    <w:rsid w:val="00C972B1"/>
    <w:rsid w:val="00C975DF"/>
    <w:rsid w:val="00C97E68"/>
    <w:rsid w:val="00CA02D2"/>
    <w:rsid w:val="00CA040E"/>
    <w:rsid w:val="00CA09EF"/>
    <w:rsid w:val="00CA0D10"/>
    <w:rsid w:val="00CA1A59"/>
    <w:rsid w:val="00CA1BB4"/>
    <w:rsid w:val="00CA2A76"/>
    <w:rsid w:val="00CA2CCE"/>
    <w:rsid w:val="00CA3B03"/>
    <w:rsid w:val="00CA3C26"/>
    <w:rsid w:val="00CA43FD"/>
    <w:rsid w:val="00CA4947"/>
    <w:rsid w:val="00CA4962"/>
    <w:rsid w:val="00CA4EE5"/>
    <w:rsid w:val="00CA619F"/>
    <w:rsid w:val="00CA70D8"/>
    <w:rsid w:val="00CA7D6B"/>
    <w:rsid w:val="00CA7EF8"/>
    <w:rsid w:val="00CB0025"/>
    <w:rsid w:val="00CB033E"/>
    <w:rsid w:val="00CB07FB"/>
    <w:rsid w:val="00CB0AAE"/>
    <w:rsid w:val="00CB125D"/>
    <w:rsid w:val="00CB1392"/>
    <w:rsid w:val="00CB1C85"/>
    <w:rsid w:val="00CB278C"/>
    <w:rsid w:val="00CB372E"/>
    <w:rsid w:val="00CB41CD"/>
    <w:rsid w:val="00CB47B1"/>
    <w:rsid w:val="00CB4D2F"/>
    <w:rsid w:val="00CB5419"/>
    <w:rsid w:val="00CB55C5"/>
    <w:rsid w:val="00CB6951"/>
    <w:rsid w:val="00CB78A0"/>
    <w:rsid w:val="00CC1BF1"/>
    <w:rsid w:val="00CC2039"/>
    <w:rsid w:val="00CC26DD"/>
    <w:rsid w:val="00CC2B17"/>
    <w:rsid w:val="00CC3ECC"/>
    <w:rsid w:val="00CC4478"/>
    <w:rsid w:val="00CC489B"/>
    <w:rsid w:val="00CC4A57"/>
    <w:rsid w:val="00CC52DD"/>
    <w:rsid w:val="00CC5763"/>
    <w:rsid w:val="00CC5963"/>
    <w:rsid w:val="00CC616B"/>
    <w:rsid w:val="00CC63B9"/>
    <w:rsid w:val="00CC7691"/>
    <w:rsid w:val="00CD0600"/>
    <w:rsid w:val="00CD1ADE"/>
    <w:rsid w:val="00CD231C"/>
    <w:rsid w:val="00CD28CA"/>
    <w:rsid w:val="00CD2BCD"/>
    <w:rsid w:val="00CD2D37"/>
    <w:rsid w:val="00CD37FF"/>
    <w:rsid w:val="00CD3A4C"/>
    <w:rsid w:val="00CD45BF"/>
    <w:rsid w:val="00CD5065"/>
    <w:rsid w:val="00CD57EC"/>
    <w:rsid w:val="00CD5944"/>
    <w:rsid w:val="00CD6564"/>
    <w:rsid w:val="00CD7CB3"/>
    <w:rsid w:val="00CE0449"/>
    <w:rsid w:val="00CE0747"/>
    <w:rsid w:val="00CE10E9"/>
    <w:rsid w:val="00CE240D"/>
    <w:rsid w:val="00CE2910"/>
    <w:rsid w:val="00CE3B28"/>
    <w:rsid w:val="00CE3D3B"/>
    <w:rsid w:val="00CE406D"/>
    <w:rsid w:val="00CE5393"/>
    <w:rsid w:val="00CE6022"/>
    <w:rsid w:val="00CE6085"/>
    <w:rsid w:val="00CE615B"/>
    <w:rsid w:val="00CE7323"/>
    <w:rsid w:val="00CE7382"/>
    <w:rsid w:val="00CE7416"/>
    <w:rsid w:val="00CF1349"/>
    <w:rsid w:val="00CF22F2"/>
    <w:rsid w:val="00CF24FD"/>
    <w:rsid w:val="00CF2C82"/>
    <w:rsid w:val="00CF36BE"/>
    <w:rsid w:val="00CF38FA"/>
    <w:rsid w:val="00CF4B00"/>
    <w:rsid w:val="00CF6000"/>
    <w:rsid w:val="00CF74AB"/>
    <w:rsid w:val="00CF7A27"/>
    <w:rsid w:val="00D003F3"/>
    <w:rsid w:val="00D01586"/>
    <w:rsid w:val="00D021D6"/>
    <w:rsid w:val="00D02647"/>
    <w:rsid w:val="00D03212"/>
    <w:rsid w:val="00D0341E"/>
    <w:rsid w:val="00D0364F"/>
    <w:rsid w:val="00D03E8D"/>
    <w:rsid w:val="00D04903"/>
    <w:rsid w:val="00D04BAE"/>
    <w:rsid w:val="00D04F78"/>
    <w:rsid w:val="00D05923"/>
    <w:rsid w:val="00D06834"/>
    <w:rsid w:val="00D074EB"/>
    <w:rsid w:val="00D104B1"/>
    <w:rsid w:val="00D11B69"/>
    <w:rsid w:val="00D131B0"/>
    <w:rsid w:val="00D13964"/>
    <w:rsid w:val="00D14AD2"/>
    <w:rsid w:val="00D1532A"/>
    <w:rsid w:val="00D15535"/>
    <w:rsid w:val="00D15963"/>
    <w:rsid w:val="00D15E64"/>
    <w:rsid w:val="00D16073"/>
    <w:rsid w:val="00D16562"/>
    <w:rsid w:val="00D16F10"/>
    <w:rsid w:val="00D17A90"/>
    <w:rsid w:val="00D20DE0"/>
    <w:rsid w:val="00D21538"/>
    <w:rsid w:val="00D21694"/>
    <w:rsid w:val="00D22F2F"/>
    <w:rsid w:val="00D241AF"/>
    <w:rsid w:val="00D24D8E"/>
    <w:rsid w:val="00D25146"/>
    <w:rsid w:val="00D25209"/>
    <w:rsid w:val="00D25FF4"/>
    <w:rsid w:val="00D26033"/>
    <w:rsid w:val="00D2625C"/>
    <w:rsid w:val="00D26981"/>
    <w:rsid w:val="00D274E2"/>
    <w:rsid w:val="00D27566"/>
    <w:rsid w:val="00D301A8"/>
    <w:rsid w:val="00D3046D"/>
    <w:rsid w:val="00D308ED"/>
    <w:rsid w:val="00D30A88"/>
    <w:rsid w:val="00D30B67"/>
    <w:rsid w:val="00D31C6D"/>
    <w:rsid w:val="00D328CB"/>
    <w:rsid w:val="00D32F72"/>
    <w:rsid w:val="00D33EA0"/>
    <w:rsid w:val="00D35DD9"/>
    <w:rsid w:val="00D36D86"/>
    <w:rsid w:val="00D36E66"/>
    <w:rsid w:val="00D37536"/>
    <w:rsid w:val="00D37A33"/>
    <w:rsid w:val="00D401D1"/>
    <w:rsid w:val="00D4121E"/>
    <w:rsid w:val="00D412BB"/>
    <w:rsid w:val="00D42379"/>
    <w:rsid w:val="00D428AA"/>
    <w:rsid w:val="00D42A73"/>
    <w:rsid w:val="00D43CA0"/>
    <w:rsid w:val="00D44037"/>
    <w:rsid w:val="00D456E4"/>
    <w:rsid w:val="00D50A34"/>
    <w:rsid w:val="00D50A38"/>
    <w:rsid w:val="00D50A78"/>
    <w:rsid w:val="00D51029"/>
    <w:rsid w:val="00D51DDE"/>
    <w:rsid w:val="00D52560"/>
    <w:rsid w:val="00D53D0B"/>
    <w:rsid w:val="00D53EFA"/>
    <w:rsid w:val="00D53F2D"/>
    <w:rsid w:val="00D542FB"/>
    <w:rsid w:val="00D55456"/>
    <w:rsid w:val="00D56982"/>
    <w:rsid w:val="00D56A60"/>
    <w:rsid w:val="00D56A6D"/>
    <w:rsid w:val="00D56E0F"/>
    <w:rsid w:val="00D5744C"/>
    <w:rsid w:val="00D604B9"/>
    <w:rsid w:val="00D60772"/>
    <w:rsid w:val="00D60E1A"/>
    <w:rsid w:val="00D60F71"/>
    <w:rsid w:val="00D62063"/>
    <w:rsid w:val="00D623E4"/>
    <w:rsid w:val="00D62D9E"/>
    <w:rsid w:val="00D6334E"/>
    <w:rsid w:val="00D64BFA"/>
    <w:rsid w:val="00D64DFE"/>
    <w:rsid w:val="00D64E89"/>
    <w:rsid w:val="00D64F2F"/>
    <w:rsid w:val="00D658C2"/>
    <w:rsid w:val="00D65966"/>
    <w:rsid w:val="00D65D2E"/>
    <w:rsid w:val="00D65E9E"/>
    <w:rsid w:val="00D664A4"/>
    <w:rsid w:val="00D66B1A"/>
    <w:rsid w:val="00D67957"/>
    <w:rsid w:val="00D679F1"/>
    <w:rsid w:val="00D70245"/>
    <w:rsid w:val="00D7042E"/>
    <w:rsid w:val="00D711DB"/>
    <w:rsid w:val="00D72118"/>
    <w:rsid w:val="00D7255C"/>
    <w:rsid w:val="00D72618"/>
    <w:rsid w:val="00D7274A"/>
    <w:rsid w:val="00D73461"/>
    <w:rsid w:val="00D73B3D"/>
    <w:rsid w:val="00D7415D"/>
    <w:rsid w:val="00D7493D"/>
    <w:rsid w:val="00D761A7"/>
    <w:rsid w:val="00D800B2"/>
    <w:rsid w:val="00D81555"/>
    <w:rsid w:val="00D81EF9"/>
    <w:rsid w:val="00D81F9D"/>
    <w:rsid w:val="00D82F17"/>
    <w:rsid w:val="00D835A2"/>
    <w:rsid w:val="00D83A21"/>
    <w:rsid w:val="00D83D1E"/>
    <w:rsid w:val="00D848B8"/>
    <w:rsid w:val="00D84C1E"/>
    <w:rsid w:val="00D85C43"/>
    <w:rsid w:val="00D85EA2"/>
    <w:rsid w:val="00D878EC"/>
    <w:rsid w:val="00D87A38"/>
    <w:rsid w:val="00D87C3F"/>
    <w:rsid w:val="00D90526"/>
    <w:rsid w:val="00D90C92"/>
    <w:rsid w:val="00D92BF7"/>
    <w:rsid w:val="00D9304D"/>
    <w:rsid w:val="00D93A74"/>
    <w:rsid w:val="00D94A7C"/>
    <w:rsid w:val="00D95779"/>
    <w:rsid w:val="00D95896"/>
    <w:rsid w:val="00D972FE"/>
    <w:rsid w:val="00D973CE"/>
    <w:rsid w:val="00D9782F"/>
    <w:rsid w:val="00D97B73"/>
    <w:rsid w:val="00DA0234"/>
    <w:rsid w:val="00DA071C"/>
    <w:rsid w:val="00DA22C2"/>
    <w:rsid w:val="00DA24B8"/>
    <w:rsid w:val="00DA26D9"/>
    <w:rsid w:val="00DA270E"/>
    <w:rsid w:val="00DA3E93"/>
    <w:rsid w:val="00DA428E"/>
    <w:rsid w:val="00DA4D5C"/>
    <w:rsid w:val="00DA4E75"/>
    <w:rsid w:val="00DA4F0E"/>
    <w:rsid w:val="00DA5124"/>
    <w:rsid w:val="00DA680D"/>
    <w:rsid w:val="00DA6946"/>
    <w:rsid w:val="00DA7707"/>
    <w:rsid w:val="00DB03FC"/>
    <w:rsid w:val="00DB0965"/>
    <w:rsid w:val="00DB0D42"/>
    <w:rsid w:val="00DB1C43"/>
    <w:rsid w:val="00DB2983"/>
    <w:rsid w:val="00DB3F4E"/>
    <w:rsid w:val="00DB5982"/>
    <w:rsid w:val="00DB5E0A"/>
    <w:rsid w:val="00DB69AC"/>
    <w:rsid w:val="00DC11E5"/>
    <w:rsid w:val="00DC1257"/>
    <w:rsid w:val="00DC36EB"/>
    <w:rsid w:val="00DC3756"/>
    <w:rsid w:val="00DC379C"/>
    <w:rsid w:val="00DC3DC0"/>
    <w:rsid w:val="00DC40AE"/>
    <w:rsid w:val="00DC4DE7"/>
    <w:rsid w:val="00DC5B2B"/>
    <w:rsid w:val="00DC642E"/>
    <w:rsid w:val="00DC6CF1"/>
    <w:rsid w:val="00DC6DA2"/>
    <w:rsid w:val="00DC6E82"/>
    <w:rsid w:val="00DC70A0"/>
    <w:rsid w:val="00DC7118"/>
    <w:rsid w:val="00DC7367"/>
    <w:rsid w:val="00DD00C6"/>
    <w:rsid w:val="00DD05D7"/>
    <w:rsid w:val="00DD1128"/>
    <w:rsid w:val="00DD1F7F"/>
    <w:rsid w:val="00DD2570"/>
    <w:rsid w:val="00DD2823"/>
    <w:rsid w:val="00DD318D"/>
    <w:rsid w:val="00DD3202"/>
    <w:rsid w:val="00DD3B57"/>
    <w:rsid w:val="00DD426A"/>
    <w:rsid w:val="00DD454D"/>
    <w:rsid w:val="00DD47F2"/>
    <w:rsid w:val="00DD5169"/>
    <w:rsid w:val="00DD516F"/>
    <w:rsid w:val="00DD5F7D"/>
    <w:rsid w:val="00DD6755"/>
    <w:rsid w:val="00DD7256"/>
    <w:rsid w:val="00DD7847"/>
    <w:rsid w:val="00DD7982"/>
    <w:rsid w:val="00DD7C00"/>
    <w:rsid w:val="00DE019D"/>
    <w:rsid w:val="00DE03AA"/>
    <w:rsid w:val="00DE0535"/>
    <w:rsid w:val="00DE0837"/>
    <w:rsid w:val="00DE0918"/>
    <w:rsid w:val="00DE1125"/>
    <w:rsid w:val="00DE3B4E"/>
    <w:rsid w:val="00DE4A1A"/>
    <w:rsid w:val="00DE4F8A"/>
    <w:rsid w:val="00DE53C0"/>
    <w:rsid w:val="00DE53E1"/>
    <w:rsid w:val="00DE587A"/>
    <w:rsid w:val="00DE5C3A"/>
    <w:rsid w:val="00DE5E72"/>
    <w:rsid w:val="00DE5E76"/>
    <w:rsid w:val="00DE72E7"/>
    <w:rsid w:val="00DF1196"/>
    <w:rsid w:val="00DF192C"/>
    <w:rsid w:val="00DF21D3"/>
    <w:rsid w:val="00DF2E12"/>
    <w:rsid w:val="00DF300A"/>
    <w:rsid w:val="00DF3300"/>
    <w:rsid w:val="00DF3524"/>
    <w:rsid w:val="00DF4045"/>
    <w:rsid w:val="00DF4F28"/>
    <w:rsid w:val="00DF514A"/>
    <w:rsid w:val="00DF52CC"/>
    <w:rsid w:val="00DF55C6"/>
    <w:rsid w:val="00DF59BF"/>
    <w:rsid w:val="00DF5C1D"/>
    <w:rsid w:val="00DF6690"/>
    <w:rsid w:val="00DF6804"/>
    <w:rsid w:val="00DF7A4E"/>
    <w:rsid w:val="00E00285"/>
    <w:rsid w:val="00E00360"/>
    <w:rsid w:val="00E00696"/>
    <w:rsid w:val="00E0192F"/>
    <w:rsid w:val="00E0214A"/>
    <w:rsid w:val="00E0358D"/>
    <w:rsid w:val="00E04323"/>
    <w:rsid w:val="00E05131"/>
    <w:rsid w:val="00E070A2"/>
    <w:rsid w:val="00E074EA"/>
    <w:rsid w:val="00E07649"/>
    <w:rsid w:val="00E105D9"/>
    <w:rsid w:val="00E11651"/>
    <w:rsid w:val="00E11DD3"/>
    <w:rsid w:val="00E12E62"/>
    <w:rsid w:val="00E14388"/>
    <w:rsid w:val="00E1479B"/>
    <w:rsid w:val="00E14A9E"/>
    <w:rsid w:val="00E14C39"/>
    <w:rsid w:val="00E14C8C"/>
    <w:rsid w:val="00E157D3"/>
    <w:rsid w:val="00E17BEF"/>
    <w:rsid w:val="00E22313"/>
    <w:rsid w:val="00E22491"/>
    <w:rsid w:val="00E24293"/>
    <w:rsid w:val="00E24D03"/>
    <w:rsid w:val="00E24DA2"/>
    <w:rsid w:val="00E25274"/>
    <w:rsid w:val="00E263C3"/>
    <w:rsid w:val="00E2656A"/>
    <w:rsid w:val="00E269CA"/>
    <w:rsid w:val="00E26D2E"/>
    <w:rsid w:val="00E271A2"/>
    <w:rsid w:val="00E3002A"/>
    <w:rsid w:val="00E30044"/>
    <w:rsid w:val="00E30B29"/>
    <w:rsid w:val="00E3142B"/>
    <w:rsid w:val="00E31B79"/>
    <w:rsid w:val="00E32746"/>
    <w:rsid w:val="00E32C6F"/>
    <w:rsid w:val="00E337B8"/>
    <w:rsid w:val="00E3395E"/>
    <w:rsid w:val="00E3409A"/>
    <w:rsid w:val="00E341F2"/>
    <w:rsid w:val="00E35010"/>
    <w:rsid w:val="00E3558E"/>
    <w:rsid w:val="00E36009"/>
    <w:rsid w:val="00E37150"/>
    <w:rsid w:val="00E378CE"/>
    <w:rsid w:val="00E403A8"/>
    <w:rsid w:val="00E407E8"/>
    <w:rsid w:val="00E40886"/>
    <w:rsid w:val="00E408EE"/>
    <w:rsid w:val="00E412D0"/>
    <w:rsid w:val="00E4195A"/>
    <w:rsid w:val="00E43058"/>
    <w:rsid w:val="00E4387C"/>
    <w:rsid w:val="00E46592"/>
    <w:rsid w:val="00E46E7D"/>
    <w:rsid w:val="00E475B3"/>
    <w:rsid w:val="00E47E20"/>
    <w:rsid w:val="00E508FA"/>
    <w:rsid w:val="00E50C95"/>
    <w:rsid w:val="00E50CEF"/>
    <w:rsid w:val="00E52265"/>
    <w:rsid w:val="00E5266A"/>
    <w:rsid w:val="00E52F03"/>
    <w:rsid w:val="00E530EB"/>
    <w:rsid w:val="00E53860"/>
    <w:rsid w:val="00E5386B"/>
    <w:rsid w:val="00E539DC"/>
    <w:rsid w:val="00E53EB0"/>
    <w:rsid w:val="00E56322"/>
    <w:rsid w:val="00E56E8C"/>
    <w:rsid w:val="00E57052"/>
    <w:rsid w:val="00E6013F"/>
    <w:rsid w:val="00E60381"/>
    <w:rsid w:val="00E60770"/>
    <w:rsid w:val="00E60772"/>
    <w:rsid w:val="00E60923"/>
    <w:rsid w:val="00E60982"/>
    <w:rsid w:val="00E612BD"/>
    <w:rsid w:val="00E614C0"/>
    <w:rsid w:val="00E615EA"/>
    <w:rsid w:val="00E61B01"/>
    <w:rsid w:val="00E62813"/>
    <w:rsid w:val="00E62C62"/>
    <w:rsid w:val="00E63944"/>
    <w:rsid w:val="00E63B48"/>
    <w:rsid w:val="00E64E1D"/>
    <w:rsid w:val="00E654C1"/>
    <w:rsid w:val="00E65D97"/>
    <w:rsid w:val="00E67B34"/>
    <w:rsid w:val="00E7002C"/>
    <w:rsid w:val="00E70318"/>
    <w:rsid w:val="00E70380"/>
    <w:rsid w:val="00E70AFD"/>
    <w:rsid w:val="00E726A5"/>
    <w:rsid w:val="00E72A5A"/>
    <w:rsid w:val="00E72D1B"/>
    <w:rsid w:val="00E73354"/>
    <w:rsid w:val="00E743BE"/>
    <w:rsid w:val="00E750AD"/>
    <w:rsid w:val="00E75782"/>
    <w:rsid w:val="00E75DC5"/>
    <w:rsid w:val="00E7607F"/>
    <w:rsid w:val="00E7629E"/>
    <w:rsid w:val="00E762E5"/>
    <w:rsid w:val="00E7751F"/>
    <w:rsid w:val="00E77992"/>
    <w:rsid w:val="00E77C1B"/>
    <w:rsid w:val="00E77EC9"/>
    <w:rsid w:val="00E809FE"/>
    <w:rsid w:val="00E80EC2"/>
    <w:rsid w:val="00E8129D"/>
    <w:rsid w:val="00E829A3"/>
    <w:rsid w:val="00E82BBA"/>
    <w:rsid w:val="00E837D6"/>
    <w:rsid w:val="00E83B16"/>
    <w:rsid w:val="00E83B9E"/>
    <w:rsid w:val="00E850B3"/>
    <w:rsid w:val="00E855B7"/>
    <w:rsid w:val="00E858EE"/>
    <w:rsid w:val="00E86D4F"/>
    <w:rsid w:val="00E87317"/>
    <w:rsid w:val="00E874B5"/>
    <w:rsid w:val="00E87B80"/>
    <w:rsid w:val="00E87EF0"/>
    <w:rsid w:val="00E9106B"/>
    <w:rsid w:val="00E9242D"/>
    <w:rsid w:val="00E94391"/>
    <w:rsid w:val="00E95DD9"/>
    <w:rsid w:val="00EA0855"/>
    <w:rsid w:val="00EA1078"/>
    <w:rsid w:val="00EA1F93"/>
    <w:rsid w:val="00EA26AF"/>
    <w:rsid w:val="00EA294A"/>
    <w:rsid w:val="00EA3139"/>
    <w:rsid w:val="00EA3CEB"/>
    <w:rsid w:val="00EA440A"/>
    <w:rsid w:val="00EA52FB"/>
    <w:rsid w:val="00EA5C9F"/>
    <w:rsid w:val="00EA7798"/>
    <w:rsid w:val="00EA77BE"/>
    <w:rsid w:val="00EB0029"/>
    <w:rsid w:val="00EB00EB"/>
    <w:rsid w:val="00EB02F5"/>
    <w:rsid w:val="00EB192A"/>
    <w:rsid w:val="00EB2CB1"/>
    <w:rsid w:val="00EB2FFC"/>
    <w:rsid w:val="00EB36DD"/>
    <w:rsid w:val="00EB3DB1"/>
    <w:rsid w:val="00EB4705"/>
    <w:rsid w:val="00EB4D74"/>
    <w:rsid w:val="00EB5255"/>
    <w:rsid w:val="00EB5C47"/>
    <w:rsid w:val="00EB66B1"/>
    <w:rsid w:val="00EB66F6"/>
    <w:rsid w:val="00EB69B1"/>
    <w:rsid w:val="00EB6E66"/>
    <w:rsid w:val="00EB7B75"/>
    <w:rsid w:val="00EB7BF5"/>
    <w:rsid w:val="00EB7DD4"/>
    <w:rsid w:val="00EC049E"/>
    <w:rsid w:val="00EC0879"/>
    <w:rsid w:val="00EC0DCC"/>
    <w:rsid w:val="00EC0E75"/>
    <w:rsid w:val="00EC1F6F"/>
    <w:rsid w:val="00EC3999"/>
    <w:rsid w:val="00EC43B8"/>
    <w:rsid w:val="00EC5437"/>
    <w:rsid w:val="00EC7023"/>
    <w:rsid w:val="00EC70FB"/>
    <w:rsid w:val="00ED010C"/>
    <w:rsid w:val="00ED0639"/>
    <w:rsid w:val="00ED0A85"/>
    <w:rsid w:val="00ED1031"/>
    <w:rsid w:val="00ED113C"/>
    <w:rsid w:val="00ED1F8C"/>
    <w:rsid w:val="00ED44F9"/>
    <w:rsid w:val="00ED48E4"/>
    <w:rsid w:val="00ED56E1"/>
    <w:rsid w:val="00ED5A30"/>
    <w:rsid w:val="00ED691C"/>
    <w:rsid w:val="00EE1358"/>
    <w:rsid w:val="00EE2412"/>
    <w:rsid w:val="00EE29D9"/>
    <w:rsid w:val="00EE2C7B"/>
    <w:rsid w:val="00EE304C"/>
    <w:rsid w:val="00EE39A2"/>
    <w:rsid w:val="00EE4B1D"/>
    <w:rsid w:val="00EE5D79"/>
    <w:rsid w:val="00EE6880"/>
    <w:rsid w:val="00EE69F5"/>
    <w:rsid w:val="00EE6F12"/>
    <w:rsid w:val="00EE7BCA"/>
    <w:rsid w:val="00EF03D6"/>
    <w:rsid w:val="00EF0B3F"/>
    <w:rsid w:val="00EF293C"/>
    <w:rsid w:val="00EF2B9C"/>
    <w:rsid w:val="00EF45C6"/>
    <w:rsid w:val="00EF4755"/>
    <w:rsid w:val="00EF481F"/>
    <w:rsid w:val="00EF4909"/>
    <w:rsid w:val="00EF4B53"/>
    <w:rsid w:val="00EF4DE7"/>
    <w:rsid w:val="00EF5004"/>
    <w:rsid w:val="00EF632A"/>
    <w:rsid w:val="00EF63E6"/>
    <w:rsid w:val="00EF6921"/>
    <w:rsid w:val="00EF69A9"/>
    <w:rsid w:val="00EF6E21"/>
    <w:rsid w:val="00EF7135"/>
    <w:rsid w:val="00EF7B3E"/>
    <w:rsid w:val="00F01193"/>
    <w:rsid w:val="00F01E9F"/>
    <w:rsid w:val="00F027DB"/>
    <w:rsid w:val="00F02F78"/>
    <w:rsid w:val="00F03F45"/>
    <w:rsid w:val="00F045C5"/>
    <w:rsid w:val="00F04635"/>
    <w:rsid w:val="00F04CC1"/>
    <w:rsid w:val="00F04F3F"/>
    <w:rsid w:val="00F051BC"/>
    <w:rsid w:val="00F0562D"/>
    <w:rsid w:val="00F05763"/>
    <w:rsid w:val="00F05815"/>
    <w:rsid w:val="00F05C8E"/>
    <w:rsid w:val="00F06D25"/>
    <w:rsid w:val="00F079E9"/>
    <w:rsid w:val="00F10502"/>
    <w:rsid w:val="00F109AC"/>
    <w:rsid w:val="00F1216C"/>
    <w:rsid w:val="00F126B9"/>
    <w:rsid w:val="00F12866"/>
    <w:rsid w:val="00F12B67"/>
    <w:rsid w:val="00F1392B"/>
    <w:rsid w:val="00F13E6B"/>
    <w:rsid w:val="00F142DF"/>
    <w:rsid w:val="00F14A7A"/>
    <w:rsid w:val="00F15202"/>
    <w:rsid w:val="00F1549F"/>
    <w:rsid w:val="00F156AC"/>
    <w:rsid w:val="00F16009"/>
    <w:rsid w:val="00F166CE"/>
    <w:rsid w:val="00F1766C"/>
    <w:rsid w:val="00F20497"/>
    <w:rsid w:val="00F209B4"/>
    <w:rsid w:val="00F220E5"/>
    <w:rsid w:val="00F22985"/>
    <w:rsid w:val="00F245C1"/>
    <w:rsid w:val="00F2475A"/>
    <w:rsid w:val="00F24891"/>
    <w:rsid w:val="00F24B01"/>
    <w:rsid w:val="00F263B2"/>
    <w:rsid w:val="00F267A2"/>
    <w:rsid w:val="00F26AD1"/>
    <w:rsid w:val="00F271EB"/>
    <w:rsid w:val="00F30F11"/>
    <w:rsid w:val="00F32709"/>
    <w:rsid w:val="00F3383E"/>
    <w:rsid w:val="00F339D8"/>
    <w:rsid w:val="00F33E01"/>
    <w:rsid w:val="00F349CD"/>
    <w:rsid w:val="00F351E3"/>
    <w:rsid w:val="00F36054"/>
    <w:rsid w:val="00F36950"/>
    <w:rsid w:val="00F36A13"/>
    <w:rsid w:val="00F37036"/>
    <w:rsid w:val="00F4064A"/>
    <w:rsid w:val="00F40F20"/>
    <w:rsid w:val="00F418FE"/>
    <w:rsid w:val="00F4194E"/>
    <w:rsid w:val="00F425E5"/>
    <w:rsid w:val="00F431D7"/>
    <w:rsid w:val="00F43314"/>
    <w:rsid w:val="00F43D51"/>
    <w:rsid w:val="00F4445F"/>
    <w:rsid w:val="00F46123"/>
    <w:rsid w:val="00F4620B"/>
    <w:rsid w:val="00F465A7"/>
    <w:rsid w:val="00F4669A"/>
    <w:rsid w:val="00F46868"/>
    <w:rsid w:val="00F46EAC"/>
    <w:rsid w:val="00F47024"/>
    <w:rsid w:val="00F50B7C"/>
    <w:rsid w:val="00F50EF7"/>
    <w:rsid w:val="00F51411"/>
    <w:rsid w:val="00F51AD6"/>
    <w:rsid w:val="00F5498A"/>
    <w:rsid w:val="00F550E6"/>
    <w:rsid w:val="00F55BC9"/>
    <w:rsid w:val="00F55F75"/>
    <w:rsid w:val="00F56595"/>
    <w:rsid w:val="00F56DC4"/>
    <w:rsid w:val="00F579D9"/>
    <w:rsid w:val="00F61231"/>
    <w:rsid w:val="00F6145C"/>
    <w:rsid w:val="00F61C24"/>
    <w:rsid w:val="00F61EA7"/>
    <w:rsid w:val="00F62382"/>
    <w:rsid w:val="00F62D48"/>
    <w:rsid w:val="00F632DB"/>
    <w:rsid w:val="00F63E88"/>
    <w:rsid w:val="00F656FE"/>
    <w:rsid w:val="00F65800"/>
    <w:rsid w:val="00F66684"/>
    <w:rsid w:val="00F678F7"/>
    <w:rsid w:val="00F679A0"/>
    <w:rsid w:val="00F70560"/>
    <w:rsid w:val="00F71092"/>
    <w:rsid w:val="00F72EAA"/>
    <w:rsid w:val="00F73537"/>
    <w:rsid w:val="00F73552"/>
    <w:rsid w:val="00F74345"/>
    <w:rsid w:val="00F74657"/>
    <w:rsid w:val="00F74A8A"/>
    <w:rsid w:val="00F74AEE"/>
    <w:rsid w:val="00F75318"/>
    <w:rsid w:val="00F75CEC"/>
    <w:rsid w:val="00F76473"/>
    <w:rsid w:val="00F76548"/>
    <w:rsid w:val="00F76BD8"/>
    <w:rsid w:val="00F76C4B"/>
    <w:rsid w:val="00F77C3D"/>
    <w:rsid w:val="00F8004F"/>
    <w:rsid w:val="00F8011C"/>
    <w:rsid w:val="00F80A0A"/>
    <w:rsid w:val="00F812D8"/>
    <w:rsid w:val="00F81D30"/>
    <w:rsid w:val="00F828FB"/>
    <w:rsid w:val="00F82B19"/>
    <w:rsid w:val="00F82B3E"/>
    <w:rsid w:val="00F82E45"/>
    <w:rsid w:val="00F83D00"/>
    <w:rsid w:val="00F83D96"/>
    <w:rsid w:val="00F846E9"/>
    <w:rsid w:val="00F85F3B"/>
    <w:rsid w:val="00F86BB2"/>
    <w:rsid w:val="00F874AF"/>
    <w:rsid w:val="00F87E80"/>
    <w:rsid w:val="00F900EB"/>
    <w:rsid w:val="00F91CF7"/>
    <w:rsid w:val="00F91DA9"/>
    <w:rsid w:val="00F9212D"/>
    <w:rsid w:val="00F923F1"/>
    <w:rsid w:val="00F92480"/>
    <w:rsid w:val="00F925D3"/>
    <w:rsid w:val="00F931B3"/>
    <w:rsid w:val="00F936CA"/>
    <w:rsid w:val="00F93948"/>
    <w:rsid w:val="00F94576"/>
    <w:rsid w:val="00F948EF"/>
    <w:rsid w:val="00F95045"/>
    <w:rsid w:val="00F95D1D"/>
    <w:rsid w:val="00F95EA0"/>
    <w:rsid w:val="00F96278"/>
    <w:rsid w:val="00F96420"/>
    <w:rsid w:val="00F965DA"/>
    <w:rsid w:val="00F9714D"/>
    <w:rsid w:val="00F979D5"/>
    <w:rsid w:val="00F97D13"/>
    <w:rsid w:val="00FA0320"/>
    <w:rsid w:val="00FA0A48"/>
    <w:rsid w:val="00FA0ADE"/>
    <w:rsid w:val="00FA1DF0"/>
    <w:rsid w:val="00FA22EC"/>
    <w:rsid w:val="00FA2D01"/>
    <w:rsid w:val="00FA3B47"/>
    <w:rsid w:val="00FA3D3D"/>
    <w:rsid w:val="00FA406A"/>
    <w:rsid w:val="00FA4986"/>
    <w:rsid w:val="00FA4C91"/>
    <w:rsid w:val="00FA59A3"/>
    <w:rsid w:val="00FA6DC4"/>
    <w:rsid w:val="00FA7004"/>
    <w:rsid w:val="00FA75E3"/>
    <w:rsid w:val="00FA76D0"/>
    <w:rsid w:val="00FA797E"/>
    <w:rsid w:val="00FB0134"/>
    <w:rsid w:val="00FB05C4"/>
    <w:rsid w:val="00FB06B1"/>
    <w:rsid w:val="00FB0774"/>
    <w:rsid w:val="00FB07FF"/>
    <w:rsid w:val="00FB0B38"/>
    <w:rsid w:val="00FB187E"/>
    <w:rsid w:val="00FB1B3C"/>
    <w:rsid w:val="00FB245D"/>
    <w:rsid w:val="00FB2BFB"/>
    <w:rsid w:val="00FB2DD2"/>
    <w:rsid w:val="00FB3050"/>
    <w:rsid w:val="00FB46CE"/>
    <w:rsid w:val="00FB4952"/>
    <w:rsid w:val="00FB503A"/>
    <w:rsid w:val="00FB516C"/>
    <w:rsid w:val="00FB51E9"/>
    <w:rsid w:val="00FB5A71"/>
    <w:rsid w:val="00FB6018"/>
    <w:rsid w:val="00FB6877"/>
    <w:rsid w:val="00FB68A9"/>
    <w:rsid w:val="00FB760B"/>
    <w:rsid w:val="00FB78CB"/>
    <w:rsid w:val="00FB7A4A"/>
    <w:rsid w:val="00FC0EFC"/>
    <w:rsid w:val="00FC1C39"/>
    <w:rsid w:val="00FC1CED"/>
    <w:rsid w:val="00FC1FA9"/>
    <w:rsid w:val="00FC2313"/>
    <w:rsid w:val="00FC328B"/>
    <w:rsid w:val="00FC358B"/>
    <w:rsid w:val="00FC407D"/>
    <w:rsid w:val="00FC44A8"/>
    <w:rsid w:val="00FC4853"/>
    <w:rsid w:val="00FC5A84"/>
    <w:rsid w:val="00FC5F05"/>
    <w:rsid w:val="00FC5F5C"/>
    <w:rsid w:val="00FC67D4"/>
    <w:rsid w:val="00FC69C6"/>
    <w:rsid w:val="00FC758E"/>
    <w:rsid w:val="00FD0236"/>
    <w:rsid w:val="00FD0994"/>
    <w:rsid w:val="00FD0E52"/>
    <w:rsid w:val="00FD0FD1"/>
    <w:rsid w:val="00FD1316"/>
    <w:rsid w:val="00FD18F4"/>
    <w:rsid w:val="00FD1C4D"/>
    <w:rsid w:val="00FD31C8"/>
    <w:rsid w:val="00FD355E"/>
    <w:rsid w:val="00FD3DFB"/>
    <w:rsid w:val="00FD4249"/>
    <w:rsid w:val="00FD54DB"/>
    <w:rsid w:val="00FD619F"/>
    <w:rsid w:val="00FD640A"/>
    <w:rsid w:val="00FD6EDB"/>
    <w:rsid w:val="00FD71C0"/>
    <w:rsid w:val="00FE0511"/>
    <w:rsid w:val="00FE1EF5"/>
    <w:rsid w:val="00FE1F93"/>
    <w:rsid w:val="00FE2303"/>
    <w:rsid w:val="00FE274A"/>
    <w:rsid w:val="00FE2C62"/>
    <w:rsid w:val="00FE2F96"/>
    <w:rsid w:val="00FE339D"/>
    <w:rsid w:val="00FE3471"/>
    <w:rsid w:val="00FE4286"/>
    <w:rsid w:val="00FE43A7"/>
    <w:rsid w:val="00FE56CD"/>
    <w:rsid w:val="00FE5DAD"/>
    <w:rsid w:val="00FE6DB9"/>
    <w:rsid w:val="00FE70AE"/>
    <w:rsid w:val="00FE70BF"/>
    <w:rsid w:val="00FE71F0"/>
    <w:rsid w:val="00FE72A2"/>
    <w:rsid w:val="00FF006F"/>
    <w:rsid w:val="00FF0351"/>
    <w:rsid w:val="00FF1696"/>
    <w:rsid w:val="00FF26E4"/>
    <w:rsid w:val="00FF3049"/>
    <w:rsid w:val="00FF3738"/>
    <w:rsid w:val="00FF43A3"/>
    <w:rsid w:val="00FF4AF2"/>
    <w:rsid w:val="00FF5263"/>
    <w:rsid w:val="00FF53F1"/>
    <w:rsid w:val="00FF59C0"/>
    <w:rsid w:val="00FF6839"/>
    <w:rsid w:val="00FF7586"/>
    <w:rsid w:val="00FF766D"/>
    <w:rsid w:val="00FF7CA6"/>
    <w:rsid w:val="01290F7E"/>
    <w:rsid w:val="015D1E09"/>
    <w:rsid w:val="02697903"/>
    <w:rsid w:val="02F96569"/>
    <w:rsid w:val="030C0927"/>
    <w:rsid w:val="03EA7B21"/>
    <w:rsid w:val="05F83EAE"/>
    <w:rsid w:val="063E7D85"/>
    <w:rsid w:val="06E62795"/>
    <w:rsid w:val="07293586"/>
    <w:rsid w:val="07295285"/>
    <w:rsid w:val="07382DFF"/>
    <w:rsid w:val="07636392"/>
    <w:rsid w:val="07770C56"/>
    <w:rsid w:val="08B413A5"/>
    <w:rsid w:val="092217DD"/>
    <w:rsid w:val="093A7294"/>
    <w:rsid w:val="0A263993"/>
    <w:rsid w:val="0A2D3AC2"/>
    <w:rsid w:val="0AA755DF"/>
    <w:rsid w:val="0B120D44"/>
    <w:rsid w:val="0BD27BF6"/>
    <w:rsid w:val="0C3B3C7D"/>
    <w:rsid w:val="0CAB2EAE"/>
    <w:rsid w:val="0CDC6FDF"/>
    <w:rsid w:val="0D5663AB"/>
    <w:rsid w:val="0D621C7D"/>
    <w:rsid w:val="0D75300E"/>
    <w:rsid w:val="0E2864C0"/>
    <w:rsid w:val="0E73034D"/>
    <w:rsid w:val="0F13775A"/>
    <w:rsid w:val="0F5F45FE"/>
    <w:rsid w:val="0F9A112B"/>
    <w:rsid w:val="106D2F64"/>
    <w:rsid w:val="10B63710"/>
    <w:rsid w:val="10F10820"/>
    <w:rsid w:val="111C2F7A"/>
    <w:rsid w:val="11665CA1"/>
    <w:rsid w:val="11CB2A8D"/>
    <w:rsid w:val="124008DF"/>
    <w:rsid w:val="12FD7AAD"/>
    <w:rsid w:val="13951726"/>
    <w:rsid w:val="14396509"/>
    <w:rsid w:val="14DD2C3C"/>
    <w:rsid w:val="152E01EC"/>
    <w:rsid w:val="15AC7AB9"/>
    <w:rsid w:val="16087E1D"/>
    <w:rsid w:val="17701D14"/>
    <w:rsid w:val="17735226"/>
    <w:rsid w:val="18172185"/>
    <w:rsid w:val="189F624C"/>
    <w:rsid w:val="1A1C66C0"/>
    <w:rsid w:val="1A42393B"/>
    <w:rsid w:val="1AAD45DE"/>
    <w:rsid w:val="1B046F80"/>
    <w:rsid w:val="1B3267B5"/>
    <w:rsid w:val="1B40161D"/>
    <w:rsid w:val="1B441859"/>
    <w:rsid w:val="1B6606B1"/>
    <w:rsid w:val="1C5E7925"/>
    <w:rsid w:val="1CFD070F"/>
    <w:rsid w:val="1D5F6196"/>
    <w:rsid w:val="1D6132A5"/>
    <w:rsid w:val="1D76676B"/>
    <w:rsid w:val="1D8E56D5"/>
    <w:rsid w:val="1E7A43DA"/>
    <w:rsid w:val="1F251C74"/>
    <w:rsid w:val="1FE7539E"/>
    <w:rsid w:val="20671BE0"/>
    <w:rsid w:val="20963CB8"/>
    <w:rsid w:val="20A81A1B"/>
    <w:rsid w:val="20B07FB6"/>
    <w:rsid w:val="20B646FB"/>
    <w:rsid w:val="213B74B1"/>
    <w:rsid w:val="215A2310"/>
    <w:rsid w:val="21DE318A"/>
    <w:rsid w:val="21EF5B80"/>
    <w:rsid w:val="22576990"/>
    <w:rsid w:val="22F47480"/>
    <w:rsid w:val="23DE1C48"/>
    <w:rsid w:val="240210CD"/>
    <w:rsid w:val="242D7AED"/>
    <w:rsid w:val="24BF09F7"/>
    <w:rsid w:val="252D53FE"/>
    <w:rsid w:val="25553252"/>
    <w:rsid w:val="25EC2D81"/>
    <w:rsid w:val="277057A2"/>
    <w:rsid w:val="29206EB8"/>
    <w:rsid w:val="29595666"/>
    <w:rsid w:val="29874881"/>
    <w:rsid w:val="29E325E0"/>
    <w:rsid w:val="2A452503"/>
    <w:rsid w:val="2B4C0E5F"/>
    <w:rsid w:val="2BA936A8"/>
    <w:rsid w:val="2C315A5A"/>
    <w:rsid w:val="2C4B1C25"/>
    <w:rsid w:val="2D9E56F5"/>
    <w:rsid w:val="2E667F96"/>
    <w:rsid w:val="2E8226AB"/>
    <w:rsid w:val="2FD065E6"/>
    <w:rsid w:val="2FD96870"/>
    <w:rsid w:val="2FEB3DE3"/>
    <w:rsid w:val="30580BC9"/>
    <w:rsid w:val="307559FB"/>
    <w:rsid w:val="311E2ED7"/>
    <w:rsid w:val="315619EE"/>
    <w:rsid w:val="315C449C"/>
    <w:rsid w:val="31B82709"/>
    <w:rsid w:val="31D05482"/>
    <w:rsid w:val="32400B34"/>
    <w:rsid w:val="329E6876"/>
    <w:rsid w:val="333015F2"/>
    <w:rsid w:val="334B6320"/>
    <w:rsid w:val="33D934D4"/>
    <w:rsid w:val="33FE2F6A"/>
    <w:rsid w:val="340E07E5"/>
    <w:rsid w:val="34235BF7"/>
    <w:rsid w:val="34AB1BB7"/>
    <w:rsid w:val="357F234A"/>
    <w:rsid w:val="358C5FA8"/>
    <w:rsid w:val="35C15DF1"/>
    <w:rsid w:val="36074A7F"/>
    <w:rsid w:val="36923549"/>
    <w:rsid w:val="36B75FBF"/>
    <w:rsid w:val="36BD0C45"/>
    <w:rsid w:val="37E00298"/>
    <w:rsid w:val="386D459A"/>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456151"/>
    <w:rsid w:val="46577FD6"/>
    <w:rsid w:val="46D955A7"/>
    <w:rsid w:val="47133957"/>
    <w:rsid w:val="47A07E0C"/>
    <w:rsid w:val="4870272E"/>
    <w:rsid w:val="497A3921"/>
    <w:rsid w:val="49DC7715"/>
    <w:rsid w:val="4A023139"/>
    <w:rsid w:val="4A7B576F"/>
    <w:rsid w:val="4AF561A9"/>
    <w:rsid w:val="4C4A0649"/>
    <w:rsid w:val="4C7E5ECA"/>
    <w:rsid w:val="4C876AA5"/>
    <w:rsid w:val="4CC171B2"/>
    <w:rsid w:val="4D0E00FB"/>
    <w:rsid w:val="4D176606"/>
    <w:rsid w:val="4DE65E10"/>
    <w:rsid w:val="4DEC4FB0"/>
    <w:rsid w:val="4E075D8A"/>
    <w:rsid w:val="4EC00FAD"/>
    <w:rsid w:val="4ECB59F8"/>
    <w:rsid w:val="4EEC7D97"/>
    <w:rsid w:val="4F382932"/>
    <w:rsid w:val="4F9843DC"/>
    <w:rsid w:val="4FC62A8C"/>
    <w:rsid w:val="4FE20F0D"/>
    <w:rsid w:val="4FE51552"/>
    <w:rsid w:val="502C6418"/>
    <w:rsid w:val="50504C4B"/>
    <w:rsid w:val="506E63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406816"/>
    <w:rsid w:val="588743D1"/>
    <w:rsid w:val="5887701A"/>
    <w:rsid w:val="59812893"/>
    <w:rsid w:val="598C77DF"/>
    <w:rsid w:val="59C0439F"/>
    <w:rsid w:val="5ABE2233"/>
    <w:rsid w:val="5BDF5D95"/>
    <w:rsid w:val="5BFE7528"/>
    <w:rsid w:val="5D5253FD"/>
    <w:rsid w:val="5E2467F1"/>
    <w:rsid w:val="5EF3178A"/>
    <w:rsid w:val="5F1A2B43"/>
    <w:rsid w:val="5FB837BB"/>
    <w:rsid w:val="60CC405A"/>
    <w:rsid w:val="61E215D8"/>
    <w:rsid w:val="621B3775"/>
    <w:rsid w:val="62364782"/>
    <w:rsid w:val="6394356A"/>
    <w:rsid w:val="63C61B2C"/>
    <w:rsid w:val="63D40BE9"/>
    <w:rsid w:val="64102431"/>
    <w:rsid w:val="64A5243A"/>
    <w:rsid w:val="64F531DE"/>
    <w:rsid w:val="65325463"/>
    <w:rsid w:val="65373578"/>
    <w:rsid w:val="67144B33"/>
    <w:rsid w:val="671F124A"/>
    <w:rsid w:val="677A33C6"/>
    <w:rsid w:val="681F6961"/>
    <w:rsid w:val="68610A2F"/>
    <w:rsid w:val="68805514"/>
    <w:rsid w:val="69316E2F"/>
    <w:rsid w:val="694E2071"/>
    <w:rsid w:val="69766163"/>
    <w:rsid w:val="697A3B33"/>
    <w:rsid w:val="69CF3D8B"/>
    <w:rsid w:val="69D44760"/>
    <w:rsid w:val="6A2C20EF"/>
    <w:rsid w:val="6A520EC7"/>
    <w:rsid w:val="6AF87E20"/>
    <w:rsid w:val="6B322639"/>
    <w:rsid w:val="6C636C38"/>
    <w:rsid w:val="6C9553F6"/>
    <w:rsid w:val="6DB34098"/>
    <w:rsid w:val="6DB545B6"/>
    <w:rsid w:val="6DE02FB4"/>
    <w:rsid w:val="6E514CED"/>
    <w:rsid w:val="6E7C7C1F"/>
    <w:rsid w:val="6EB563D5"/>
    <w:rsid w:val="6ED92677"/>
    <w:rsid w:val="6EFA4214"/>
    <w:rsid w:val="6F225983"/>
    <w:rsid w:val="6FB026F5"/>
    <w:rsid w:val="6FFC5590"/>
    <w:rsid w:val="706D1DD0"/>
    <w:rsid w:val="70856B87"/>
    <w:rsid w:val="70D527EE"/>
    <w:rsid w:val="715B5300"/>
    <w:rsid w:val="716D6151"/>
    <w:rsid w:val="71D27F8A"/>
    <w:rsid w:val="72553024"/>
    <w:rsid w:val="728F45B2"/>
    <w:rsid w:val="73122968"/>
    <w:rsid w:val="731F5D5E"/>
    <w:rsid w:val="73C51AD5"/>
    <w:rsid w:val="741E793C"/>
    <w:rsid w:val="745E3944"/>
    <w:rsid w:val="7635099D"/>
    <w:rsid w:val="77057DE8"/>
    <w:rsid w:val="77762421"/>
    <w:rsid w:val="77B56B1F"/>
    <w:rsid w:val="780F09F4"/>
    <w:rsid w:val="78A90480"/>
    <w:rsid w:val="7A364017"/>
    <w:rsid w:val="7A8265E1"/>
    <w:rsid w:val="7B686D42"/>
    <w:rsid w:val="7B841746"/>
    <w:rsid w:val="7C6C5AC7"/>
    <w:rsid w:val="7CC6544B"/>
    <w:rsid w:val="7CE57296"/>
    <w:rsid w:val="7D0239FF"/>
    <w:rsid w:val="7D5E40CD"/>
    <w:rsid w:val="7DCD56F2"/>
    <w:rsid w:val="7F001CE7"/>
    <w:rsid w:val="7F346DC0"/>
    <w:rsid w:val="7FB12AF2"/>
    <w:rsid w:val="7FE47E50"/>
    <w:rsid w:val="DDFB8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nhideWhenUsed="0" w:uiPriority="0" w:semiHidden="0" w:name="heading 3" w:locked="1"/>
    <w:lsdException w:qFormat="1" w:unhideWhenUsed="0" w:uiPriority="0" w:semiHidden="0" w:name="heading 4" w:locked="1"/>
    <w:lsdException w:qFormat="1" w:uiPriority="0" w:semiHidden="0" w:name="heading 5" w:locked="1"/>
    <w:lsdException w:qFormat="1" w:uiPriority="0" w:semiHidden="0" w:name="heading 6" w:locked="1"/>
    <w:lsdException w:qFormat="1" w:uiPriority="0" w:semiHidden="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ocked="1"/>
    <w:lsdException w:uiPriority="0" w:name="toc 2" w:locked="1"/>
    <w:lsdException w:uiPriority="0" w:name="toc 3" w:locked="1"/>
    <w:lsdException w:uiPriority="0" w:name="toc 4" w:locked="1"/>
    <w:lsdException w:qFormat="1" w:uiPriority="39" w:semiHidden="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ocked="1"/>
    <w:lsdException w:uiPriority="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ocked="1"/>
    <w:lsdException w:qFormat="1" w:unhideWhenUsed="0" w:uiPriority="0" w:semiHidden="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nhideWhenUsed="0" w:uiPriority="0" w:semiHidden="0" w:name="List Number" w:locked="1"/>
    <w:lsdException w:uiPriority="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qFormat="1" w:unhideWhenUsed="0" w:uiPriority="99" w:semiHidden="0" w:name="Note Heading" w:locked="1"/>
    <w:lsdException w:qFormat="1" w:unhideWhenUsed="0" w:uiPriority="0" w:semiHidden="0" w:name="Body Text 2" w:locked="1"/>
    <w:lsdException w:uiPriority="0" w:name="Body Text 3" w:locked="1"/>
    <w:lsdException w:qFormat="1" w:unhideWhenUsed="0" w:uiPriority="0" w:semiHidden="0" w:name="Body Text Indent 2" w:locked="1"/>
    <w:lsdException w:uiPriority="0" w:name="Body Text Indent 3" w:locked="1"/>
    <w:lsdException w:uiPriority="0" w:name="Block Text" w:locked="1"/>
    <w:lsdException w:qFormat="1" w:uiPriority="99" w:semiHidden="0" w:name="Hyperlink" w:locked="1"/>
    <w:lsdException w:uiPriority="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99"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59" w:semiHidden="0" w:name="Table Grid"/>
    <w:lsdException w:uiPriority="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8">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9">
    <w:name w:val="heading 2"/>
    <w:basedOn w:val="1"/>
    <w:next w:val="1"/>
    <w:link w:val="74"/>
    <w:unhideWhenUsed/>
    <w:qFormat/>
    <w:locked/>
    <w:uiPriority w:val="0"/>
    <w:pPr>
      <w:keepNext/>
      <w:keepLines/>
      <w:spacing w:before="260" w:after="260" w:line="416" w:lineRule="auto"/>
      <w:outlineLvl w:val="1"/>
    </w:pPr>
    <w:rPr>
      <w:rFonts w:ascii="Cambria" w:hAnsi="Cambria"/>
      <w:b/>
      <w:bCs/>
      <w:sz w:val="32"/>
      <w:szCs w:val="32"/>
    </w:rPr>
  </w:style>
  <w:style w:type="paragraph" w:styleId="10">
    <w:name w:val="heading 3"/>
    <w:basedOn w:val="1"/>
    <w:next w:val="1"/>
    <w:qFormat/>
    <w:locked/>
    <w:uiPriority w:val="0"/>
    <w:pPr>
      <w:keepNext/>
      <w:keepLines/>
      <w:spacing w:before="260" w:after="260" w:line="416" w:lineRule="auto"/>
      <w:outlineLvl w:val="2"/>
    </w:pPr>
    <w:rPr>
      <w:b/>
      <w:bCs/>
      <w:kern w:val="0"/>
      <w:sz w:val="32"/>
      <w:szCs w:val="32"/>
    </w:rPr>
  </w:style>
  <w:style w:type="paragraph" w:styleId="11">
    <w:name w:val="heading 4"/>
    <w:basedOn w:val="1"/>
    <w:next w:val="12"/>
    <w:qFormat/>
    <w:locked/>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13">
    <w:name w:val="heading 5"/>
    <w:next w:val="1"/>
    <w:link w:val="143"/>
    <w:unhideWhenUsed/>
    <w:qFormat/>
    <w:locked/>
    <w:uiPriority w:val="0"/>
    <w:pPr>
      <w:keepNext/>
      <w:keepLines/>
      <w:tabs>
        <w:tab w:val="left" w:pos="420"/>
      </w:tabs>
      <w:spacing w:line="360" w:lineRule="auto"/>
      <w:ind w:left="991" w:hanging="991"/>
      <w:outlineLvl w:val="4"/>
    </w:pPr>
    <w:rPr>
      <w:rFonts w:ascii="Times New Roman" w:hAnsi="Times New Roman" w:eastAsia="宋体" w:cs="Times New Roman"/>
      <w:bCs/>
      <w:kern w:val="2"/>
      <w:sz w:val="24"/>
      <w:szCs w:val="28"/>
      <w:lang w:val="en-US" w:eastAsia="zh-CN" w:bidi="ar-SA"/>
    </w:rPr>
  </w:style>
  <w:style w:type="paragraph" w:styleId="14">
    <w:name w:val="heading 6"/>
    <w:basedOn w:val="1"/>
    <w:next w:val="1"/>
    <w:link w:val="142"/>
    <w:unhideWhenUsed/>
    <w:qFormat/>
    <w:locked/>
    <w:uiPriority w:val="0"/>
    <w:pPr>
      <w:keepNext/>
      <w:keepLines/>
      <w:spacing w:before="240" w:after="64" w:line="320" w:lineRule="auto"/>
      <w:outlineLvl w:val="5"/>
    </w:pPr>
    <w:rPr>
      <w:rFonts w:asciiTheme="majorHAnsi" w:hAnsiTheme="majorHAnsi" w:eastAsiaTheme="majorEastAsia" w:cstheme="majorBidi"/>
      <w:b/>
      <w:bCs/>
      <w:sz w:val="24"/>
    </w:rPr>
  </w:style>
  <w:style w:type="paragraph" w:styleId="15">
    <w:name w:val="heading 7"/>
    <w:next w:val="1"/>
    <w:link w:val="144"/>
    <w:unhideWhenUsed/>
    <w:qFormat/>
    <w:locked/>
    <w:uiPriority w:val="0"/>
    <w:pPr>
      <w:keepNext/>
      <w:keepLines/>
      <w:tabs>
        <w:tab w:val="left" w:pos="420"/>
      </w:tabs>
      <w:spacing w:line="360" w:lineRule="auto"/>
      <w:ind w:left="1275" w:hanging="1275"/>
      <w:outlineLvl w:val="6"/>
    </w:pPr>
    <w:rPr>
      <w:rFonts w:ascii="Times New Roman" w:hAnsi="Times New Roman" w:eastAsia="宋体" w:cs="Times New Roman"/>
      <w:bCs/>
      <w:kern w:val="2"/>
      <w:sz w:val="24"/>
      <w:szCs w:val="24"/>
      <w:lang w:val="en-US" w:eastAsia="zh-CN" w:bidi="ar-SA"/>
    </w:rPr>
  </w:style>
  <w:style w:type="character" w:default="1" w:styleId="3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customStyle="1" w:styleId="2">
    <w:name w:val="Default"/>
    <w:basedOn w:val="3"/>
    <w:next w:val="4"/>
    <w:link w:val="66"/>
    <w:qFormat/>
    <w:uiPriority w:val="0"/>
    <w:pPr>
      <w:autoSpaceDE w:val="0"/>
      <w:autoSpaceDN w:val="0"/>
      <w:adjustRightInd w:val="0"/>
    </w:pPr>
    <w:rPr>
      <w:rFonts w:ascii="宋体" w:cs="宋体"/>
      <w:sz w:val="24"/>
    </w:rPr>
  </w:style>
  <w:style w:type="paragraph" w:customStyle="1" w:styleId="3">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styleId="4">
    <w:name w:val="Body Text First Indent 2"/>
    <w:basedOn w:val="5"/>
    <w:next w:val="1"/>
    <w:link w:val="75"/>
    <w:qFormat/>
    <w:locked/>
    <w:uiPriority w:val="0"/>
    <w:pPr>
      <w:ind w:firstLine="420" w:firstLineChars="200"/>
    </w:pPr>
    <w:rPr>
      <w:kern w:val="2"/>
      <w:sz w:val="21"/>
      <w:szCs w:val="24"/>
    </w:rPr>
  </w:style>
  <w:style w:type="paragraph" w:styleId="5">
    <w:name w:val="Body Text Indent"/>
    <w:basedOn w:val="1"/>
    <w:next w:val="6"/>
    <w:link w:val="44"/>
    <w:qFormat/>
    <w:uiPriority w:val="0"/>
    <w:pPr>
      <w:spacing w:after="120"/>
      <w:ind w:left="420" w:leftChars="200"/>
    </w:pPr>
    <w:rPr>
      <w:kern w:val="0"/>
      <w:sz w:val="24"/>
      <w:szCs w:val="20"/>
    </w:rPr>
  </w:style>
  <w:style w:type="paragraph" w:styleId="6">
    <w:name w:val="header"/>
    <w:basedOn w:val="1"/>
    <w:next w:val="7"/>
    <w:link w:val="49"/>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7">
    <w:name w:val="样式5"/>
    <w:basedOn w:val="1"/>
    <w:qFormat/>
    <w:uiPriority w:val="0"/>
    <w:pPr>
      <w:snapToGrid w:val="0"/>
      <w:spacing w:line="360" w:lineRule="auto"/>
      <w:ind w:firstLine="510"/>
    </w:pPr>
    <w:rPr>
      <w:sz w:val="24"/>
    </w:rPr>
  </w:style>
  <w:style w:type="paragraph" w:styleId="12">
    <w:name w:val="Normal Indent"/>
    <w:basedOn w:val="1"/>
    <w:next w:val="11"/>
    <w:link w:val="77"/>
    <w:qFormat/>
    <w:locked/>
    <w:uiPriority w:val="99"/>
    <w:pPr>
      <w:ind w:firstLine="420"/>
    </w:pPr>
    <w:rPr>
      <w:szCs w:val="20"/>
    </w:rPr>
  </w:style>
  <w:style w:type="paragraph" w:styleId="16">
    <w:name w:val="Note Heading"/>
    <w:basedOn w:val="1"/>
    <w:next w:val="1"/>
    <w:link w:val="92"/>
    <w:qFormat/>
    <w:locked/>
    <w:uiPriority w:val="99"/>
    <w:pPr>
      <w:jc w:val="center"/>
    </w:pPr>
  </w:style>
  <w:style w:type="paragraph" w:styleId="17">
    <w:name w:val="caption"/>
    <w:basedOn w:val="1"/>
    <w:next w:val="1"/>
    <w:link w:val="62"/>
    <w:qFormat/>
    <w:locked/>
    <w:uiPriority w:val="0"/>
    <w:pPr>
      <w:adjustRightInd w:val="0"/>
      <w:snapToGrid w:val="0"/>
      <w:jc w:val="center"/>
    </w:pPr>
    <w:rPr>
      <w:rFonts w:ascii="Calibri" w:hAnsi="Calibri"/>
      <w:b/>
      <w:color w:val="000000"/>
      <w:sz w:val="24"/>
      <w:szCs w:val="21"/>
    </w:rPr>
  </w:style>
  <w:style w:type="paragraph" w:styleId="18">
    <w:name w:val="Document Map"/>
    <w:basedOn w:val="1"/>
    <w:link w:val="76"/>
    <w:qFormat/>
    <w:locked/>
    <w:uiPriority w:val="0"/>
    <w:rPr>
      <w:rFonts w:ascii="宋体"/>
      <w:sz w:val="18"/>
      <w:szCs w:val="18"/>
    </w:rPr>
  </w:style>
  <w:style w:type="paragraph" w:styleId="19">
    <w:name w:val="annotation text"/>
    <w:basedOn w:val="1"/>
    <w:link w:val="54"/>
    <w:semiHidden/>
    <w:qFormat/>
    <w:uiPriority w:val="0"/>
    <w:pPr>
      <w:jc w:val="left"/>
    </w:pPr>
    <w:rPr>
      <w:kern w:val="0"/>
      <w:sz w:val="24"/>
      <w:szCs w:val="20"/>
    </w:rPr>
  </w:style>
  <w:style w:type="paragraph" w:styleId="20">
    <w:name w:val="Body Text"/>
    <w:basedOn w:val="1"/>
    <w:next w:val="1"/>
    <w:link w:val="56"/>
    <w:qFormat/>
    <w:uiPriority w:val="0"/>
    <w:pPr>
      <w:widowControl/>
      <w:snapToGrid w:val="0"/>
      <w:spacing w:before="60" w:after="160" w:line="259" w:lineRule="auto"/>
      <w:ind w:right="113"/>
    </w:pPr>
    <w:rPr>
      <w:kern w:val="0"/>
      <w:sz w:val="18"/>
      <w:szCs w:val="20"/>
    </w:rPr>
  </w:style>
  <w:style w:type="paragraph" w:styleId="21">
    <w:name w:val="toc 5"/>
    <w:basedOn w:val="1"/>
    <w:next w:val="1"/>
    <w:unhideWhenUsed/>
    <w:qFormat/>
    <w:locked/>
    <w:uiPriority w:val="39"/>
    <w:pPr>
      <w:ind w:left="1680" w:leftChars="800"/>
    </w:pPr>
  </w:style>
  <w:style w:type="paragraph" w:styleId="22">
    <w:name w:val="Plain Text"/>
    <w:basedOn w:val="1"/>
    <w:next w:val="23"/>
    <w:qFormat/>
    <w:locked/>
    <w:uiPriority w:val="99"/>
    <w:rPr>
      <w:rFonts w:ascii="宋体" w:hAnsi="Courier New" w:cs="Courier New" w:eastAsiaTheme="minorEastAsia"/>
      <w:szCs w:val="21"/>
    </w:rPr>
  </w:style>
  <w:style w:type="paragraph" w:styleId="23">
    <w:name w:val="toc 1"/>
    <w:basedOn w:val="1"/>
    <w:next w:val="1"/>
    <w:qFormat/>
    <w:locked/>
    <w:uiPriority w:val="39"/>
  </w:style>
  <w:style w:type="paragraph" w:styleId="24">
    <w:name w:val="Date"/>
    <w:basedOn w:val="1"/>
    <w:next w:val="1"/>
    <w:link w:val="42"/>
    <w:qFormat/>
    <w:uiPriority w:val="0"/>
    <w:pPr>
      <w:ind w:left="100" w:leftChars="2500"/>
    </w:pPr>
    <w:rPr>
      <w:kern w:val="0"/>
      <w:sz w:val="24"/>
      <w:szCs w:val="20"/>
    </w:rPr>
  </w:style>
  <w:style w:type="paragraph" w:styleId="25">
    <w:name w:val="Body Text Indent 2"/>
    <w:basedOn w:val="1"/>
    <w:next w:val="26"/>
    <w:link w:val="71"/>
    <w:qFormat/>
    <w:locked/>
    <w:uiPriority w:val="0"/>
    <w:pPr>
      <w:spacing w:after="120" w:line="480" w:lineRule="auto"/>
      <w:ind w:left="420" w:leftChars="200"/>
    </w:pPr>
  </w:style>
  <w:style w:type="paragraph" w:customStyle="1" w:styleId="26">
    <w:name w:val="reader-word-layer reader-word-s46-2"/>
    <w:basedOn w:val="1"/>
    <w:next w:val="27"/>
    <w:qFormat/>
    <w:uiPriority w:val="0"/>
    <w:pPr>
      <w:widowControl/>
      <w:spacing w:before="280" w:after="280"/>
    </w:pPr>
    <w:rPr>
      <w:rFonts w:ascii="宋体"/>
      <w:sz w:val="24"/>
    </w:rPr>
  </w:style>
  <w:style w:type="paragraph" w:customStyle="1" w:styleId="27">
    <w:name w:val="xl35"/>
    <w:basedOn w:val="1"/>
    <w:next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right"/>
    </w:pPr>
    <w:rPr>
      <w:rFonts w:ascii="宋体" w:hAnsi="宋体" w:cs="宋体"/>
      <w:kern w:val="0"/>
      <w:sz w:val="24"/>
    </w:rPr>
  </w:style>
  <w:style w:type="paragraph" w:styleId="28">
    <w:name w:val="Balloon Text"/>
    <w:basedOn w:val="1"/>
    <w:link w:val="50"/>
    <w:semiHidden/>
    <w:qFormat/>
    <w:uiPriority w:val="0"/>
    <w:rPr>
      <w:kern w:val="0"/>
      <w:sz w:val="18"/>
      <w:szCs w:val="20"/>
    </w:rPr>
  </w:style>
  <w:style w:type="paragraph" w:styleId="29">
    <w:name w:val="footer"/>
    <w:basedOn w:val="1"/>
    <w:link w:val="43"/>
    <w:qFormat/>
    <w:uiPriority w:val="99"/>
    <w:pPr>
      <w:tabs>
        <w:tab w:val="center" w:pos="4153"/>
        <w:tab w:val="right" w:pos="8306"/>
      </w:tabs>
      <w:snapToGrid w:val="0"/>
      <w:jc w:val="left"/>
    </w:pPr>
    <w:rPr>
      <w:kern w:val="0"/>
      <w:sz w:val="18"/>
      <w:szCs w:val="20"/>
    </w:rPr>
  </w:style>
  <w:style w:type="paragraph" w:styleId="30">
    <w:name w:val="Body Text 2"/>
    <w:basedOn w:val="1"/>
    <w:link w:val="89"/>
    <w:qFormat/>
    <w:locked/>
    <w:uiPriority w:val="0"/>
    <w:pPr>
      <w:spacing w:after="120" w:line="480" w:lineRule="auto"/>
    </w:pPr>
  </w:style>
  <w:style w:type="paragraph" w:styleId="31">
    <w:name w:val="Normal (Web)"/>
    <w:basedOn w:val="1"/>
    <w:link w:val="45"/>
    <w:qFormat/>
    <w:uiPriority w:val="99"/>
    <w:pPr>
      <w:widowControl/>
      <w:spacing w:before="100" w:beforeAutospacing="1" w:after="100" w:afterAutospacing="1"/>
      <w:jc w:val="left"/>
    </w:pPr>
    <w:rPr>
      <w:rFonts w:ascii="宋体" w:hAnsi="宋体"/>
      <w:kern w:val="0"/>
      <w:sz w:val="24"/>
      <w:szCs w:val="20"/>
    </w:rPr>
  </w:style>
  <w:style w:type="paragraph" w:styleId="32">
    <w:name w:val="annotation subject"/>
    <w:basedOn w:val="19"/>
    <w:next w:val="19"/>
    <w:link w:val="55"/>
    <w:semiHidden/>
    <w:qFormat/>
    <w:uiPriority w:val="0"/>
    <w:rPr>
      <w:b/>
    </w:rPr>
  </w:style>
  <w:style w:type="paragraph" w:styleId="33">
    <w:name w:val="Body Text First Indent"/>
    <w:basedOn w:val="20"/>
    <w:next w:val="1"/>
    <w:link w:val="64"/>
    <w:qFormat/>
    <w:locked/>
    <w:uiPriority w:val="0"/>
    <w:pPr>
      <w:widowControl w:val="0"/>
      <w:snapToGrid/>
      <w:spacing w:before="0" w:after="120" w:line="240" w:lineRule="auto"/>
      <w:ind w:right="0" w:firstLine="420" w:firstLineChars="100"/>
    </w:pPr>
    <w:rPr>
      <w:rFonts w:ascii="Calibri" w:hAnsi="Calibri"/>
      <w:kern w:val="2"/>
      <w:sz w:val="21"/>
      <w:szCs w:val="24"/>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Table Grid 5"/>
    <w:basedOn w:val="34"/>
    <w:qFormat/>
    <w:locked/>
    <w:uiPriority w:val="0"/>
    <w:pPr>
      <w:widowControl w:val="0"/>
      <w:jc w:val="both"/>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38">
    <w:name w:val="Strong"/>
    <w:qFormat/>
    <w:locked/>
    <w:uiPriority w:val="0"/>
    <w:rPr>
      <w:b/>
      <w:bCs/>
    </w:rPr>
  </w:style>
  <w:style w:type="character" w:styleId="39">
    <w:name w:val="page number"/>
    <w:basedOn w:val="37"/>
    <w:qFormat/>
    <w:locked/>
    <w:uiPriority w:val="0"/>
  </w:style>
  <w:style w:type="character" w:styleId="40">
    <w:name w:val="Hyperlink"/>
    <w:basedOn w:val="37"/>
    <w:unhideWhenUsed/>
    <w:qFormat/>
    <w:locked/>
    <w:uiPriority w:val="99"/>
    <w:rPr>
      <w:color w:val="0000FF"/>
      <w:u w:val="single"/>
    </w:rPr>
  </w:style>
  <w:style w:type="character" w:styleId="41">
    <w:name w:val="annotation reference"/>
    <w:qFormat/>
    <w:uiPriority w:val="0"/>
    <w:rPr>
      <w:sz w:val="21"/>
    </w:rPr>
  </w:style>
  <w:style w:type="character" w:customStyle="1" w:styleId="42">
    <w:name w:val="日期 Char"/>
    <w:link w:val="24"/>
    <w:qFormat/>
    <w:locked/>
    <w:uiPriority w:val="0"/>
    <w:rPr>
      <w:rFonts w:ascii="Times New Roman" w:hAnsi="Times New Roman" w:eastAsia="宋体"/>
      <w:sz w:val="24"/>
    </w:rPr>
  </w:style>
  <w:style w:type="character" w:customStyle="1" w:styleId="43">
    <w:name w:val="页脚 Char"/>
    <w:link w:val="29"/>
    <w:qFormat/>
    <w:locked/>
    <w:uiPriority w:val="99"/>
    <w:rPr>
      <w:sz w:val="18"/>
    </w:rPr>
  </w:style>
  <w:style w:type="character" w:customStyle="1" w:styleId="44">
    <w:name w:val="正文文本缩进 Char"/>
    <w:link w:val="5"/>
    <w:semiHidden/>
    <w:qFormat/>
    <w:locked/>
    <w:uiPriority w:val="0"/>
    <w:rPr>
      <w:rFonts w:ascii="Times New Roman" w:hAnsi="Times New Roman" w:eastAsia="宋体"/>
      <w:sz w:val="24"/>
    </w:rPr>
  </w:style>
  <w:style w:type="character" w:customStyle="1" w:styleId="45">
    <w:name w:val="普通(网站) Char"/>
    <w:link w:val="31"/>
    <w:qFormat/>
    <w:locked/>
    <w:uiPriority w:val="0"/>
    <w:rPr>
      <w:rFonts w:ascii="宋体" w:hAnsi="宋体" w:eastAsia="宋体"/>
      <w:sz w:val="24"/>
    </w:rPr>
  </w:style>
  <w:style w:type="character" w:customStyle="1" w:styleId="46">
    <w:name w:val="表格 Char"/>
    <w:link w:val="47"/>
    <w:qFormat/>
    <w:locked/>
    <w:uiPriority w:val="0"/>
    <w:rPr>
      <w:rFonts w:ascii="宋体"/>
      <w:sz w:val="21"/>
    </w:rPr>
  </w:style>
  <w:style w:type="paragraph" w:customStyle="1" w:styleId="47">
    <w:name w:val="表格"/>
    <w:basedOn w:val="1"/>
    <w:next w:val="1"/>
    <w:link w:val="46"/>
    <w:qFormat/>
    <w:uiPriority w:val="0"/>
    <w:pPr>
      <w:adjustRightInd w:val="0"/>
      <w:snapToGrid w:val="0"/>
      <w:spacing w:beforeLines="10" w:afterLines="10" w:line="259" w:lineRule="auto"/>
      <w:jc w:val="center"/>
    </w:pPr>
    <w:rPr>
      <w:rFonts w:ascii="宋体"/>
      <w:kern w:val="0"/>
      <w:szCs w:val="20"/>
    </w:rPr>
  </w:style>
  <w:style w:type="character" w:customStyle="1" w:styleId="48">
    <w:name w:val="正文文本 字符1"/>
    <w:semiHidden/>
    <w:qFormat/>
    <w:uiPriority w:val="0"/>
    <w:rPr>
      <w:rFonts w:ascii="Times New Roman" w:hAnsi="Times New Roman" w:eastAsia="宋体"/>
      <w:sz w:val="24"/>
    </w:rPr>
  </w:style>
  <w:style w:type="character" w:customStyle="1" w:styleId="49">
    <w:name w:val="页眉 Char"/>
    <w:link w:val="6"/>
    <w:qFormat/>
    <w:locked/>
    <w:uiPriority w:val="0"/>
    <w:rPr>
      <w:sz w:val="18"/>
    </w:rPr>
  </w:style>
  <w:style w:type="character" w:customStyle="1" w:styleId="50">
    <w:name w:val="批注框文本 Char"/>
    <w:link w:val="28"/>
    <w:semiHidden/>
    <w:qFormat/>
    <w:locked/>
    <w:uiPriority w:val="0"/>
    <w:rPr>
      <w:rFonts w:ascii="Times New Roman" w:hAnsi="Times New Roman" w:eastAsia="宋体"/>
      <w:sz w:val="18"/>
    </w:rPr>
  </w:style>
  <w:style w:type="character" w:customStyle="1" w:styleId="51">
    <w:name w:val="日期 字符"/>
    <w:semiHidden/>
    <w:qFormat/>
    <w:uiPriority w:val="0"/>
    <w:rPr>
      <w:rFonts w:ascii="Times New Roman" w:hAnsi="Times New Roman" w:eastAsia="宋体"/>
      <w:sz w:val="24"/>
    </w:rPr>
  </w:style>
  <w:style w:type="character" w:customStyle="1" w:styleId="52">
    <w:name w:val="批注文字 字符1"/>
    <w:semiHidden/>
    <w:qFormat/>
    <w:uiPriority w:val="0"/>
    <w:rPr>
      <w:rFonts w:ascii="Times New Roman" w:hAnsi="Times New Roman" w:eastAsia="宋体"/>
      <w:sz w:val="24"/>
    </w:rPr>
  </w:style>
  <w:style w:type="character" w:customStyle="1" w:styleId="53">
    <w:name w:val="页脚 字符"/>
    <w:basedOn w:val="37"/>
    <w:qFormat/>
    <w:uiPriority w:val="99"/>
  </w:style>
  <w:style w:type="character" w:customStyle="1" w:styleId="54">
    <w:name w:val="批注文字 Char"/>
    <w:link w:val="19"/>
    <w:qFormat/>
    <w:locked/>
    <w:uiPriority w:val="0"/>
    <w:rPr>
      <w:rFonts w:ascii="Times New Roman" w:hAnsi="Times New Roman" w:eastAsia="宋体"/>
      <w:sz w:val="24"/>
    </w:rPr>
  </w:style>
  <w:style w:type="character" w:customStyle="1" w:styleId="55">
    <w:name w:val="批注主题 Char"/>
    <w:link w:val="32"/>
    <w:semiHidden/>
    <w:qFormat/>
    <w:locked/>
    <w:uiPriority w:val="0"/>
    <w:rPr>
      <w:rFonts w:ascii="Times New Roman" w:hAnsi="Times New Roman" w:eastAsia="宋体"/>
      <w:b/>
      <w:kern w:val="2"/>
      <w:sz w:val="24"/>
    </w:rPr>
  </w:style>
  <w:style w:type="character" w:customStyle="1" w:styleId="56">
    <w:name w:val="正文文本 Char"/>
    <w:link w:val="20"/>
    <w:qFormat/>
    <w:locked/>
    <w:uiPriority w:val="0"/>
    <w:rPr>
      <w:sz w:val="18"/>
    </w:rPr>
  </w:style>
  <w:style w:type="paragraph" w:customStyle="1" w:styleId="5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ENFI正文"/>
    <w:basedOn w:val="1"/>
    <w:link w:val="106"/>
    <w:qFormat/>
    <w:uiPriority w:val="0"/>
    <w:pPr>
      <w:adjustRightInd w:val="0"/>
      <w:snapToGrid w:val="0"/>
      <w:spacing w:line="400" w:lineRule="exact"/>
      <w:ind w:firstLine="567"/>
    </w:pPr>
    <w:rPr>
      <w:rFonts w:eastAsia="仿宋_GB2312"/>
      <w:color w:val="000000"/>
      <w:sz w:val="24"/>
      <w:szCs w:val="22"/>
    </w:rPr>
  </w:style>
  <w:style w:type="character" w:customStyle="1" w:styleId="60">
    <w:name w:val="正文首行缩进 2 + Times New Roman Char"/>
    <w:link w:val="61"/>
    <w:qFormat/>
    <w:uiPriority w:val="0"/>
    <w:rPr>
      <w:sz w:val="24"/>
    </w:rPr>
  </w:style>
  <w:style w:type="paragraph" w:customStyle="1" w:styleId="61">
    <w:name w:val="正文首行缩进 2 + Times New Roman"/>
    <w:basedOn w:val="1"/>
    <w:link w:val="60"/>
    <w:qFormat/>
    <w:uiPriority w:val="0"/>
    <w:pPr>
      <w:tabs>
        <w:tab w:val="left" w:pos="0"/>
        <w:tab w:val="left" w:pos="870"/>
        <w:tab w:val="left" w:pos="3150"/>
      </w:tabs>
      <w:autoSpaceDE w:val="0"/>
      <w:autoSpaceDN w:val="0"/>
      <w:spacing w:line="360" w:lineRule="auto"/>
      <w:ind w:firstLine="480" w:firstLineChars="200"/>
    </w:pPr>
    <w:rPr>
      <w:kern w:val="0"/>
      <w:sz w:val="24"/>
      <w:szCs w:val="20"/>
    </w:rPr>
  </w:style>
  <w:style w:type="character" w:customStyle="1" w:styleId="62">
    <w:name w:val="题注 Char"/>
    <w:link w:val="17"/>
    <w:qFormat/>
    <w:uiPriority w:val="0"/>
    <w:rPr>
      <w:rFonts w:ascii="Calibri" w:hAnsi="Calibri"/>
      <w:b/>
      <w:color w:val="000000"/>
      <w:kern w:val="2"/>
      <w:sz w:val="24"/>
      <w:szCs w:val="21"/>
    </w:rPr>
  </w:style>
  <w:style w:type="paragraph" w:customStyle="1" w:styleId="63">
    <w:name w:val="Char Char Char Char Char Char Char Char Char Char Char Char"/>
    <w:basedOn w:val="1"/>
    <w:qFormat/>
    <w:uiPriority w:val="0"/>
  </w:style>
  <w:style w:type="character" w:customStyle="1" w:styleId="64">
    <w:name w:val="正文首行缩进 Char"/>
    <w:link w:val="33"/>
    <w:qFormat/>
    <w:uiPriority w:val="0"/>
    <w:rPr>
      <w:rFonts w:ascii="Calibri" w:hAnsi="Calibri"/>
      <w:kern w:val="2"/>
      <w:sz w:val="21"/>
      <w:szCs w:val="24"/>
    </w:rPr>
  </w:style>
  <w:style w:type="paragraph" w:customStyle="1" w:styleId="65">
    <w:name w:val="特殊标题３"/>
    <w:basedOn w:val="1"/>
    <w:qFormat/>
    <w:uiPriority w:val="0"/>
    <w:pPr>
      <w:overflowPunct w:val="0"/>
      <w:autoSpaceDE w:val="0"/>
      <w:autoSpaceDN w:val="0"/>
      <w:spacing w:line="360" w:lineRule="auto"/>
    </w:pPr>
    <w:rPr>
      <w:rFonts w:eastAsia="仿宋_GB2312"/>
      <w:sz w:val="28"/>
    </w:rPr>
  </w:style>
  <w:style w:type="character" w:customStyle="1" w:styleId="66">
    <w:name w:val="Default Char"/>
    <w:link w:val="2"/>
    <w:qFormat/>
    <w:uiPriority w:val="0"/>
    <w:rPr>
      <w:rFonts w:ascii="宋体" w:cs="宋体"/>
      <w:color w:val="000000"/>
      <w:sz w:val="24"/>
      <w:szCs w:val="24"/>
    </w:rPr>
  </w:style>
  <w:style w:type="character" w:customStyle="1" w:styleId="67">
    <w:name w:val="表格的字 Char"/>
    <w:link w:val="68"/>
    <w:qFormat/>
    <w:uiPriority w:val="0"/>
    <w:rPr>
      <w:szCs w:val="21"/>
    </w:rPr>
  </w:style>
  <w:style w:type="paragraph" w:customStyle="1" w:styleId="68">
    <w:name w:val="表格的字"/>
    <w:next w:val="1"/>
    <w:link w:val="67"/>
    <w:qFormat/>
    <w:uiPriority w:val="0"/>
    <w:pPr>
      <w:jc w:val="center"/>
    </w:pPr>
    <w:rPr>
      <w:rFonts w:ascii="Times New Roman" w:hAnsi="Times New Roman" w:eastAsia="宋体" w:cs="Times New Roman"/>
      <w:szCs w:val="21"/>
      <w:lang w:val="en-US" w:eastAsia="zh-CN" w:bidi="ar-SA"/>
    </w:rPr>
  </w:style>
  <w:style w:type="table" w:customStyle="1" w:styleId="69">
    <w:name w:val="(环评报告表）1"/>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0">
    <w:name w:val="List Paragraph"/>
    <w:basedOn w:val="1"/>
    <w:qFormat/>
    <w:uiPriority w:val="34"/>
    <w:pPr>
      <w:ind w:firstLine="420" w:firstLineChars="200"/>
    </w:pPr>
    <w:rPr>
      <w:rFonts w:ascii="Calibri" w:hAnsi="Calibri" w:eastAsia="等线"/>
    </w:rPr>
  </w:style>
  <w:style w:type="character" w:customStyle="1" w:styleId="71">
    <w:name w:val="正文文本缩进 2 Char"/>
    <w:link w:val="25"/>
    <w:qFormat/>
    <w:uiPriority w:val="0"/>
    <w:rPr>
      <w:kern w:val="2"/>
      <w:sz w:val="21"/>
      <w:szCs w:val="24"/>
    </w:rPr>
  </w:style>
  <w:style w:type="paragraph" w:customStyle="1" w:styleId="72">
    <w:name w:val="表格文字"/>
    <w:basedOn w:val="1"/>
    <w:link w:val="73"/>
    <w:qFormat/>
    <w:uiPriority w:val="0"/>
    <w:pPr>
      <w:widowControl/>
      <w:adjustRightInd w:val="0"/>
      <w:snapToGrid w:val="0"/>
      <w:jc w:val="center"/>
    </w:pPr>
    <w:rPr>
      <w:kern w:val="0"/>
      <w:sz w:val="20"/>
      <w:szCs w:val="20"/>
    </w:rPr>
  </w:style>
  <w:style w:type="character" w:customStyle="1" w:styleId="73">
    <w:name w:val="表格文字 Char"/>
    <w:link w:val="72"/>
    <w:qFormat/>
    <w:uiPriority w:val="0"/>
  </w:style>
  <w:style w:type="character" w:customStyle="1" w:styleId="74">
    <w:name w:val="标题 2 Char"/>
    <w:link w:val="9"/>
    <w:semiHidden/>
    <w:qFormat/>
    <w:uiPriority w:val="0"/>
    <w:rPr>
      <w:rFonts w:ascii="Cambria" w:hAnsi="Cambria" w:eastAsia="宋体" w:cs="Times New Roman"/>
      <w:b/>
      <w:bCs/>
      <w:kern w:val="2"/>
      <w:sz w:val="32"/>
      <w:szCs w:val="32"/>
    </w:rPr>
  </w:style>
  <w:style w:type="character" w:customStyle="1" w:styleId="75">
    <w:name w:val="正文首行缩进 2 Char"/>
    <w:link w:val="4"/>
    <w:qFormat/>
    <w:uiPriority w:val="0"/>
    <w:rPr>
      <w:rFonts w:ascii="Times New Roman" w:hAnsi="Times New Roman" w:eastAsia="宋体"/>
      <w:kern w:val="2"/>
      <w:sz w:val="21"/>
      <w:szCs w:val="24"/>
    </w:rPr>
  </w:style>
  <w:style w:type="character" w:customStyle="1" w:styleId="76">
    <w:name w:val="文档结构图 Char"/>
    <w:basedOn w:val="37"/>
    <w:link w:val="18"/>
    <w:qFormat/>
    <w:uiPriority w:val="0"/>
    <w:rPr>
      <w:rFonts w:ascii="宋体"/>
      <w:kern w:val="2"/>
      <w:sz w:val="18"/>
      <w:szCs w:val="18"/>
    </w:rPr>
  </w:style>
  <w:style w:type="character" w:customStyle="1" w:styleId="77">
    <w:name w:val="正文缩进 Char"/>
    <w:link w:val="12"/>
    <w:qFormat/>
    <w:locked/>
    <w:uiPriority w:val="0"/>
    <w:rPr>
      <w:kern w:val="2"/>
      <w:sz w:val="21"/>
    </w:rPr>
  </w:style>
  <w:style w:type="paragraph" w:customStyle="1" w:styleId="78">
    <w:name w:val="Char"/>
    <w:basedOn w:val="1"/>
    <w:qFormat/>
    <w:uiPriority w:val="0"/>
    <w:pPr>
      <w:spacing w:line="360" w:lineRule="auto"/>
    </w:pPr>
    <w:rPr>
      <w:rFonts w:ascii="宋体" w:hAnsi="宋体" w:cs="宋体"/>
      <w:spacing w:val="-10"/>
      <w:sz w:val="24"/>
      <w:szCs w:val="21"/>
    </w:rPr>
  </w:style>
  <w:style w:type="paragraph" w:customStyle="1" w:styleId="79">
    <w:name w:val="Table Paragraph"/>
    <w:basedOn w:val="1"/>
    <w:qFormat/>
    <w:uiPriority w:val="1"/>
    <w:pPr>
      <w:spacing w:line="360" w:lineRule="auto"/>
    </w:pPr>
    <w:rPr>
      <w:rFonts w:ascii="宋体" w:hAnsi="宋体" w:cs="宋体"/>
      <w:sz w:val="24"/>
      <w:szCs w:val="20"/>
    </w:rPr>
  </w:style>
  <w:style w:type="character" w:customStyle="1" w:styleId="80">
    <w:name w:val="题注 Char1"/>
    <w:qFormat/>
    <w:uiPriority w:val="0"/>
    <w:rPr>
      <w:rFonts w:ascii="Calibri" w:hAnsi="Calibri"/>
      <w:b/>
      <w:color w:val="000000"/>
      <w:kern w:val="2"/>
      <w:sz w:val="24"/>
      <w:szCs w:val="21"/>
    </w:rPr>
  </w:style>
  <w:style w:type="paragraph" w:customStyle="1" w:styleId="81">
    <w:name w:val="表文"/>
    <w:basedOn w:val="1"/>
    <w:qFormat/>
    <w:uiPriority w:val="0"/>
    <w:pPr>
      <w:tabs>
        <w:tab w:val="left" w:pos="1021"/>
      </w:tabs>
      <w:jc w:val="center"/>
    </w:pPr>
    <w:rPr>
      <w:kern w:val="0"/>
      <w:position w:val="-23"/>
      <w:szCs w:val="21"/>
    </w:rPr>
  </w:style>
  <w:style w:type="character" w:styleId="82">
    <w:name w:val="Placeholder Text"/>
    <w:basedOn w:val="37"/>
    <w:unhideWhenUsed/>
    <w:qFormat/>
    <w:uiPriority w:val="99"/>
    <w:rPr>
      <w:color w:val="808080"/>
    </w:rPr>
  </w:style>
  <w:style w:type="paragraph" w:customStyle="1" w:styleId="83">
    <w:name w:val="环评正文"/>
    <w:basedOn w:val="1"/>
    <w:qFormat/>
    <w:uiPriority w:val="0"/>
    <w:pPr>
      <w:spacing w:beforeLines="30" w:line="360" w:lineRule="auto"/>
      <w:ind w:firstLine="480" w:firstLineChars="200"/>
    </w:pPr>
    <w:rPr>
      <w:kern w:val="0"/>
      <w:sz w:val="24"/>
      <w:szCs w:val="20"/>
    </w:rPr>
  </w:style>
  <w:style w:type="paragraph" w:customStyle="1" w:styleId="84">
    <w:name w:val="B-表头"/>
    <w:basedOn w:val="1"/>
    <w:qFormat/>
    <w:uiPriority w:val="0"/>
    <w:pPr>
      <w:keepNext/>
      <w:spacing w:beforeLines="25" w:afterLines="25"/>
      <w:jc w:val="center"/>
    </w:pPr>
    <w:rPr>
      <w:b/>
      <w:sz w:val="24"/>
    </w:rPr>
  </w:style>
  <w:style w:type="paragraph" w:customStyle="1" w:styleId="85">
    <w:name w:val="表头2"/>
    <w:basedOn w:val="1"/>
    <w:qFormat/>
    <w:uiPriority w:val="0"/>
    <w:pPr>
      <w:spacing w:beforeLines="50" w:afterLines="50"/>
      <w:jc w:val="center"/>
    </w:pPr>
    <w:rPr>
      <w:b/>
      <w:bCs/>
      <w:szCs w:val="21"/>
    </w:rPr>
  </w:style>
  <w:style w:type="paragraph" w:customStyle="1" w:styleId="86">
    <w:name w:val="样式9"/>
    <w:basedOn w:val="1"/>
    <w:qFormat/>
    <w:uiPriority w:val="0"/>
    <w:pPr>
      <w:adjustRightInd w:val="0"/>
      <w:snapToGrid w:val="0"/>
      <w:spacing w:line="460" w:lineRule="exact"/>
      <w:ind w:firstLine="520"/>
    </w:pPr>
    <w:rPr>
      <w:sz w:val="26"/>
      <w:szCs w:val="26"/>
    </w:rPr>
  </w:style>
  <w:style w:type="character" w:customStyle="1" w:styleId="87">
    <w:name w:val="NormalCharacter"/>
    <w:qFormat/>
    <w:uiPriority w:val="0"/>
  </w:style>
  <w:style w:type="character" w:customStyle="1" w:styleId="88">
    <w:name w:val="ref"/>
    <w:basedOn w:val="37"/>
    <w:qFormat/>
    <w:uiPriority w:val="0"/>
  </w:style>
  <w:style w:type="character" w:customStyle="1" w:styleId="89">
    <w:name w:val="正文文本 2 Char"/>
    <w:basedOn w:val="37"/>
    <w:link w:val="30"/>
    <w:qFormat/>
    <w:uiPriority w:val="0"/>
    <w:rPr>
      <w:kern w:val="2"/>
      <w:sz w:val="21"/>
      <w:szCs w:val="24"/>
    </w:rPr>
  </w:style>
  <w:style w:type="paragraph" w:customStyle="1" w:styleId="90">
    <w:name w:val="表文字"/>
    <w:basedOn w:val="1"/>
    <w:qFormat/>
    <w:uiPriority w:val="0"/>
    <w:pPr>
      <w:overflowPunct w:val="0"/>
      <w:autoSpaceDE w:val="0"/>
      <w:autoSpaceDN w:val="0"/>
      <w:adjustRightInd w:val="0"/>
      <w:spacing w:line="240" w:lineRule="atLeast"/>
      <w:textAlignment w:val="baseline"/>
    </w:pPr>
    <w:rPr>
      <w:sz w:val="24"/>
      <w:szCs w:val="20"/>
    </w:rPr>
  </w:style>
  <w:style w:type="paragraph" w:customStyle="1" w:styleId="91">
    <w:name w:val="表图标题"/>
    <w:basedOn w:val="1"/>
    <w:next w:val="1"/>
    <w:qFormat/>
    <w:uiPriority w:val="0"/>
    <w:pPr>
      <w:spacing w:line="360" w:lineRule="auto"/>
      <w:jc w:val="center"/>
    </w:pPr>
    <w:rPr>
      <w:rFonts w:eastAsia="黑体"/>
      <w:b/>
      <w:bCs/>
      <w:kern w:val="0"/>
      <w:sz w:val="24"/>
    </w:rPr>
  </w:style>
  <w:style w:type="character" w:customStyle="1" w:styleId="92">
    <w:name w:val="注释标题 Char"/>
    <w:basedOn w:val="37"/>
    <w:link w:val="16"/>
    <w:qFormat/>
    <w:uiPriority w:val="99"/>
    <w:rPr>
      <w:kern w:val="2"/>
      <w:sz w:val="21"/>
      <w:szCs w:val="24"/>
    </w:rPr>
  </w:style>
  <w:style w:type="character" w:customStyle="1" w:styleId="93">
    <w:name w:val="fontstyle01"/>
    <w:basedOn w:val="37"/>
    <w:qFormat/>
    <w:uiPriority w:val="0"/>
    <w:rPr>
      <w:rFonts w:hint="eastAsia" w:ascii="宋体" w:hAnsi="宋体" w:eastAsia="宋体"/>
      <w:color w:val="000000"/>
      <w:sz w:val="24"/>
      <w:szCs w:val="24"/>
    </w:rPr>
  </w:style>
  <w:style w:type="character" w:customStyle="1" w:styleId="94">
    <w:name w:val="fontstyle11"/>
    <w:basedOn w:val="37"/>
    <w:qFormat/>
    <w:uiPriority w:val="0"/>
    <w:rPr>
      <w:rFonts w:hint="eastAsia" w:ascii="TimesNewRomanPSMT" w:hAnsi="TimesNewRomanPSMT" w:eastAsia="TimesNewRomanPSMT"/>
      <w:color w:val="000000"/>
      <w:sz w:val="24"/>
      <w:szCs w:val="24"/>
    </w:rPr>
  </w:style>
  <w:style w:type="character" w:customStyle="1" w:styleId="95">
    <w:name w:val="fontstyle21"/>
    <w:basedOn w:val="37"/>
    <w:qFormat/>
    <w:uiPriority w:val="0"/>
    <w:rPr>
      <w:rFonts w:hint="eastAsia" w:ascii="TimesNewRomanPSMT" w:hAnsi="TimesNewRomanPSMT" w:eastAsia="TimesNewRomanPSMT"/>
      <w:color w:val="000000"/>
      <w:sz w:val="24"/>
      <w:szCs w:val="24"/>
    </w:rPr>
  </w:style>
  <w:style w:type="paragraph" w:customStyle="1" w:styleId="96">
    <w:name w:val="四级条标题"/>
    <w:basedOn w:val="1"/>
    <w:next w:val="1"/>
    <w:qFormat/>
    <w:uiPriority w:val="0"/>
    <w:pPr>
      <w:widowControl/>
      <w:tabs>
        <w:tab w:val="left" w:pos="360"/>
      </w:tabs>
      <w:outlineLvl w:val="5"/>
    </w:pPr>
    <w:rPr>
      <w:rFonts w:ascii="黑体" w:eastAsia="黑体"/>
      <w:b/>
      <w:bCs/>
      <w:kern w:val="0"/>
      <w:sz w:val="32"/>
      <w:szCs w:val="20"/>
    </w:rPr>
  </w:style>
  <w:style w:type="paragraph" w:customStyle="1" w:styleId="97">
    <w:name w:val="样式6565656"/>
    <w:basedOn w:val="1"/>
    <w:link w:val="98"/>
    <w:qFormat/>
    <w:uiPriority w:val="0"/>
    <w:pPr>
      <w:adjustRightInd w:val="0"/>
      <w:snapToGrid w:val="0"/>
      <w:spacing w:line="460" w:lineRule="atLeast"/>
      <w:ind w:firstLine="480" w:firstLineChars="200"/>
      <w:jc w:val="left"/>
    </w:pPr>
    <w:rPr>
      <w:rFonts w:hAnsi="宋体"/>
      <w:bCs/>
      <w:sz w:val="24"/>
    </w:rPr>
  </w:style>
  <w:style w:type="character" w:customStyle="1" w:styleId="98">
    <w:name w:val="样式6565656 Char"/>
    <w:link w:val="97"/>
    <w:qFormat/>
    <w:uiPriority w:val="0"/>
    <w:rPr>
      <w:rFonts w:hAnsi="宋体"/>
      <w:bCs/>
      <w:kern w:val="2"/>
      <w:sz w:val="24"/>
      <w:szCs w:val="24"/>
    </w:rPr>
  </w:style>
  <w:style w:type="paragraph" w:customStyle="1" w:styleId="99">
    <w:name w:val="正本文字"/>
    <w:basedOn w:val="1"/>
    <w:qFormat/>
    <w:uiPriority w:val="0"/>
    <w:pPr>
      <w:adjustRightInd w:val="0"/>
      <w:snapToGrid w:val="0"/>
      <w:spacing w:line="360" w:lineRule="auto"/>
      <w:ind w:firstLine="480" w:firstLineChars="200"/>
      <w:jc w:val="left"/>
    </w:pPr>
    <w:rPr>
      <w:kern w:val="18"/>
      <w:sz w:val="24"/>
      <w:szCs w:val="20"/>
    </w:rPr>
  </w:style>
  <w:style w:type="character" w:customStyle="1" w:styleId="100">
    <w:name w:val="content1"/>
    <w:qFormat/>
    <w:uiPriority w:val="0"/>
    <w:rPr>
      <w:color w:val="000000"/>
      <w:sz w:val="20"/>
      <w:szCs w:val="20"/>
    </w:rPr>
  </w:style>
  <w:style w:type="paragraph" w:customStyle="1" w:styleId="101">
    <w:name w:val="YH正文"/>
    <w:basedOn w:val="1"/>
    <w:qFormat/>
    <w:uiPriority w:val="0"/>
    <w:pPr>
      <w:snapToGrid w:val="0"/>
      <w:spacing w:line="360" w:lineRule="auto"/>
      <w:ind w:firstLine="1044" w:firstLineChars="200"/>
    </w:pPr>
    <w:rPr>
      <w:sz w:val="24"/>
    </w:rPr>
  </w:style>
  <w:style w:type="paragraph" w:customStyle="1" w:styleId="102">
    <w:name w:val="BG"/>
    <w:basedOn w:val="1"/>
    <w:unhideWhenUsed/>
    <w:qFormat/>
    <w:uiPriority w:val="99"/>
    <w:pPr>
      <w:snapToGrid w:val="0"/>
      <w:jc w:val="center"/>
    </w:pPr>
  </w:style>
  <w:style w:type="paragraph" w:customStyle="1" w:styleId="103">
    <w:name w:val="报告正文"/>
    <w:basedOn w:val="1"/>
    <w:qFormat/>
    <w:uiPriority w:val="0"/>
    <w:pPr>
      <w:spacing w:line="480" w:lineRule="exact"/>
      <w:ind w:firstLine="200" w:firstLineChars="200"/>
    </w:pPr>
    <w:rPr>
      <w:sz w:val="24"/>
    </w:rPr>
  </w:style>
  <w:style w:type="paragraph" w:customStyle="1" w:styleId="104">
    <w:name w:val="ENFI图表标题"/>
    <w:basedOn w:val="1"/>
    <w:qFormat/>
    <w:uiPriority w:val="0"/>
    <w:pPr>
      <w:widowControl/>
      <w:adjustRightInd w:val="0"/>
      <w:snapToGrid w:val="0"/>
      <w:spacing w:before="120" w:line="240" w:lineRule="atLeast"/>
      <w:jc w:val="center"/>
    </w:pPr>
    <w:rPr>
      <w:rFonts w:eastAsia="仿宋_GB2312"/>
      <w:b/>
      <w:kern w:val="0"/>
      <w:sz w:val="28"/>
    </w:rPr>
  </w:style>
  <w:style w:type="paragraph" w:customStyle="1" w:styleId="105">
    <w:name w:val="表格文字小五"/>
    <w:basedOn w:val="90"/>
    <w:qFormat/>
    <w:uiPriority w:val="0"/>
    <w:pPr>
      <w:jc w:val="center"/>
    </w:pPr>
    <w:rPr>
      <w:rFonts w:asciiTheme="minorHAnsi" w:hAnsiTheme="minorHAnsi" w:eastAsiaTheme="minorEastAsia" w:cstheme="minorBidi"/>
      <w:sz w:val="18"/>
      <w:szCs w:val="18"/>
    </w:rPr>
  </w:style>
  <w:style w:type="character" w:customStyle="1" w:styleId="106">
    <w:name w:val="ENFI正文 Char Char"/>
    <w:link w:val="59"/>
    <w:qFormat/>
    <w:uiPriority w:val="0"/>
    <w:rPr>
      <w:rFonts w:eastAsia="仿宋_GB2312"/>
      <w:color w:val="000000"/>
      <w:kern w:val="2"/>
      <w:sz w:val="24"/>
      <w:szCs w:val="22"/>
    </w:rPr>
  </w:style>
  <w:style w:type="paragraph" w:customStyle="1" w:styleId="107">
    <w:name w:val="环评正文文字"/>
    <w:basedOn w:val="1"/>
    <w:link w:val="108"/>
    <w:qFormat/>
    <w:uiPriority w:val="0"/>
    <w:pPr>
      <w:spacing w:line="360" w:lineRule="auto"/>
      <w:ind w:firstLine="480" w:firstLineChars="200"/>
    </w:pPr>
    <w:rPr>
      <w:kern w:val="0"/>
      <w:sz w:val="24"/>
      <w:szCs w:val="20"/>
    </w:rPr>
  </w:style>
  <w:style w:type="character" w:customStyle="1" w:styleId="108">
    <w:name w:val="环评正文文字 Char"/>
    <w:basedOn w:val="37"/>
    <w:link w:val="107"/>
    <w:qFormat/>
    <w:uiPriority w:val="0"/>
    <w:rPr>
      <w:sz w:val="24"/>
    </w:rPr>
  </w:style>
  <w:style w:type="paragraph" w:customStyle="1" w:styleId="109">
    <w:name w:val="正文 首行缩进:  2 字符"/>
    <w:basedOn w:val="1"/>
    <w:qFormat/>
    <w:uiPriority w:val="0"/>
    <w:pPr>
      <w:suppressAutoHyphens/>
      <w:ind w:firstLine="579" w:firstLineChars="200"/>
    </w:pPr>
    <w:rPr>
      <w:rFonts w:cs="宋体"/>
      <w:kern w:val="1"/>
      <w:lang w:eastAsia="ar-SA"/>
    </w:rPr>
  </w:style>
  <w:style w:type="paragraph" w:customStyle="1" w:styleId="110">
    <w:name w:val="7表格文字"/>
    <w:basedOn w:val="1"/>
    <w:link w:val="117"/>
    <w:qFormat/>
    <w:uiPriority w:val="0"/>
    <w:pPr>
      <w:jc w:val="center"/>
    </w:pPr>
    <w:rPr>
      <w:color w:val="000000"/>
    </w:rPr>
  </w:style>
  <w:style w:type="character" w:customStyle="1" w:styleId="111">
    <w:name w:val="keyword"/>
    <w:basedOn w:val="37"/>
    <w:qFormat/>
    <w:uiPriority w:val="0"/>
  </w:style>
  <w:style w:type="paragraph" w:customStyle="1" w:styleId="112">
    <w:name w:val="HJ-正文"/>
    <w:basedOn w:val="1"/>
    <w:qFormat/>
    <w:uiPriority w:val="0"/>
    <w:pPr>
      <w:spacing w:line="360" w:lineRule="auto"/>
      <w:ind w:firstLine="480" w:firstLineChars="200"/>
    </w:pPr>
    <w:rPr>
      <w:sz w:val="24"/>
    </w:rPr>
  </w:style>
  <w:style w:type="paragraph" w:customStyle="1" w:styleId="113">
    <w:name w:val="ZH表格内字体"/>
    <w:basedOn w:val="1"/>
    <w:qFormat/>
    <w:uiPriority w:val="0"/>
    <w:pPr>
      <w:jc w:val="center"/>
    </w:pPr>
    <w:rPr>
      <w:rFonts w:eastAsia="Times New Roman"/>
      <w:szCs w:val="21"/>
    </w:rPr>
  </w:style>
  <w:style w:type="paragraph" w:customStyle="1" w:styleId="114">
    <w:name w:val="ZH表头"/>
    <w:basedOn w:val="1"/>
    <w:qFormat/>
    <w:uiPriority w:val="0"/>
    <w:pPr>
      <w:spacing w:beforeLines="50" w:line="360" w:lineRule="auto"/>
      <w:jc w:val="center"/>
    </w:pPr>
    <w:rPr>
      <w:b/>
    </w:rPr>
  </w:style>
  <w:style w:type="character" w:customStyle="1" w:styleId="115">
    <w:name w:val="font31"/>
    <w:basedOn w:val="37"/>
    <w:autoRedefine/>
    <w:qFormat/>
    <w:uiPriority w:val="0"/>
    <w:rPr>
      <w:rFonts w:hint="eastAsia" w:ascii="宋体" w:hAnsi="宋体" w:eastAsia="宋体" w:cs="宋体"/>
      <w:color w:val="000000"/>
      <w:sz w:val="21"/>
      <w:szCs w:val="21"/>
      <w:u w:val="none"/>
    </w:rPr>
  </w:style>
  <w:style w:type="character" w:customStyle="1" w:styleId="116">
    <w:name w:val="font01"/>
    <w:basedOn w:val="37"/>
    <w:uiPriority w:val="0"/>
    <w:rPr>
      <w:rFonts w:hint="eastAsia" w:ascii="宋体" w:hAnsi="宋体" w:eastAsia="宋体"/>
      <w:color w:val="000000"/>
      <w:sz w:val="24"/>
      <w:szCs w:val="24"/>
      <w:u w:val="none"/>
    </w:rPr>
  </w:style>
  <w:style w:type="character" w:customStyle="1" w:styleId="117">
    <w:name w:val="7表格文字 Char"/>
    <w:link w:val="110"/>
    <w:qFormat/>
    <w:uiPriority w:val="0"/>
    <w:rPr>
      <w:color w:val="000000"/>
      <w:kern w:val="2"/>
      <w:sz w:val="21"/>
      <w:szCs w:val="24"/>
    </w:rPr>
  </w:style>
  <w:style w:type="character" w:customStyle="1" w:styleId="118">
    <w:name w:val="font11"/>
    <w:basedOn w:val="37"/>
    <w:qFormat/>
    <w:uiPriority w:val="0"/>
    <w:rPr>
      <w:rFonts w:hint="eastAsia" w:ascii="宋体" w:hAnsi="宋体" w:eastAsia="宋体"/>
      <w:color w:val="000000"/>
      <w:sz w:val="24"/>
      <w:szCs w:val="24"/>
      <w:u w:val="none"/>
    </w:rPr>
  </w:style>
  <w:style w:type="character" w:customStyle="1" w:styleId="119">
    <w:name w:val="font21"/>
    <w:basedOn w:val="37"/>
    <w:qFormat/>
    <w:uiPriority w:val="0"/>
    <w:rPr>
      <w:rFonts w:hint="default" w:ascii="Times New Roman" w:hAnsi="Times New Roman" w:cs="Times New Roman"/>
      <w:color w:val="000000"/>
      <w:sz w:val="24"/>
      <w:szCs w:val="24"/>
      <w:u w:val="none"/>
    </w:rPr>
  </w:style>
  <w:style w:type="paragraph" w:customStyle="1" w:styleId="120">
    <w:name w:val="默认段落字体 Para Char Char Char Char"/>
    <w:basedOn w:val="1"/>
    <w:qFormat/>
    <w:uiPriority w:val="0"/>
    <w:rPr>
      <w:sz w:val="24"/>
    </w:rPr>
  </w:style>
  <w:style w:type="paragraph" w:customStyle="1" w:styleId="121">
    <w:name w:val="表格-易恒"/>
    <w:basedOn w:val="20"/>
    <w:link w:val="124"/>
    <w:qFormat/>
    <w:uiPriority w:val="1"/>
    <w:pPr>
      <w:widowControl w:val="0"/>
      <w:snapToGrid/>
      <w:spacing w:before="100" w:beforeAutospacing="1" w:after="0" w:line="240" w:lineRule="auto"/>
      <w:ind w:right="0"/>
      <w:jc w:val="center"/>
    </w:pPr>
    <w:rPr>
      <w:kern w:val="2"/>
      <w:sz w:val="21"/>
      <w:szCs w:val="21"/>
    </w:rPr>
  </w:style>
  <w:style w:type="paragraph" w:customStyle="1" w:styleId="122">
    <w:name w:val="表头-易恒"/>
    <w:basedOn w:val="1"/>
    <w:next w:val="1"/>
    <w:qFormat/>
    <w:uiPriority w:val="0"/>
    <w:pPr>
      <w:spacing w:beforeLines="50" w:after="100" w:afterAutospacing="1"/>
      <w:jc w:val="center"/>
    </w:pPr>
    <w:rPr>
      <w:b/>
      <w:bCs/>
      <w:sz w:val="24"/>
    </w:rPr>
  </w:style>
  <w:style w:type="character" w:customStyle="1" w:styleId="123">
    <w:name w:val="15"/>
    <w:basedOn w:val="37"/>
    <w:qFormat/>
    <w:uiPriority w:val="0"/>
    <w:rPr>
      <w:rFonts w:hint="default" w:ascii="Times New Roman" w:hAnsi="Times New Roman" w:cs="Times New Roman"/>
      <w:b/>
      <w:bCs/>
    </w:rPr>
  </w:style>
  <w:style w:type="character" w:customStyle="1" w:styleId="124">
    <w:name w:val="表格-易恒 字符"/>
    <w:basedOn w:val="56"/>
    <w:link w:val="121"/>
    <w:qFormat/>
    <w:uiPriority w:val="1"/>
    <w:rPr>
      <w:kern w:val="2"/>
      <w:sz w:val="21"/>
      <w:szCs w:val="21"/>
    </w:rPr>
  </w:style>
  <w:style w:type="paragraph" w:customStyle="1" w:styleId="125">
    <w:name w:val="图标标题"/>
    <w:basedOn w:val="1"/>
    <w:qFormat/>
    <w:uiPriority w:val="0"/>
    <w:pPr>
      <w:jc w:val="center"/>
      <w:outlineLvl w:val="4"/>
    </w:pPr>
    <w:rPr>
      <w:b/>
      <w:bCs/>
      <w:color w:val="000000"/>
      <w:szCs w:val="21"/>
    </w:rPr>
  </w:style>
  <w:style w:type="paragraph" w:customStyle="1" w:styleId="126">
    <w:name w:val="!正文"/>
    <w:basedOn w:val="1"/>
    <w:qFormat/>
    <w:uiPriority w:val="0"/>
    <w:pPr>
      <w:spacing w:line="480" w:lineRule="exact"/>
      <w:ind w:firstLine="480" w:firstLineChars="200"/>
    </w:pPr>
    <w:rPr>
      <w:rFonts w:hAnsi="宋体" w:cs="宋体"/>
      <w:szCs w:val="21"/>
    </w:rPr>
  </w:style>
  <w:style w:type="paragraph" w:customStyle="1" w:styleId="127">
    <w:name w:val="六表内容"/>
    <w:basedOn w:val="1"/>
    <w:qFormat/>
    <w:uiPriority w:val="0"/>
    <w:pPr>
      <w:spacing w:line="340" w:lineRule="exact"/>
      <w:jc w:val="center"/>
    </w:pPr>
    <w:rPr>
      <w:szCs w:val="21"/>
    </w:rPr>
  </w:style>
  <w:style w:type="paragraph" w:customStyle="1" w:styleId="128">
    <w:name w:val="表标题"/>
    <w:basedOn w:val="1"/>
    <w:link w:val="134"/>
    <w:qFormat/>
    <w:uiPriority w:val="0"/>
    <w:pPr>
      <w:spacing w:line="360" w:lineRule="auto"/>
      <w:jc w:val="center"/>
    </w:pPr>
    <w:rPr>
      <w:b/>
      <w:bCs/>
      <w:sz w:val="24"/>
    </w:rPr>
  </w:style>
  <w:style w:type="paragraph" w:customStyle="1" w:styleId="129">
    <w:name w:val="Default1"/>
    <w:basedOn w:val="1"/>
    <w:next w:val="1"/>
    <w:qFormat/>
    <w:uiPriority w:val="0"/>
    <w:pPr>
      <w:autoSpaceDE w:val="0"/>
      <w:autoSpaceDN w:val="0"/>
      <w:adjustRightInd w:val="0"/>
      <w:spacing w:before="120" w:after="240"/>
    </w:pPr>
    <w:rPr>
      <w:rFonts w:ascii="宋体" w:hAnsi="Calibri" w:cs="宋体"/>
      <w:color w:val="000000"/>
      <w:kern w:val="0"/>
      <w:sz w:val="24"/>
    </w:rPr>
  </w:style>
  <w:style w:type="character" w:customStyle="1" w:styleId="130">
    <w:name w:val="图表标题 Char"/>
    <w:link w:val="131"/>
    <w:qFormat/>
    <w:locked/>
    <w:uiPriority w:val="0"/>
    <w:rPr>
      <w:rFonts w:eastAsia="黑体"/>
      <w:kern w:val="28"/>
      <w:sz w:val="24"/>
      <w:lang w:val="en-US" w:eastAsia="zh-CN"/>
    </w:rPr>
  </w:style>
  <w:style w:type="paragraph" w:customStyle="1" w:styleId="131">
    <w:name w:val="图表标题"/>
    <w:basedOn w:val="1"/>
    <w:link w:val="130"/>
    <w:qFormat/>
    <w:uiPriority w:val="0"/>
    <w:pPr>
      <w:spacing w:beforeLines="20"/>
      <w:jc w:val="center"/>
      <w:outlineLvl w:val="4"/>
    </w:pPr>
    <w:rPr>
      <w:rFonts w:eastAsia="黑体"/>
      <w:kern w:val="28"/>
      <w:sz w:val="24"/>
      <w:szCs w:val="20"/>
    </w:rPr>
  </w:style>
  <w:style w:type="paragraph" w:customStyle="1" w:styleId="132">
    <w:name w:val="表头"/>
    <w:basedOn w:val="20"/>
    <w:qFormat/>
    <w:uiPriority w:val="0"/>
    <w:pPr>
      <w:widowControl w:val="0"/>
      <w:snapToGrid/>
      <w:spacing w:before="120" w:after="0" w:line="240" w:lineRule="auto"/>
      <w:ind w:right="0"/>
      <w:jc w:val="center"/>
    </w:pPr>
    <w:rPr>
      <w:rFonts w:hAnsi="宋体"/>
      <w:b/>
      <w:bCs/>
      <w:color w:val="000000"/>
      <w:kern w:val="2"/>
      <w:sz w:val="21"/>
      <w:szCs w:val="24"/>
    </w:rPr>
  </w:style>
  <w:style w:type="paragraph" w:customStyle="1" w:styleId="133">
    <w:name w:val="正文首行缩进2个字"/>
    <w:basedOn w:val="1"/>
    <w:qFormat/>
    <w:uiPriority w:val="0"/>
    <w:pPr>
      <w:spacing w:line="480" w:lineRule="exact"/>
      <w:ind w:firstLine="600" w:firstLineChars="200"/>
    </w:pPr>
    <w:rPr>
      <w:spacing w:val="3"/>
      <w:sz w:val="24"/>
    </w:rPr>
  </w:style>
  <w:style w:type="character" w:customStyle="1" w:styleId="134">
    <w:name w:val="表标题 Char"/>
    <w:link w:val="128"/>
    <w:qFormat/>
    <w:uiPriority w:val="0"/>
    <w:rPr>
      <w:b/>
      <w:bCs/>
      <w:kern w:val="2"/>
      <w:sz w:val="24"/>
      <w:szCs w:val="24"/>
    </w:rPr>
  </w:style>
  <w:style w:type="paragraph" w:customStyle="1" w:styleId="135">
    <w:name w:val="样式 样式 样式 小四 首行缩进:  2.25 字符 + 首行缩进:  2.25 字符 + 首行缩进:  2 字符"/>
    <w:basedOn w:val="1"/>
    <w:qFormat/>
    <w:uiPriority w:val="0"/>
    <w:pPr>
      <w:spacing w:line="440" w:lineRule="exact"/>
      <w:ind w:firstLine="200" w:firstLineChars="200"/>
    </w:pPr>
    <w:rPr>
      <w:sz w:val="24"/>
    </w:rPr>
  </w:style>
  <w:style w:type="paragraph" w:customStyle="1" w:styleId="136">
    <w:name w:val="表格内容"/>
    <w:next w:val="1"/>
    <w:link w:val="138"/>
    <w:autoRedefine/>
    <w:qFormat/>
    <w:uiPriority w:val="0"/>
    <w:pPr>
      <w:jc w:val="center"/>
    </w:pPr>
    <w:rPr>
      <w:rFonts w:ascii="Times New Roman" w:hAnsi="Times New Roman" w:eastAsia="黑体" w:cstheme="minorBidi"/>
      <w:bCs/>
      <w:kern w:val="28"/>
      <w:sz w:val="21"/>
      <w:szCs w:val="32"/>
      <w:lang w:val="en-US" w:eastAsia="zh-CN" w:bidi="ar-SA"/>
    </w:rPr>
  </w:style>
  <w:style w:type="character" w:customStyle="1" w:styleId="137">
    <w:name w:val="图表标题 字符"/>
    <w:basedOn w:val="37"/>
    <w:autoRedefine/>
    <w:qFormat/>
    <w:uiPriority w:val="0"/>
    <w:rPr>
      <w:rFonts w:ascii="Times New Roman" w:hAnsi="Times New Roman" w:eastAsia="黑体" w:cstheme="minorBidi"/>
      <w:kern w:val="28"/>
      <w:sz w:val="21"/>
      <w:szCs w:val="32"/>
    </w:rPr>
  </w:style>
  <w:style w:type="character" w:customStyle="1" w:styleId="138">
    <w:name w:val="表格内容 字符"/>
    <w:basedOn w:val="137"/>
    <w:link w:val="136"/>
    <w:autoRedefine/>
    <w:qFormat/>
    <w:uiPriority w:val="0"/>
    <w:rPr>
      <w:rFonts w:ascii="Times New Roman" w:hAnsi="Times New Roman" w:eastAsia="黑体" w:cstheme="minorBidi"/>
      <w:bCs/>
      <w:kern w:val="28"/>
      <w:sz w:val="21"/>
      <w:szCs w:val="32"/>
    </w:rPr>
  </w:style>
  <w:style w:type="table" w:customStyle="1" w:styleId="139">
    <w:name w:val="我的常用表格"/>
    <w:basedOn w:val="34"/>
    <w:qFormat/>
    <w:uiPriority w:val="99"/>
    <w:pPr>
      <w:jc w:val="center"/>
    </w:pPr>
    <w:rPr>
      <w:sz w:val="21"/>
    </w:rPr>
    <w:tblPr>
      <w:jc w:val="center"/>
      <w:tblBorders>
        <w:top w:val="single" w:color="auto" w:sz="12" w:space="0"/>
        <w:bottom w:val="single" w:color="auto" w:sz="12" w:space="0"/>
        <w:insideH w:val="single" w:color="auto" w:sz="2" w:space="0"/>
        <w:insideV w:val="single" w:color="auto" w:sz="2" w:space="0"/>
      </w:tblBorders>
    </w:tblPr>
    <w:trPr>
      <w:jc w:val="center"/>
    </w:trPr>
    <w:tcPr>
      <w:vAlign w:val="center"/>
    </w:tcPr>
    <w:tblStylePr w:type="firstRow">
      <w:pPr>
        <w:wordWrap/>
        <w:jc w:val="center"/>
      </w:pPr>
      <w:rPr>
        <w:rFonts w:ascii="Times New Roman" w:hAnsi="Times New Roman" w:eastAsia="宋体"/>
        <w:b/>
        <w:i w:val="0"/>
        <w:sz w:val="21"/>
      </w:rPr>
    </w:tblStylePr>
  </w:style>
  <w:style w:type="paragraph" w:customStyle="1" w:styleId="140">
    <w:name w:val="一般正文"/>
    <w:link w:val="141"/>
    <w:qFormat/>
    <w:uiPriority w:val="0"/>
    <w:pPr>
      <w:spacing w:line="360" w:lineRule="auto"/>
      <w:ind w:firstLine="200" w:firstLineChars="200"/>
      <w:jc w:val="both"/>
    </w:pPr>
    <w:rPr>
      <w:rFonts w:ascii="Times New Roman" w:hAnsi="Times New Roman" w:eastAsia="宋体" w:cstheme="minorBidi"/>
      <w:bCs/>
      <w:kern w:val="24"/>
      <w:sz w:val="24"/>
      <w:szCs w:val="32"/>
      <w:lang w:val="en-US" w:eastAsia="zh-CN" w:bidi="ar-SA"/>
    </w:rPr>
  </w:style>
  <w:style w:type="character" w:customStyle="1" w:styleId="141">
    <w:name w:val="一般正文 字符"/>
    <w:basedOn w:val="37"/>
    <w:link w:val="140"/>
    <w:qFormat/>
    <w:uiPriority w:val="0"/>
    <w:rPr>
      <w:rFonts w:cstheme="minorBidi"/>
      <w:bCs/>
      <w:kern w:val="24"/>
      <w:sz w:val="24"/>
      <w:szCs w:val="32"/>
    </w:rPr>
  </w:style>
  <w:style w:type="character" w:customStyle="1" w:styleId="142">
    <w:name w:val="标题 6 Char"/>
    <w:basedOn w:val="37"/>
    <w:link w:val="14"/>
    <w:semiHidden/>
    <w:qFormat/>
    <w:uiPriority w:val="0"/>
    <w:rPr>
      <w:rFonts w:asciiTheme="majorHAnsi" w:hAnsiTheme="majorHAnsi" w:eastAsiaTheme="majorEastAsia" w:cstheme="majorBidi"/>
      <w:b/>
      <w:bCs/>
      <w:kern w:val="2"/>
      <w:sz w:val="24"/>
      <w:szCs w:val="24"/>
    </w:rPr>
  </w:style>
  <w:style w:type="character" w:customStyle="1" w:styleId="143">
    <w:name w:val="标题 5 Char"/>
    <w:basedOn w:val="37"/>
    <w:link w:val="13"/>
    <w:qFormat/>
    <w:uiPriority w:val="0"/>
    <w:rPr>
      <w:bCs/>
      <w:kern w:val="2"/>
      <w:sz w:val="24"/>
      <w:szCs w:val="28"/>
    </w:rPr>
  </w:style>
  <w:style w:type="character" w:customStyle="1" w:styleId="144">
    <w:name w:val="标题 7 Char"/>
    <w:basedOn w:val="37"/>
    <w:link w:val="15"/>
    <w:qFormat/>
    <w:uiPriority w:val="0"/>
    <w:rPr>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e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ylin/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30"/>
    <customShpInfo spid="_x0000_s1026"/>
  </customShpExts>
</s:customData>
</file>

<file path=customXml/item2.xml><b:Sources xmlns:b="http://schemas.openxmlformats.org/officeDocument/2006/bibliography" SelectedStyle="\APA.XSL" xmlns:b="http://schemas.openxmlformats.org/officeDocument/2006/bibliography"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FA9DD9-80DA-41E6-9766-FCDCF20F0F73}">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57</Pages>
  <Words>6647</Words>
  <Characters>37892</Characters>
  <Lines>315</Lines>
  <Paragraphs>88</Paragraphs>
  <TotalTime>12193</TotalTime>
  <ScaleCrop>false</ScaleCrop>
  <LinksUpToDate>false</LinksUpToDate>
  <CharactersWithSpaces>44451</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2024-09-11T15:07:00Z</dcterms:created>
  <dc:creator>lhj</dc:creator>
  <cp:lastModifiedBy>kylin</cp:lastModifiedBy>
  <cp:lastPrinted>2025-03-27T13:34:00Z</cp:lastPrinted>
  <dcterms:modified xsi:type="dcterms:W3CDTF">2025-04-17T08:53:21Z</dcterms:modified>
  <dc:title>附件2</dc:title>
  <cp:revision>500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D026A257888DF5EB01510068E5F2B985_43</vt:lpwstr>
  </property>
</Properties>
</file>